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91557" w:rsidRPr="00ED3916" w:rsidRDefault="00491557" w:rsidP="00491557">
      <w:pPr>
        <w:tabs>
          <w:tab w:val="left" w:pos="2268"/>
        </w:tabs>
        <w:spacing w:after="60"/>
        <w:ind w:left="284"/>
        <w:rPr>
          <w:rFonts w:ascii="Times New Roman" w:hAnsi="Times New Roman" w:cs="Arial"/>
          <w:sz w:val="24"/>
          <w:szCs w:val="20"/>
        </w:rPr>
      </w:pPr>
    </w:p>
    <w:p w:rsidR="00491557" w:rsidRPr="00ED3916" w:rsidRDefault="00491557" w:rsidP="00491557">
      <w:pPr>
        <w:spacing w:after="60" w:line="264" w:lineRule="auto"/>
        <w:jc w:val="both"/>
        <w:rPr>
          <w:rFonts w:ascii="Times New Roman" w:hAnsi="Times New Roman" w:cs="Arial"/>
          <w:sz w:val="24"/>
        </w:rPr>
      </w:pPr>
    </w:p>
    <w:p w:rsidR="00491557" w:rsidRPr="00ED3916" w:rsidRDefault="00491557" w:rsidP="00491557">
      <w:pPr>
        <w:spacing w:after="0"/>
        <w:contextualSpacing/>
        <w:jc w:val="center"/>
        <w:rPr>
          <w:rFonts w:ascii="Calibri" w:hAnsi="Calibri" w:cs="Calibri"/>
          <w:b/>
          <w:color w:val="365F91"/>
          <w:spacing w:val="-10"/>
          <w:kern w:val="28"/>
          <w:sz w:val="40"/>
          <w:szCs w:val="40"/>
        </w:rPr>
      </w:pPr>
      <w:r w:rsidRPr="00ED3916">
        <w:rPr>
          <w:rFonts w:ascii="Calibri" w:hAnsi="Calibri" w:cs="Calibri"/>
          <w:b/>
          <w:color w:val="365F91"/>
          <w:spacing w:val="-10"/>
          <w:kern w:val="28"/>
          <w:sz w:val="40"/>
          <w:szCs w:val="40"/>
        </w:rPr>
        <w:t>Република България</w:t>
      </w:r>
    </w:p>
    <w:p w:rsidR="00491557" w:rsidRPr="00ED3916" w:rsidRDefault="00491557" w:rsidP="00491557">
      <w:pPr>
        <w:spacing w:after="0"/>
        <w:contextualSpacing/>
        <w:jc w:val="center"/>
        <w:rPr>
          <w:rFonts w:ascii="Calibri" w:hAnsi="Calibri" w:cs="Calibri"/>
          <w:b/>
          <w:color w:val="365F91"/>
          <w:spacing w:val="-10"/>
          <w:kern w:val="28"/>
          <w:sz w:val="40"/>
          <w:szCs w:val="40"/>
        </w:rPr>
      </w:pPr>
      <w:r w:rsidRPr="00ED3916">
        <w:rPr>
          <w:rFonts w:ascii="Calibri" w:hAnsi="Calibri" w:cs="Calibri"/>
          <w:b/>
          <w:color w:val="365F91"/>
          <w:spacing w:val="-10"/>
          <w:kern w:val="28"/>
          <w:sz w:val="40"/>
          <w:szCs w:val="40"/>
        </w:rPr>
        <w:t xml:space="preserve"> </w:t>
      </w:r>
    </w:p>
    <w:p w:rsidR="00491557" w:rsidRPr="00ED3916" w:rsidRDefault="00491557" w:rsidP="00491557">
      <w:pPr>
        <w:spacing w:after="0"/>
        <w:contextualSpacing/>
        <w:jc w:val="center"/>
        <w:rPr>
          <w:rFonts w:ascii="Calibri" w:hAnsi="Calibri" w:cs="Calibri"/>
          <w:color w:val="365F91"/>
          <w:spacing w:val="-10"/>
          <w:kern w:val="28"/>
          <w:sz w:val="56"/>
          <w:szCs w:val="56"/>
        </w:rPr>
      </w:pPr>
      <w:r w:rsidRPr="00ED3916">
        <w:rPr>
          <w:rFonts w:ascii="Calibri" w:hAnsi="Calibri" w:cs="Calibri"/>
          <w:b/>
          <w:color w:val="365F91"/>
          <w:spacing w:val="-10"/>
          <w:kern w:val="28"/>
          <w:sz w:val="40"/>
          <w:szCs w:val="40"/>
        </w:rPr>
        <w:t xml:space="preserve">Консултантски услуги по Национална стратегия и </w:t>
      </w:r>
      <w:r w:rsidRPr="00ED3916">
        <w:rPr>
          <w:rFonts w:ascii="Calibri" w:hAnsi="Calibri" w:cs="Calibri"/>
          <w:b/>
          <w:color w:val="365F91"/>
          <w:spacing w:val="-10"/>
          <w:kern w:val="28"/>
          <w:sz w:val="40"/>
          <w:szCs w:val="40"/>
        </w:rPr>
        <w:br/>
        <w:t>План за действие за адаптация към изменението на климата</w:t>
      </w:r>
      <w:r w:rsidRPr="00ED3916">
        <w:rPr>
          <w:rFonts w:ascii="Calibri" w:hAnsi="Calibri" w:cs="Calibri"/>
          <w:b/>
          <w:bCs/>
          <w:color w:val="365F91"/>
          <w:kern w:val="28"/>
          <w:sz w:val="56"/>
          <w:szCs w:val="56"/>
        </w:rPr>
        <w:t xml:space="preserve">  </w:t>
      </w:r>
      <w:r w:rsidRPr="00ED3916">
        <w:rPr>
          <w:rFonts w:ascii="Calibri" w:hAnsi="Calibri" w:cs="Calibri"/>
          <w:color w:val="365F91"/>
          <w:kern w:val="28"/>
          <w:sz w:val="56"/>
          <w:szCs w:val="56"/>
        </w:rPr>
        <w:br/>
      </w:r>
    </w:p>
    <w:p w:rsidR="00491557" w:rsidRPr="00ED3916" w:rsidRDefault="00491557" w:rsidP="00491557">
      <w:pPr>
        <w:spacing w:after="60" w:line="264" w:lineRule="auto"/>
        <w:jc w:val="both"/>
        <w:rPr>
          <w:rFonts w:ascii="Times New Roman" w:hAnsi="Times New Roman" w:cs="Arial"/>
          <w:sz w:val="24"/>
        </w:rPr>
      </w:pPr>
    </w:p>
    <w:p w:rsidR="00491557" w:rsidRPr="00ED3916" w:rsidRDefault="00491557" w:rsidP="00491557">
      <w:pPr>
        <w:spacing w:after="60" w:line="264" w:lineRule="auto"/>
        <w:jc w:val="both"/>
        <w:rPr>
          <w:rFonts w:ascii="Times New Roman" w:hAnsi="Times New Roman" w:cs="Arial"/>
          <w:sz w:val="24"/>
        </w:rPr>
      </w:pPr>
    </w:p>
    <w:p w:rsidR="00491557" w:rsidRPr="00ED3916" w:rsidRDefault="00491557" w:rsidP="00491557">
      <w:pPr>
        <w:spacing w:after="60" w:line="264" w:lineRule="auto"/>
        <w:jc w:val="both"/>
        <w:rPr>
          <w:rFonts w:ascii="Times New Roman" w:hAnsi="Times New Roman" w:cs="Arial"/>
          <w:sz w:val="24"/>
        </w:rPr>
      </w:pPr>
    </w:p>
    <w:p w:rsidR="00491557" w:rsidRPr="00ED3916" w:rsidRDefault="00491557" w:rsidP="00491557">
      <w:pPr>
        <w:spacing w:after="0"/>
        <w:contextualSpacing/>
        <w:jc w:val="center"/>
        <w:rPr>
          <w:rFonts w:ascii="Calibri" w:hAnsi="Calibri" w:cs="Arial"/>
          <w:b/>
          <w:bCs/>
          <w:i/>
          <w:iCs/>
          <w:color w:val="365F91"/>
          <w:kern w:val="28"/>
          <w:sz w:val="84"/>
          <w:szCs w:val="84"/>
        </w:rPr>
      </w:pPr>
      <w:r w:rsidRPr="00ED3916">
        <w:rPr>
          <w:rFonts w:ascii="Calibri" w:hAnsi="Calibri" w:cs="Arial"/>
          <w:b/>
          <w:bCs/>
          <w:i/>
          <w:iCs/>
          <w:color w:val="365F91"/>
          <w:kern w:val="28"/>
          <w:sz w:val="84"/>
          <w:szCs w:val="84"/>
        </w:rPr>
        <w:t xml:space="preserve">Приложение </w:t>
      </w:r>
      <w:r w:rsidR="00963B6C" w:rsidRPr="00ED3916">
        <w:rPr>
          <w:rFonts w:ascii="Calibri" w:hAnsi="Calibri" w:cs="Arial"/>
          <w:b/>
          <w:bCs/>
          <w:i/>
          <w:iCs/>
          <w:color w:val="365F91"/>
          <w:kern w:val="28"/>
          <w:sz w:val="84"/>
          <w:szCs w:val="84"/>
        </w:rPr>
        <w:t>8</w:t>
      </w:r>
      <w:r w:rsidRPr="00ED3916">
        <w:rPr>
          <w:rFonts w:ascii="Calibri" w:hAnsi="Calibri" w:cs="Arial"/>
          <w:b/>
          <w:bCs/>
          <w:i/>
          <w:iCs/>
          <w:color w:val="365F91"/>
          <w:kern w:val="28"/>
          <w:sz w:val="84"/>
          <w:szCs w:val="84"/>
        </w:rPr>
        <w:t>:</w:t>
      </w:r>
    </w:p>
    <w:p w:rsidR="00491557" w:rsidRPr="00ED3916" w:rsidRDefault="00491557" w:rsidP="00491557">
      <w:pPr>
        <w:spacing w:after="0"/>
        <w:contextualSpacing/>
        <w:jc w:val="center"/>
        <w:rPr>
          <w:rFonts w:ascii="Calibri" w:hAnsi="Calibri" w:cs="Arial"/>
          <w:b/>
          <w:i/>
          <w:color w:val="365F91"/>
          <w:spacing w:val="-10"/>
          <w:kern w:val="28"/>
          <w:sz w:val="84"/>
          <w:szCs w:val="84"/>
        </w:rPr>
      </w:pPr>
      <w:r w:rsidRPr="00ED3916">
        <w:rPr>
          <w:rFonts w:ascii="Calibri" w:hAnsi="Calibri" w:cs="Arial"/>
          <w:b/>
          <w:bCs/>
          <w:i/>
          <w:iCs/>
          <w:color w:val="365F91"/>
          <w:kern w:val="28"/>
          <w:sz w:val="84"/>
          <w:szCs w:val="84"/>
        </w:rPr>
        <w:t>Оценка на сектор „Градска среда“</w:t>
      </w:r>
    </w:p>
    <w:p w:rsidR="00491557" w:rsidRPr="00ED3916" w:rsidRDefault="00491557" w:rsidP="00491557">
      <w:pPr>
        <w:tabs>
          <w:tab w:val="left" w:pos="6636"/>
        </w:tabs>
        <w:spacing w:after="220" w:line="276" w:lineRule="auto"/>
        <w:jc w:val="both"/>
        <w:rPr>
          <w:rFonts w:ascii="Times New Roman" w:hAnsi="Times New Roman" w:cs="Arial"/>
          <w:i/>
          <w:sz w:val="24"/>
        </w:rPr>
      </w:pPr>
      <w:r w:rsidRPr="00ED3916">
        <w:rPr>
          <w:rFonts w:ascii="Calibri" w:hAnsi="Calibri" w:cs="Arial"/>
          <w:i/>
          <w:iCs/>
          <w:sz w:val="22"/>
        </w:rPr>
        <w:tab/>
      </w:r>
    </w:p>
    <w:p w:rsidR="00491557" w:rsidRPr="00ED3916" w:rsidRDefault="00491557" w:rsidP="00491557">
      <w:pPr>
        <w:tabs>
          <w:tab w:val="left" w:pos="6636"/>
        </w:tabs>
        <w:spacing w:after="220" w:line="276" w:lineRule="auto"/>
        <w:jc w:val="both"/>
        <w:rPr>
          <w:rFonts w:ascii="Times New Roman" w:hAnsi="Times New Roman" w:cs="Arial"/>
          <w:i/>
          <w:sz w:val="24"/>
        </w:rPr>
      </w:pPr>
    </w:p>
    <w:p w:rsidR="00491557" w:rsidRPr="00ED3916" w:rsidRDefault="00491557" w:rsidP="00491557">
      <w:pPr>
        <w:spacing w:after="220" w:line="276" w:lineRule="auto"/>
        <w:jc w:val="right"/>
        <w:rPr>
          <w:rFonts w:ascii="Times New Roman" w:hAnsi="Times New Roman" w:cs="Arial"/>
          <w:i/>
          <w:sz w:val="24"/>
        </w:rPr>
      </w:pPr>
    </w:p>
    <w:p w:rsidR="00491557" w:rsidRPr="00ED3916" w:rsidRDefault="00491557" w:rsidP="00491557">
      <w:pPr>
        <w:spacing w:after="220" w:line="276" w:lineRule="auto"/>
        <w:jc w:val="right"/>
        <w:rPr>
          <w:rFonts w:ascii="Times New Roman" w:hAnsi="Times New Roman" w:cs="Arial"/>
          <w:i/>
          <w:sz w:val="24"/>
        </w:rPr>
      </w:pPr>
    </w:p>
    <w:p w:rsidR="00491557" w:rsidRPr="00ED3916" w:rsidRDefault="00491557" w:rsidP="00491557">
      <w:pPr>
        <w:spacing w:after="220" w:line="276" w:lineRule="auto"/>
        <w:jc w:val="right"/>
        <w:rPr>
          <w:rFonts w:ascii="Times New Roman" w:hAnsi="Times New Roman" w:cs="Arial"/>
          <w:i/>
          <w:sz w:val="24"/>
        </w:rPr>
      </w:pPr>
    </w:p>
    <w:p w:rsidR="00491557" w:rsidRPr="00ED3916" w:rsidRDefault="00491557" w:rsidP="00491557">
      <w:pPr>
        <w:spacing w:after="220" w:line="276" w:lineRule="auto"/>
        <w:jc w:val="right"/>
        <w:rPr>
          <w:rFonts w:ascii="Times New Roman" w:hAnsi="Times New Roman" w:cs="Arial"/>
          <w:i/>
          <w:sz w:val="24"/>
        </w:rPr>
      </w:pPr>
    </w:p>
    <w:p w:rsidR="00491557" w:rsidRPr="00ED3916" w:rsidRDefault="00491557" w:rsidP="00491557">
      <w:pPr>
        <w:spacing w:after="220" w:line="276" w:lineRule="auto"/>
        <w:jc w:val="right"/>
        <w:rPr>
          <w:rFonts w:ascii="Times New Roman" w:hAnsi="Times New Roman" w:cs="Arial"/>
          <w:i/>
          <w:sz w:val="24"/>
        </w:rPr>
      </w:pPr>
    </w:p>
    <w:p w:rsidR="00491557" w:rsidRPr="00ED3916" w:rsidRDefault="00491557" w:rsidP="00491557">
      <w:pPr>
        <w:spacing w:after="220" w:line="276" w:lineRule="auto"/>
        <w:jc w:val="right"/>
        <w:rPr>
          <w:rFonts w:ascii="Times New Roman" w:hAnsi="Times New Roman" w:cs="Arial"/>
          <w:i/>
          <w:sz w:val="24"/>
        </w:rPr>
      </w:pPr>
    </w:p>
    <w:p w:rsidR="00336AF8" w:rsidRDefault="00336AF8" w:rsidP="00336AF8">
      <w:pPr>
        <w:pStyle w:val="NoSpacing"/>
        <w:jc w:val="both"/>
        <w:rPr>
          <w:color w:val="4F81BD"/>
          <w:lang w:val="en-US"/>
        </w:rPr>
      </w:pPr>
    </w:p>
    <w:p w:rsidR="00EE729C" w:rsidRDefault="00EE729C" w:rsidP="00336AF8">
      <w:pPr>
        <w:pStyle w:val="NoSpacing"/>
        <w:jc w:val="both"/>
        <w:rPr>
          <w:color w:val="4F81BD"/>
          <w:lang w:val="en-US"/>
        </w:rPr>
      </w:pPr>
    </w:p>
    <w:p w:rsidR="00EE729C" w:rsidRDefault="00EE729C" w:rsidP="00336AF8">
      <w:pPr>
        <w:pStyle w:val="NoSpacing"/>
        <w:jc w:val="both"/>
        <w:rPr>
          <w:color w:val="4F81BD"/>
          <w:lang w:val="en-US"/>
        </w:rPr>
      </w:pPr>
    </w:p>
    <w:p w:rsidR="00EE729C" w:rsidRPr="00EE729C" w:rsidRDefault="00EE729C" w:rsidP="00336AF8">
      <w:pPr>
        <w:pStyle w:val="NoSpacing"/>
        <w:jc w:val="both"/>
        <w:rPr>
          <w:color w:val="4F81BD"/>
          <w:lang w:val="en-U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508"/>
        <w:gridCol w:w="4508"/>
      </w:tblGrid>
      <w:tr w:rsidR="00336AF8" w:rsidRPr="00ED3916" w:rsidTr="00336AF8">
        <w:trPr>
          <w:trHeight w:val="500"/>
          <w:jc w:val="center"/>
        </w:trPr>
        <w:tc>
          <w:tcPr>
            <w:tcW w:w="9016" w:type="dxa"/>
            <w:gridSpan w:val="2"/>
            <w:vAlign w:val="center"/>
          </w:tcPr>
          <w:p w:rsidR="00336AF8" w:rsidRPr="00ED3916" w:rsidRDefault="00336AF8" w:rsidP="00336AF8">
            <w:pPr>
              <w:spacing w:before="120"/>
              <w:jc w:val="center"/>
              <w:rPr>
                <w:rFonts w:ascii="Calibri" w:hAnsi="Calibri" w:cs="Calibri"/>
                <w:b/>
                <w:color w:val="244061"/>
                <w:sz w:val="32"/>
                <w:szCs w:val="32"/>
              </w:rPr>
            </w:pPr>
            <w:r w:rsidRPr="00ED3916">
              <w:rPr>
                <w:rFonts w:ascii="Calibri" w:hAnsi="Calibri"/>
                <w:i/>
                <w:sz w:val="44"/>
                <w:szCs w:val="44"/>
              </w:rPr>
              <w:lastRenderedPageBreak/>
              <w:br w:type="page"/>
            </w:r>
            <w:r w:rsidRPr="00ED3916">
              <w:rPr>
                <w:rFonts w:ascii="Calibri" w:hAnsi="Calibri" w:cs="Calibri"/>
                <w:b/>
                <w:color w:val="365F91"/>
                <w:sz w:val="32"/>
                <w:szCs w:val="32"/>
              </w:rPr>
              <w:t>(Номер на проекта: P160511)</w:t>
            </w:r>
          </w:p>
        </w:tc>
      </w:tr>
      <w:tr w:rsidR="00336AF8" w:rsidRPr="00ED3916" w:rsidTr="00336AF8">
        <w:trPr>
          <w:trHeight w:val="838"/>
          <w:jc w:val="center"/>
        </w:trPr>
        <w:tc>
          <w:tcPr>
            <w:tcW w:w="4508" w:type="dxa"/>
          </w:tcPr>
          <w:p w:rsidR="00336AF8" w:rsidRPr="00ED3916" w:rsidRDefault="00336AF8" w:rsidP="00336AF8">
            <w:pPr>
              <w:tabs>
                <w:tab w:val="right" w:pos="4230"/>
              </w:tabs>
              <w:spacing w:before="120" w:after="120" w:line="276" w:lineRule="auto"/>
              <w:jc w:val="right"/>
              <w:rPr>
                <w:rFonts w:ascii="Calibri" w:hAnsi="Calibri" w:cs="Calibri"/>
                <w:sz w:val="22"/>
                <w:lang w:eastAsia="da-DK"/>
              </w:rPr>
            </w:pPr>
            <w:r w:rsidRPr="00ED3916">
              <w:rPr>
                <w:rFonts w:ascii="Calibri" w:hAnsi="Calibri" w:cs="Calibri"/>
                <w:sz w:val="22"/>
                <w:lang w:eastAsia="da-DK"/>
              </w:rPr>
              <w:t>Постоянен представител:</w:t>
            </w:r>
          </w:p>
          <w:p w:rsidR="00336AF8" w:rsidRPr="00ED3916" w:rsidRDefault="00336AF8" w:rsidP="00336AF8">
            <w:pPr>
              <w:tabs>
                <w:tab w:val="right" w:pos="4230"/>
              </w:tabs>
              <w:spacing w:before="120" w:after="120" w:line="276" w:lineRule="auto"/>
              <w:jc w:val="right"/>
              <w:rPr>
                <w:rFonts w:ascii="Calibri" w:hAnsi="Calibri" w:cs="Calibri"/>
                <w:sz w:val="22"/>
                <w:lang w:eastAsia="da-DK"/>
              </w:rPr>
            </w:pPr>
            <w:r w:rsidRPr="00ED3916">
              <w:rPr>
                <w:rFonts w:ascii="Calibri" w:hAnsi="Calibri" w:cs="Calibri"/>
                <w:sz w:val="22"/>
                <w:lang w:eastAsia="da-DK"/>
              </w:rPr>
              <w:t>Секторен ръководител:</w:t>
            </w:r>
          </w:p>
          <w:p w:rsidR="00336AF8" w:rsidRPr="00ED3916" w:rsidRDefault="00336AF8" w:rsidP="00336AF8">
            <w:pPr>
              <w:tabs>
                <w:tab w:val="right" w:pos="4230"/>
              </w:tabs>
              <w:spacing w:before="120" w:after="120" w:line="276" w:lineRule="auto"/>
              <w:jc w:val="right"/>
              <w:rPr>
                <w:rFonts w:ascii="Calibri" w:hAnsi="Calibri" w:cs="Calibri"/>
                <w:sz w:val="22"/>
                <w:lang w:eastAsia="da-DK"/>
              </w:rPr>
            </w:pPr>
            <w:r w:rsidRPr="00ED3916">
              <w:rPr>
                <w:rFonts w:ascii="Calibri" w:hAnsi="Calibri" w:cs="Calibri"/>
                <w:sz w:val="22"/>
                <w:lang w:eastAsia="da-DK"/>
              </w:rPr>
              <w:t>(Съ-)Ръководители на екипа:</w:t>
            </w:r>
          </w:p>
          <w:p w:rsidR="00336AF8" w:rsidRPr="00ED3916" w:rsidRDefault="00336AF8" w:rsidP="00336AF8">
            <w:pPr>
              <w:tabs>
                <w:tab w:val="right" w:pos="4230"/>
              </w:tabs>
              <w:spacing w:before="120" w:after="120" w:line="276" w:lineRule="auto"/>
              <w:jc w:val="right"/>
              <w:rPr>
                <w:rFonts w:ascii="Calibri" w:hAnsi="Calibri" w:cs="Calibri"/>
                <w:sz w:val="22"/>
                <w:lang w:eastAsia="da-DK"/>
              </w:rPr>
            </w:pPr>
            <w:r w:rsidRPr="00ED3916">
              <w:rPr>
                <w:rFonts w:ascii="Calibri" w:hAnsi="Calibri" w:cs="Calibri"/>
                <w:sz w:val="22"/>
                <w:lang w:eastAsia="da-DK"/>
              </w:rPr>
              <w:t>Координатор на проекта:</w:t>
            </w:r>
          </w:p>
        </w:tc>
        <w:tc>
          <w:tcPr>
            <w:tcW w:w="4508" w:type="dxa"/>
          </w:tcPr>
          <w:p w:rsidR="00336AF8" w:rsidRPr="00ED3916" w:rsidRDefault="00336AF8" w:rsidP="00336AF8">
            <w:pPr>
              <w:tabs>
                <w:tab w:val="right" w:pos="4230"/>
              </w:tabs>
              <w:spacing w:before="120" w:after="120" w:line="276" w:lineRule="auto"/>
              <w:rPr>
                <w:rFonts w:ascii="Calibri" w:hAnsi="Calibri" w:cs="Calibri"/>
                <w:sz w:val="22"/>
                <w:lang w:eastAsia="da-DK"/>
              </w:rPr>
            </w:pPr>
            <w:r w:rsidRPr="00ED3916">
              <w:rPr>
                <w:rFonts w:ascii="Calibri" w:hAnsi="Calibri" w:cs="Calibri"/>
                <w:sz w:val="22"/>
                <w:lang w:eastAsia="da-DK"/>
              </w:rPr>
              <w:t xml:space="preserve">Антъни Томпсън </w:t>
            </w:r>
          </w:p>
          <w:p w:rsidR="00336AF8" w:rsidRPr="00ED3916" w:rsidRDefault="00336AF8" w:rsidP="00336AF8">
            <w:pPr>
              <w:tabs>
                <w:tab w:val="right" w:pos="4230"/>
              </w:tabs>
              <w:spacing w:before="120" w:after="120" w:line="276" w:lineRule="auto"/>
              <w:rPr>
                <w:rFonts w:ascii="Calibri" w:hAnsi="Calibri" w:cs="Calibri"/>
                <w:sz w:val="22"/>
                <w:lang w:eastAsia="da-DK"/>
              </w:rPr>
            </w:pPr>
            <w:r w:rsidRPr="00ED3916">
              <w:rPr>
                <w:rFonts w:ascii="Calibri" w:hAnsi="Calibri" w:cs="Calibri"/>
                <w:sz w:val="22"/>
                <w:lang w:eastAsia="da-DK"/>
              </w:rPr>
              <w:t>Руксандра Мариа Флорою</w:t>
            </w:r>
          </w:p>
          <w:p w:rsidR="00336AF8" w:rsidRPr="00ED3916" w:rsidRDefault="00336AF8" w:rsidP="00336AF8">
            <w:pPr>
              <w:tabs>
                <w:tab w:val="right" w:pos="4230"/>
              </w:tabs>
              <w:spacing w:before="120" w:after="120" w:line="276" w:lineRule="auto"/>
              <w:rPr>
                <w:rFonts w:ascii="Calibri" w:hAnsi="Calibri" w:cs="Calibri"/>
                <w:sz w:val="22"/>
                <w:lang w:eastAsia="da-DK"/>
              </w:rPr>
            </w:pPr>
            <w:r w:rsidRPr="00ED3916">
              <w:rPr>
                <w:rFonts w:ascii="Calibri" w:hAnsi="Calibri" w:cs="Calibri"/>
                <w:sz w:val="22"/>
                <w:lang w:eastAsia="da-DK"/>
              </w:rPr>
              <w:t>Филип Амбрози, Еолина Петрова Милова</w:t>
            </w:r>
          </w:p>
          <w:p w:rsidR="00336AF8" w:rsidRPr="00ED3916" w:rsidRDefault="00336AF8" w:rsidP="00336AF8">
            <w:pPr>
              <w:tabs>
                <w:tab w:val="right" w:pos="4230"/>
              </w:tabs>
              <w:spacing w:before="120" w:after="120" w:line="276" w:lineRule="auto"/>
              <w:rPr>
                <w:rFonts w:ascii="Calibri" w:hAnsi="Calibri" w:cs="Calibri"/>
                <w:sz w:val="22"/>
                <w:lang w:eastAsia="da-DK"/>
              </w:rPr>
            </w:pPr>
            <w:r w:rsidRPr="00ED3916">
              <w:rPr>
                <w:rFonts w:ascii="Calibri" w:hAnsi="Calibri" w:cs="Calibri"/>
                <w:sz w:val="22"/>
                <w:lang w:eastAsia="da-DK"/>
              </w:rPr>
              <w:t>Робърт Бакс</w:t>
            </w:r>
          </w:p>
        </w:tc>
      </w:tr>
    </w:tbl>
    <w:p w:rsidR="00336AF8" w:rsidRPr="00ED3916" w:rsidRDefault="00336AF8" w:rsidP="00336AF8">
      <w:pPr>
        <w:spacing w:after="60" w:line="276" w:lineRule="auto"/>
        <w:jc w:val="both"/>
        <w:rPr>
          <w:rFonts w:ascii="Times New Roman" w:hAnsi="Times New Roman"/>
          <w:sz w:val="24"/>
        </w:rPr>
      </w:pPr>
    </w:p>
    <w:p w:rsidR="00336AF8" w:rsidRPr="00ED3916" w:rsidRDefault="00336AF8" w:rsidP="00336AF8">
      <w:pPr>
        <w:spacing w:after="60" w:line="276" w:lineRule="auto"/>
        <w:jc w:val="both"/>
        <w:rPr>
          <w:rFonts w:ascii="Times New Roman" w:hAnsi="Times New Roman"/>
          <w:sz w:val="24"/>
        </w:rPr>
      </w:pPr>
    </w:p>
    <w:p w:rsidR="00336AF8" w:rsidRPr="00ED3916" w:rsidRDefault="00336AF8" w:rsidP="00336AF8">
      <w:pPr>
        <w:spacing w:after="60" w:line="276" w:lineRule="auto"/>
        <w:jc w:val="both"/>
        <w:rPr>
          <w:rFonts w:ascii="Times New Roman" w:hAnsi="Times New Roman"/>
          <w:sz w:val="24"/>
        </w:rPr>
      </w:pPr>
    </w:p>
    <w:p w:rsidR="00336AF8" w:rsidRPr="00ED3916" w:rsidRDefault="00336AF8" w:rsidP="00336AF8">
      <w:pPr>
        <w:spacing w:after="60" w:line="276" w:lineRule="auto"/>
        <w:jc w:val="both"/>
        <w:rPr>
          <w:rFonts w:ascii="Times New Roman" w:hAnsi="Times New Roman"/>
          <w:sz w:val="24"/>
        </w:rPr>
      </w:pPr>
    </w:p>
    <w:p w:rsidR="00336AF8" w:rsidRPr="00ED3916" w:rsidRDefault="00336AF8" w:rsidP="00336AF8">
      <w:pPr>
        <w:spacing w:after="60" w:line="276" w:lineRule="auto"/>
        <w:jc w:val="both"/>
        <w:rPr>
          <w:rFonts w:ascii="Times New Roman" w:hAnsi="Times New Roman"/>
          <w:sz w:val="24"/>
        </w:rPr>
      </w:pPr>
    </w:p>
    <w:p w:rsidR="00336AF8" w:rsidRPr="00ED3916" w:rsidRDefault="00336AF8" w:rsidP="00336AF8">
      <w:pPr>
        <w:spacing w:after="60" w:line="276" w:lineRule="auto"/>
        <w:jc w:val="both"/>
        <w:rPr>
          <w:rFonts w:ascii="Times New Roman" w:hAnsi="Times New Roman"/>
          <w:sz w:val="24"/>
        </w:rPr>
      </w:pPr>
    </w:p>
    <w:p w:rsidR="00336AF8" w:rsidRPr="00ED3916" w:rsidRDefault="00336AF8" w:rsidP="00336AF8">
      <w:pPr>
        <w:spacing w:after="60" w:line="276" w:lineRule="auto"/>
        <w:jc w:val="both"/>
        <w:rPr>
          <w:rFonts w:ascii="Times New Roman" w:hAnsi="Times New Roman"/>
          <w:sz w:val="24"/>
        </w:rPr>
      </w:pPr>
    </w:p>
    <w:p w:rsidR="00336AF8" w:rsidRPr="00ED3916" w:rsidRDefault="00336AF8" w:rsidP="00336AF8">
      <w:pPr>
        <w:spacing w:after="60" w:line="276" w:lineRule="auto"/>
        <w:jc w:val="both"/>
        <w:rPr>
          <w:rFonts w:ascii="Times New Roman" w:hAnsi="Times New Roman"/>
          <w:szCs w:val="20"/>
        </w:rPr>
      </w:pPr>
      <w:r w:rsidRPr="00ED3916">
        <w:rPr>
          <w:rFonts w:ascii="Times New Roman" w:hAnsi="Times New Roman"/>
          <w:szCs w:val="20"/>
        </w:rPr>
        <w:t>Настоящият доклад е изготвен от основен екип под ръководството на Веселина Троева (местен консултант), с помощта на нейния екип от експерти от Националния център за териториално развитие (НЦТР), под надзора на Юка Макино (служител на Световната банка), подпомаган от Йоана Масик и Ашна Матема (служители на Световната банка). Екипът работи под общото ръководство на Филип Амбрози (</w:t>
      </w:r>
      <w:bookmarkStart w:id="0" w:name="_Hlk521507202"/>
      <w:r w:rsidRPr="00ED3916">
        <w:rPr>
          <w:rFonts w:ascii="Times New Roman" w:hAnsi="Times New Roman"/>
          <w:szCs w:val="20"/>
        </w:rPr>
        <w:t>старши икономист по въпросите на околната среда, ръководител на екипа по задачата</w:t>
      </w:r>
      <w:bookmarkEnd w:id="0"/>
      <w:r w:rsidRPr="00ED3916">
        <w:rPr>
          <w:rFonts w:ascii="Times New Roman" w:hAnsi="Times New Roman"/>
          <w:szCs w:val="20"/>
        </w:rPr>
        <w:t>), Еолина Петрова Милова (</w:t>
      </w:r>
      <w:bookmarkStart w:id="1" w:name="_Hlk521507254"/>
      <w:r w:rsidRPr="00ED3916">
        <w:rPr>
          <w:rFonts w:ascii="Times New Roman" w:hAnsi="Times New Roman"/>
          <w:szCs w:val="20"/>
        </w:rPr>
        <w:t>старши оперативен служител, съръководител на екипа по задачата</w:t>
      </w:r>
      <w:bookmarkEnd w:id="1"/>
      <w:r w:rsidRPr="00ED3916">
        <w:rPr>
          <w:rFonts w:ascii="Times New Roman" w:hAnsi="Times New Roman"/>
          <w:szCs w:val="20"/>
        </w:rPr>
        <w:t>) и Робърт Бакс (</w:t>
      </w:r>
      <w:bookmarkStart w:id="2" w:name="_Hlk521506880"/>
      <w:r w:rsidRPr="00ED3916">
        <w:rPr>
          <w:rFonts w:ascii="Times New Roman" w:hAnsi="Times New Roman"/>
          <w:szCs w:val="20"/>
        </w:rPr>
        <w:t>експерт по въпросите на адаптацията към изменението на климата и постоянно пребиваващ в страната координатор по проекта</w:t>
      </w:r>
      <w:bookmarkEnd w:id="2"/>
      <w:r w:rsidRPr="00ED3916">
        <w:rPr>
          <w:rFonts w:ascii="Times New Roman" w:hAnsi="Times New Roman"/>
          <w:szCs w:val="20"/>
        </w:rPr>
        <w:t>), с подкрепата на Димитър Начев и Аделина Доцинска (асистенти), Светлана Александрова (икономист) и Йени Кацарска (институционален експерт).</w:t>
      </w:r>
      <w:r w:rsidRPr="00ED3916">
        <w:rPr>
          <w:szCs w:val="20"/>
        </w:rPr>
        <w:t xml:space="preserve"> </w:t>
      </w:r>
      <w:r w:rsidRPr="00ED3916">
        <w:rPr>
          <w:rFonts w:ascii="Times New Roman" w:hAnsi="Times New Roman"/>
          <w:szCs w:val="20"/>
        </w:rPr>
        <w:t>Партньорският преглед на доклада е извършен от Юну Шреста и Стивън Линг под ръководството на Руксандра Мариа Флорою (служители на Световната банка).</w:t>
      </w:r>
    </w:p>
    <w:p w:rsidR="00336AF8" w:rsidRPr="00ED3916" w:rsidRDefault="00336AF8" w:rsidP="00336AF8">
      <w:pPr>
        <w:spacing w:before="240" w:after="60"/>
        <w:jc w:val="center"/>
        <w:rPr>
          <w:rFonts w:ascii="Calibri" w:hAnsi="Calibri"/>
          <w:b/>
          <w:color w:val="2F5496"/>
          <w:sz w:val="32"/>
          <w:szCs w:val="32"/>
        </w:rPr>
      </w:pPr>
      <w:bookmarkStart w:id="3" w:name="_GoBack"/>
      <w:bookmarkEnd w:id="3"/>
      <w:r w:rsidRPr="00ED3916">
        <w:rPr>
          <w:rFonts w:ascii="Calibri" w:hAnsi="Calibri"/>
          <w:b/>
          <w:color w:val="2F5496"/>
          <w:sz w:val="32"/>
          <w:szCs w:val="32"/>
        </w:rPr>
        <w:t>БЛАГОДАРНОСТИ</w:t>
      </w:r>
    </w:p>
    <w:p w:rsidR="00AA4661" w:rsidRPr="00ED3916" w:rsidRDefault="00336AF8" w:rsidP="00336AF8">
      <w:pPr>
        <w:spacing w:after="60" w:line="276" w:lineRule="auto"/>
        <w:jc w:val="both"/>
        <w:rPr>
          <w:rFonts w:ascii="Times New Roman" w:hAnsi="Times New Roman"/>
          <w:sz w:val="24"/>
          <w:szCs w:val="24"/>
        </w:rPr>
      </w:pPr>
      <w:r w:rsidRPr="00ED3916">
        <w:rPr>
          <w:rFonts w:ascii="Times New Roman" w:hAnsi="Times New Roman"/>
          <w:szCs w:val="20"/>
        </w:rPr>
        <w:t>Екипът би желал да изкаже благодарност на правителството на България, в частност на г-жа Атанаска Николова (заместник-министър на околната среда и водите), г-жа Боряна Каменова (директор на дирекция „Политика по изменение на климата“ в МОСВ), г-жа Вероника Дачева</w:t>
      </w:r>
      <w:r w:rsidR="002C08E3">
        <w:rPr>
          <w:rFonts w:ascii="Times New Roman" w:hAnsi="Times New Roman"/>
          <w:szCs w:val="20"/>
        </w:rPr>
        <w:t xml:space="preserve"> и Мария Тодорова</w:t>
      </w:r>
      <w:r w:rsidRPr="00ED3916">
        <w:rPr>
          <w:rFonts w:ascii="Times New Roman" w:hAnsi="Times New Roman"/>
          <w:szCs w:val="20"/>
        </w:rPr>
        <w:t xml:space="preserve"> (експерт</w:t>
      </w:r>
      <w:r w:rsidR="002C08E3">
        <w:rPr>
          <w:rFonts w:ascii="Times New Roman" w:hAnsi="Times New Roman"/>
          <w:szCs w:val="20"/>
        </w:rPr>
        <w:t>и</w:t>
      </w:r>
      <w:r w:rsidRPr="00ED3916">
        <w:rPr>
          <w:rFonts w:ascii="Times New Roman" w:hAnsi="Times New Roman"/>
          <w:szCs w:val="20"/>
        </w:rPr>
        <w:t xml:space="preserve"> в дирекция „Политика по изменение на климата“ на МОСВ) и на други експерти в различни държавни институции, както и на членовете на Националния експертен съвет по изменение на климата и на Националния координационен съвет по изменение на климата и на участниците във Встъпителния семинар, Консултативните срещи на заинтересованите страни, Секторните консултативни сесии, Националния консултативен семинар на заинтересованите страни и Секторните срещи за приоритизация за отличното сътрудничество и подкрепа, изразени устно и в писмена форма. Изказваме благодарност и за коментарите и предложенията, както и за открития обмен на идеи. Бихме искали да отдадем заслуженото и на приноса на Антъни Томпсън (постоянен представител на Световна банка в България) при подготовката и провеждането на преговорите по Консултантската програма</w:t>
      </w:r>
      <w:r w:rsidR="00AA4661" w:rsidRPr="00ED3916">
        <w:rPr>
          <w:rFonts w:ascii="Times New Roman" w:hAnsi="Times New Roman"/>
          <w:szCs w:val="20"/>
        </w:rPr>
        <w:t>.</w:t>
      </w:r>
      <w:r w:rsidR="00AA4661" w:rsidRPr="00ED3916">
        <w:rPr>
          <w:rFonts w:ascii="Times New Roman" w:hAnsi="Times New Roman"/>
          <w:sz w:val="24"/>
          <w:szCs w:val="24"/>
        </w:rPr>
        <w:br w:type="page"/>
      </w:r>
    </w:p>
    <w:p w:rsidR="00AA4661" w:rsidRPr="00B73D7E" w:rsidRDefault="00AA4661" w:rsidP="00B73D7E">
      <w:pPr>
        <w:widowControl w:val="0"/>
        <w:spacing w:before="240" w:after="120"/>
        <w:jc w:val="both"/>
        <w:rPr>
          <w:rFonts w:ascii="Calibri" w:hAnsi="Calibri"/>
          <w:b/>
          <w:color w:val="2F5496"/>
          <w:sz w:val="32"/>
          <w:szCs w:val="32"/>
        </w:rPr>
      </w:pPr>
      <w:r w:rsidRPr="00B73D7E">
        <w:rPr>
          <w:rFonts w:ascii="Calibri" w:hAnsi="Calibri"/>
          <w:b/>
          <w:color w:val="2F5496"/>
          <w:sz w:val="32"/>
          <w:szCs w:val="32"/>
        </w:rPr>
        <w:lastRenderedPageBreak/>
        <w:t>Съдържание</w:t>
      </w:r>
    </w:p>
    <w:p w:rsidR="00F05127" w:rsidRDefault="00A147B2">
      <w:pPr>
        <w:pStyle w:val="TOC1"/>
        <w:rPr>
          <w:rFonts w:asciiTheme="minorHAnsi" w:eastAsiaTheme="minorEastAsia" w:hAnsiTheme="minorHAnsi" w:cstheme="minorBidi"/>
          <w:szCs w:val="22"/>
          <w:lang w:val="en-US"/>
        </w:rPr>
      </w:pPr>
      <w:r>
        <w:rPr>
          <w:rFonts w:cs="Times New Roman"/>
          <w:b/>
          <w:noProof w:val="0"/>
          <w:color w:val="365F91"/>
          <w:sz w:val="32"/>
          <w:szCs w:val="32"/>
        </w:rPr>
        <w:fldChar w:fldCharType="begin"/>
      </w:r>
      <w:r>
        <w:rPr>
          <w:rFonts w:cs="Times New Roman"/>
          <w:b/>
          <w:noProof w:val="0"/>
          <w:color w:val="365F91"/>
          <w:sz w:val="32"/>
          <w:szCs w:val="32"/>
        </w:rPr>
        <w:instrText xml:space="preserve"> TOC \o "1-3" \h \z \u </w:instrText>
      </w:r>
      <w:r>
        <w:rPr>
          <w:rFonts w:cs="Times New Roman"/>
          <w:b/>
          <w:noProof w:val="0"/>
          <w:color w:val="365F91"/>
          <w:sz w:val="32"/>
          <w:szCs w:val="32"/>
        </w:rPr>
        <w:fldChar w:fldCharType="separate"/>
      </w:r>
      <w:hyperlink w:anchor="_Toc529285510" w:history="1">
        <w:r w:rsidR="00F05127" w:rsidRPr="006376C3">
          <w:rPr>
            <w:rStyle w:val="Hyperlink"/>
          </w:rPr>
          <w:t>Съкращения и акроними</w:t>
        </w:r>
        <w:r w:rsidR="00F05127">
          <w:rPr>
            <w:webHidden/>
          </w:rPr>
          <w:tab/>
        </w:r>
        <w:r w:rsidR="00F05127">
          <w:rPr>
            <w:webHidden/>
          </w:rPr>
          <w:fldChar w:fldCharType="begin"/>
        </w:r>
        <w:r w:rsidR="00F05127">
          <w:rPr>
            <w:webHidden/>
          </w:rPr>
          <w:instrText xml:space="preserve"> PAGEREF _Toc529285510 \h </w:instrText>
        </w:r>
        <w:r w:rsidR="00F05127">
          <w:rPr>
            <w:webHidden/>
          </w:rPr>
        </w:r>
        <w:r w:rsidR="00F05127">
          <w:rPr>
            <w:webHidden/>
          </w:rPr>
          <w:fldChar w:fldCharType="separate"/>
        </w:r>
        <w:r w:rsidR="00F05127">
          <w:rPr>
            <w:webHidden/>
          </w:rPr>
          <w:t>viii</w:t>
        </w:r>
        <w:r w:rsidR="00F05127">
          <w:rPr>
            <w:webHidden/>
          </w:rPr>
          <w:fldChar w:fldCharType="end"/>
        </w:r>
      </w:hyperlink>
    </w:p>
    <w:p w:rsidR="00F05127" w:rsidRDefault="00BF5281">
      <w:pPr>
        <w:pStyle w:val="TOC1"/>
        <w:rPr>
          <w:rFonts w:asciiTheme="minorHAnsi" w:eastAsiaTheme="minorEastAsia" w:hAnsiTheme="minorHAnsi" w:cstheme="minorBidi"/>
          <w:szCs w:val="22"/>
          <w:lang w:val="en-US"/>
        </w:rPr>
      </w:pPr>
      <w:hyperlink w:anchor="_Toc529285511" w:history="1">
        <w:r w:rsidR="00F05127" w:rsidRPr="006376C3">
          <w:rPr>
            <w:rStyle w:val="Hyperlink"/>
          </w:rPr>
          <w:t>Терминологичен речник</w:t>
        </w:r>
        <w:r w:rsidR="00F05127">
          <w:rPr>
            <w:webHidden/>
          </w:rPr>
          <w:tab/>
        </w:r>
        <w:r w:rsidR="00F05127">
          <w:rPr>
            <w:webHidden/>
          </w:rPr>
          <w:fldChar w:fldCharType="begin"/>
        </w:r>
        <w:r w:rsidR="00F05127">
          <w:rPr>
            <w:webHidden/>
          </w:rPr>
          <w:instrText xml:space="preserve"> PAGEREF _Toc529285511 \h </w:instrText>
        </w:r>
        <w:r w:rsidR="00F05127">
          <w:rPr>
            <w:webHidden/>
          </w:rPr>
        </w:r>
        <w:r w:rsidR="00F05127">
          <w:rPr>
            <w:webHidden/>
          </w:rPr>
          <w:fldChar w:fldCharType="separate"/>
        </w:r>
        <w:r w:rsidR="00F05127">
          <w:rPr>
            <w:webHidden/>
          </w:rPr>
          <w:t>xiii</w:t>
        </w:r>
        <w:r w:rsidR="00F05127">
          <w:rPr>
            <w:webHidden/>
          </w:rPr>
          <w:fldChar w:fldCharType="end"/>
        </w:r>
      </w:hyperlink>
    </w:p>
    <w:p w:rsidR="00F05127" w:rsidRDefault="00BF5281">
      <w:pPr>
        <w:pStyle w:val="TOC1"/>
        <w:rPr>
          <w:rFonts w:asciiTheme="minorHAnsi" w:eastAsiaTheme="minorEastAsia" w:hAnsiTheme="minorHAnsi" w:cstheme="minorBidi"/>
          <w:szCs w:val="22"/>
          <w:lang w:val="en-US"/>
        </w:rPr>
      </w:pPr>
      <w:hyperlink w:anchor="_Toc529285512" w:history="1">
        <w:r w:rsidR="00F05127" w:rsidRPr="006376C3">
          <w:rPr>
            <w:rStyle w:val="Hyperlink"/>
          </w:rPr>
          <w:t>Резюме</w:t>
        </w:r>
        <w:r w:rsidR="00F05127">
          <w:rPr>
            <w:webHidden/>
          </w:rPr>
          <w:tab/>
        </w:r>
        <w:r w:rsidR="00F05127">
          <w:rPr>
            <w:webHidden/>
          </w:rPr>
          <w:fldChar w:fldCharType="begin"/>
        </w:r>
        <w:r w:rsidR="00F05127">
          <w:rPr>
            <w:webHidden/>
          </w:rPr>
          <w:instrText xml:space="preserve"> PAGEREF _Toc529285512 \h </w:instrText>
        </w:r>
        <w:r w:rsidR="00F05127">
          <w:rPr>
            <w:webHidden/>
          </w:rPr>
        </w:r>
        <w:r w:rsidR="00F05127">
          <w:rPr>
            <w:webHidden/>
          </w:rPr>
          <w:fldChar w:fldCharType="separate"/>
        </w:r>
        <w:r w:rsidR="00F05127">
          <w:rPr>
            <w:webHidden/>
          </w:rPr>
          <w:t>1</w:t>
        </w:r>
        <w:r w:rsidR="00F05127">
          <w:rPr>
            <w:webHidden/>
          </w:rPr>
          <w:fldChar w:fldCharType="end"/>
        </w:r>
      </w:hyperlink>
    </w:p>
    <w:p w:rsidR="00F05127" w:rsidRDefault="00BF5281">
      <w:pPr>
        <w:pStyle w:val="TOC1"/>
        <w:rPr>
          <w:rFonts w:asciiTheme="minorHAnsi" w:eastAsiaTheme="minorEastAsia" w:hAnsiTheme="minorHAnsi" w:cstheme="minorBidi"/>
          <w:szCs w:val="22"/>
          <w:lang w:val="en-US"/>
        </w:rPr>
      </w:pPr>
      <w:hyperlink w:anchor="_Toc529285513" w:history="1">
        <w:r w:rsidR="00F05127" w:rsidRPr="006376C3">
          <w:rPr>
            <w:rStyle w:val="Hyperlink"/>
          </w:rPr>
          <w:t>Въведение - Изменение на климата в България</w:t>
        </w:r>
        <w:r w:rsidR="00F05127">
          <w:rPr>
            <w:webHidden/>
          </w:rPr>
          <w:tab/>
        </w:r>
        <w:r w:rsidR="00F05127">
          <w:rPr>
            <w:webHidden/>
          </w:rPr>
          <w:fldChar w:fldCharType="begin"/>
        </w:r>
        <w:r w:rsidR="00F05127">
          <w:rPr>
            <w:webHidden/>
          </w:rPr>
          <w:instrText xml:space="preserve"> PAGEREF _Toc529285513 \h </w:instrText>
        </w:r>
        <w:r w:rsidR="00F05127">
          <w:rPr>
            <w:webHidden/>
          </w:rPr>
        </w:r>
        <w:r w:rsidR="00F05127">
          <w:rPr>
            <w:webHidden/>
          </w:rPr>
          <w:fldChar w:fldCharType="separate"/>
        </w:r>
        <w:r w:rsidR="00F05127">
          <w:rPr>
            <w:webHidden/>
          </w:rPr>
          <w:t>7</w:t>
        </w:r>
        <w:r w:rsidR="00F05127">
          <w:rPr>
            <w:webHidden/>
          </w:rPr>
          <w:fldChar w:fldCharType="end"/>
        </w:r>
      </w:hyperlink>
    </w:p>
    <w:p w:rsidR="00F05127" w:rsidRDefault="00BF5281">
      <w:pPr>
        <w:pStyle w:val="TOC1"/>
        <w:rPr>
          <w:rFonts w:asciiTheme="minorHAnsi" w:eastAsiaTheme="minorEastAsia" w:hAnsiTheme="minorHAnsi" w:cstheme="minorBidi"/>
          <w:szCs w:val="22"/>
          <w:lang w:val="en-US"/>
        </w:rPr>
      </w:pPr>
      <w:hyperlink w:anchor="_Toc529285514" w:history="1">
        <w:r w:rsidR="00F05127" w:rsidRPr="006376C3">
          <w:rPr>
            <w:rStyle w:val="Hyperlink"/>
          </w:rPr>
          <w:t>Глава 1. Оценка и анализ на риска и уязвимостта на градската среда</w:t>
        </w:r>
        <w:r w:rsidR="00F05127">
          <w:rPr>
            <w:webHidden/>
          </w:rPr>
          <w:tab/>
        </w:r>
        <w:r w:rsidR="00F05127">
          <w:rPr>
            <w:webHidden/>
          </w:rPr>
          <w:fldChar w:fldCharType="begin"/>
        </w:r>
        <w:r w:rsidR="00F05127">
          <w:rPr>
            <w:webHidden/>
          </w:rPr>
          <w:instrText xml:space="preserve"> PAGEREF _Toc529285514 \h </w:instrText>
        </w:r>
        <w:r w:rsidR="00F05127">
          <w:rPr>
            <w:webHidden/>
          </w:rPr>
        </w:r>
        <w:r w:rsidR="00F05127">
          <w:rPr>
            <w:webHidden/>
          </w:rPr>
          <w:fldChar w:fldCharType="separate"/>
        </w:r>
        <w:r w:rsidR="00F05127">
          <w:rPr>
            <w:webHidden/>
          </w:rPr>
          <w:t>10</w:t>
        </w:r>
        <w:r w:rsidR="00F05127">
          <w:rPr>
            <w:webHidden/>
          </w:rPr>
          <w:fldChar w:fldCharType="end"/>
        </w:r>
      </w:hyperlink>
    </w:p>
    <w:p w:rsidR="00F05127" w:rsidRDefault="00BF5281">
      <w:pPr>
        <w:pStyle w:val="TOC2"/>
        <w:rPr>
          <w:rFonts w:asciiTheme="minorHAnsi" w:eastAsiaTheme="minorEastAsia" w:hAnsiTheme="minorHAnsi" w:cstheme="minorBidi"/>
          <w:noProof/>
          <w:lang w:val="en-US"/>
        </w:rPr>
      </w:pPr>
      <w:hyperlink w:anchor="_Toc529285515" w:history="1">
        <w:r w:rsidR="00F05127" w:rsidRPr="006376C3">
          <w:rPr>
            <w:rStyle w:val="Hyperlink"/>
            <w:rFonts w:eastAsia="MS Gothic"/>
            <w:noProof/>
          </w:rPr>
          <w:t>1.1.</w:t>
        </w:r>
        <w:r w:rsidR="00F05127">
          <w:rPr>
            <w:rFonts w:asciiTheme="minorHAnsi" w:eastAsiaTheme="minorEastAsia" w:hAnsiTheme="minorHAnsi" w:cstheme="minorBidi"/>
            <w:noProof/>
            <w:lang w:val="en-US"/>
          </w:rPr>
          <w:tab/>
        </w:r>
        <w:r w:rsidR="00F05127" w:rsidRPr="006376C3">
          <w:rPr>
            <w:rStyle w:val="Hyperlink"/>
            <w:noProof/>
          </w:rPr>
          <w:t>Характеристики и тенденции на градската среда</w:t>
        </w:r>
        <w:r w:rsidR="00F05127">
          <w:rPr>
            <w:noProof/>
            <w:webHidden/>
          </w:rPr>
          <w:tab/>
        </w:r>
        <w:r w:rsidR="00F05127">
          <w:rPr>
            <w:noProof/>
            <w:webHidden/>
          </w:rPr>
          <w:fldChar w:fldCharType="begin"/>
        </w:r>
        <w:r w:rsidR="00F05127">
          <w:rPr>
            <w:noProof/>
            <w:webHidden/>
          </w:rPr>
          <w:instrText xml:space="preserve"> PAGEREF _Toc529285515 \h </w:instrText>
        </w:r>
        <w:r w:rsidR="00F05127">
          <w:rPr>
            <w:noProof/>
            <w:webHidden/>
          </w:rPr>
        </w:r>
        <w:r w:rsidR="00F05127">
          <w:rPr>
            <w:noProof/>
            <w:webHidden/>
          </w:rPr>
          <w:fldChar w:fldCharType="separate"/>
        </w:r>
        <w:r w:rsidR="00F05127">
          <w:rPr>
            <w:noProof/>
            <w:webHidden/>
          </w:rPr>
          <w:t>10</w:t>
        </w:r>
        <w:r w:rsidR="00F05127">
          <w:rPr>
            <w:noProof/>
            <w:webHidden/>
          </w:rPr>
          <w:fldChar w:fldCharType="end"/>
        </w:r>
      </w:hyperlink>
    </w:p>
    <w:p w:rsidR="00F05127" w:rsidRDefault="00BF5281">
      <w:pPr>
        <w:pStyle w:val="TOC3"/>
        <w:rPr>
          <w:rFonts w:asciiTheme="minorHAnsi" w:eastAsiaTheme="minorEastAsia" w:hAnsiTheme="minorHAnsi" w:cstheme="minorBidi"/>
          <w:noProof/>
          <w:lang w:val="en-US"/>
        </w:rPr>
      </w:pPr>
      <w:hyperlink w:anchor="_Toc529285516" w:history="1">
        <w:r w:rsidR="00F05127" w:rsidRPr="006376C3">
          <w:rPr>
            <w:rStyle w:val="Hyperlink"/>
            <w:noProof/>
          </w:rPr>
          <w:t>1.1.1.</w:t>
        </w:r>
        <w:r w:rsidR="00F05127">
          <w:rPr>
            <w:rFonts w:asciiTheme="minorHAnsi" w:eastAsiaTheme="minorEastAsia" w:hAnsiTheme="minorHAnsi" w:cstheme="minorBidi"/>
            <w:noProof/>
            <w:lang w:val="en-US"/>
          </w:rPr>
          <w:tab/>
        </w:r>
        <w:r w:rsidR="00F05127" w:rsidRPr="006376C3">
          <w:rPr>
            <w:rStyle w:val="Hyperlink"/>
            <w:noProof/>
          </w:rPr>
          <w:t>Урбанизация и демографски тенденции</w:t>
        </w:r>
        <w:r w:rsidR="00F05127">
          <w:rPr>
            <w:noProof/>
            <w:webHidden/>
          </w:rPr>
          <w:tab/>
        </w:r>
        <w:r w:rsidR="00F05127">
          <w:rPr>
            <w:noProof/>
            <w:webHidden/>
          </w:rPr>
          <w:fldChar w:fldCharType="begin"/>
        </w:r>
        <w:r w:rsidR="00F05127">
          <w:rPr>
            <w:noProof/>
            <w:webHidden/>
          </w:rPr>
          <w:instrText xml:space="preserve"> PAGEREF _Toc529285516 \h </w:instrText>
        </w:r>
        <w:r w:rsidR="00F05127">
          <w:rPr>
            <w:noProof/>
            <w:webHidden/>
          </w:rPr>
        </w:r>
        <w:r w:rsidR="00F05127">
          <w:rPr>
            <w:noProof/>
            <w:webHidden/>
          </w:rPr>
          <w:fldChar w:fldCharType="separate"/>
        </w:r>
        <w:r w:rsidR="00F05127">
          <w:rPr>
            <w:noProof/>
            <w:webHidden/>
          </w:rPr>
          <w:t>10</w:t>
        </w:r>
        <w:r w:rsidR="00F05127">
          <w:rPr>
            <w:noProof/>
            <w:webHidden/>
          </w:rPr>
          <w:fldChar w:fldCharType="end"/>
        </w:r>
      </w:hyperlink>
    </w:p>
    <w:p w:rsidR="00F05127" w:rsidRDefault="00BF5281">
      <w:pPr>
        <w:pStyle w:val="TOC3"/>
        <w:rPr>
          <w:rFonts w:asciiTheme="minorHAnsi" w:eastAsiaTheme="minorEastAsia" w:hAnsiTheme="minorHAnsi" w:cstheme="minorBidi"/>
          <w:noProof/>
          <w:lang w:val="en-US"/>
        </w:rPr>
      </w:pPr>
      <w:hyperlink w:anchor="_Toc529285517" w:history="1">
        <w:r w:rsidR="00F05127" w:rsidRPr="006376C3">
          <w:rPr>
            <w:rStyle w:val="Hyperlink"/>
            <w:noProof/>
          </w:rPr>
          <w:t>1.1.2.</w:t>
        </w:r>
        <w:r w:rsidR="00F05127">
          <w:rPr>
            <w:rFonts w:asciiTheme="minorHAnsi" w:eastAsiaTheme="minorEastAsia" w:hAnsiTheme="minorHAnsi" w:cstheme="minorBidi"/>
            <w:noProof/>
            <w:lang w:val="en-US"/>
          </w:rPr>
          <w:tab/>
        </w:r>
        <w:r w:rsidR="00F05127" w:rsidRPr="006376C3">
          <w:rPr>
            <w:rStyle w:val="Hyperlink"/>
            <w:noProof/>
          </w:rPr>
          <w:t>Местоположение, градска структура и планиране на градовете</w:t>
        </w:r>
        <w:r w:rsidR="00F05127">
          <w:rPr>
            <w:noProof/>
            <w:webHidden/>
          </w:rPr>
          <w:tab/>
        </w:r>
        <w:r w:rsidR="00F05127">
          <w:rPr>
            <w:noProof/>
            <w:webHidden/>
          </w:rPr>
          <w:fldChar w:fldCharType="begin"/>
        </w:r>
        <w:r w:rsidR="00F05127">
          <w:rPr>
            <w:noProof/>
            <w:webHidden/>
          </w:rPr>
          <w:instrText xml:space="preserve"> PAGEREF _Toc529285517 \h </w:instrText>
        </w:r>
        <w:r w:rsidR="00F05127">
          <w:rPr>
            <w:noProof/>
            <w:webHidden/>
          </w:rPr>
        </w:r>
        <w:r w:rsidR="00F05127">
          <w:rPr>
            <w:noProof/>
            <w:webHidden/>
          </w:rPr>
          <w:fldChar w:fldCharType="separate"/>
        </w:r>
        <w:r w:rsidR="00F05127">
          <w:rPr>
            <w:noProof/>
            <w:webHidden/>
          </w:rPr>
          <w:t>14</w:t>
        </w:r>
        <w:r w:rsidR="00F05127">
          <w:rPr>
            <w:noProof/>
            <w:webHidden/>
          </w:rPr>
          <w:fldChar w:fldCharType="end"/>
        </w:r>
      </w:hyperlink>
    </w:p>
    <w:p w:rsidR="00F05127" w:rsidRDefault="00BF5281">
      <w:pPr>
        <w:pStyle w:val="TOC3"/>
        <w:rPr>
          <w:rFonts w:asciiTheme="minorHAnsi" w:eastAsiaTheme="minorEastAsia" w:hAnsiTheme="minorHAnsi" w:cstheme="minorBidi"/>
          <w:noProof/>
          <w:lang w:val="en-US"/>
        </w:rPr>
      </w:pPr>
      <w:hyperlink w:anchor="_Toc529285518" w:history="1">
        <w:r w:rsidR="00F05127" w:rsidRPr="006376C3">
          <w:rPr>
            <w:rStyle w:val="Hyperlink"/>
            <w:noProof/>
          </w:rPr>
          <w:t>1.1.3.</w:t>
        </w:r>
        <w:r w:rsidR="00F05127">
          <w:rPr>
            <w:rFonts w:asciiTheme="minorHAnsi" w:eastAsiaTheme="minorEastAsia" w:hAnsiTheme="minorHAnsi" w:cstheme="minorBidi"/>
            <w:noProof/>
            <w:lang w:val="en-US"/>
          </w:rPr>
          <w:tab/>
        </w:r>
        <w:r w:rsidR="00F05127" w:rsidRPr="006376C3">
          <w:rPr>
            <w:rStyle w:val="Hyperlink"/>
            <w:noProof/>
          </w:rPr>
          <w:t>Строителен и жилищен сектор</w:t>
        </w:r>
        <w:r w:rsidR="00F05127">
          <w:rPr>
            <w:noProof/>
            <w:webHidden/>
          </w:rPr>
          <w:tab/>
        </w:r>
        <w:r w:rsidR="00F05127">
          <w:rPr>
            <w:noProof/>
            <w:webHidden/>
          </w:rPr>
          <w:fldChar w:fldCharType="begin"/>
        </w:r>
        <w:r w:rsidR="00F05127">
          <w:rPr>
            <w:noProof/>
            <w:webHidden/>
          </w:rPr>
          <w:instrText xml:space="preserve"> PAGEREF _Toc529285518 \h </w:instrText>
        </w:r>
        <w:r w:rsidR="00F05127">
          <w:rPr>
            <w:noProof/>
            <w:webHidden/>
          </w:rPr>
        </w:r>
        <w:r w:rsidR="00F05127">
          <w:rPr>
            <w:noProof/>
            <w:webHidden/>
          </w:rPr>
          <w:fldChar w:fldCharType="separate"/>
        </w:r>
        <w:r w:rsidR="00F05127">
          <w:rPr>
            <w:noProof/>
            <w:webHidden/>
          </w:rPr>
          <w:t>20</w:t>
        </w:r>
        <w:r w:rsidR="00F05127">
          <w:rPr>
            <w:noProof/>
            <w:webHidden/>
          </w:rPr>
          <w:fldChar w:fldCharType="end"/>
        </w:r>
      </w:hyperlink>
    </w:p>
    <w:p w:rsidR="00F05127" w:rsidRDefault="00BF5281">
      <w:pPr>
        <w:pStyle w:val="TOC3"/>
        <w:rPr>
          <w:rFonts w:asciiTheme="minorHAnsi" w:eastAsiaTheme="minorEastAsia" w:hAnsiTheme="minorHAnsi" w:cstheme="minorBidi"/>
          <w:noProof/>
          <w:lang w:val="en-US"/>
        </w:rPr>
      </w:pPr>
      <w:hyperlink w:anchor="_Toc529285519" w:history="1">
        <w:r w:rsidR="00F05127" w:rsidRPr="006376C3">
          <w:rPr>
            <w:rStyle w:val="Hyperlink"/>
            <w:noProof/>
          </w:rPr>
          <w:t>1.1.4.</w:t>
        </w:r>
        <w:r w:rsidR="00F05127">
          <w:rPr>
            <w:rFonts w:asciiTheme="minorHAnsi" w:eastAsiaTheme="minorEastAsia" w:hAnsiTheme="minorHAnsi" w:cstheme="minorBidi"/>
            <w:noProof/>
            <w:lang w:val="en-US"/>
          </w:rPr>
          <w:tab/>
        </w:r>
        <w:r w:rsidR="00F05127" w:rsidRPr="006376C3">
          <w:rPr>
            <w:rStyle w:val="Hyperlink"/>
            <w:noProof/>
          </w:rPr>
          <w:t>Управление на общинска собственост</w:t>
        </w:r>
        <w:r w:rsidR="00F05127">
          <w:rPr>
            <w:noProof/>
            <w:webHidden/>
          </w:rPr>
          <w:tab/>
        </w:r>
        <w:r w:rsidR="00F05127">
          <w:rPr>
            <w:noProof/>
            <w:webHidden/>
          </w:rPr>
          <w:fldChar w:fldCharType="begin"/>
        </w:r>
        <w:r w:rsidR="00F05127">
          <w:rPr>
            <w:noProof/>
            <w:webHidden/>
          </w:rPr>
          <w:instrText xml:space="preserve"> PAGEREF _Toc529285519 \h </w:instrText>
        </w:r>
        <w:r w:rsidR="00F05127">
          <w:rPr>
            <w:noProof/>
            <w:webHidden/>
          </w:rPr>
        </w:r>
        <w:r w:rsidR="00F05127">
          <w:rPr>
            <w:noProof/>
            <w:webHidden/>
          </w:rPr>
          <w:fldChar w:fldCharType="separate"/>
        </w:r>
        <w:r w:rsidR="00F05127">
          <w:rPr>
            <w:noProof/>
            <w:webHidden/>
          </w:rPr>
          <w:t>23</w:t>
        </w:r>
        <w:r w:rsidR="00F05127">
          <w:rPr>
            <w:noProof/>
            <w:webHidden/>
          </w:rPr>
          <w:fldChar w:fldCharType="end"/>
        </w:r>
      </w:hyperlink>
    </w:p>
    <w:p w:rsidR="00F05127" w:rsidRDefault="00BF5281">
      <w:pPr>
        <w:pStyle w:val="TOC2"/>
        <w:rPr>
          <w:rFonts w:asciiTheme="minorHAnsi" w:eastAsiaTheme="minorEastAsia" w:hAnsiTheme="minorHAnsi" w:cstheme="minorBidi"/>
          <w:noProof/>
          <w:lang w:val="en-US"/>
        </w:rPr>
      </w:pPr>
      <w:hyperlink w:anchor="_Toc529285520" w:history="1">
        <w:r w:rsidR="00F05127" w:rsidRPr="006376C3">
          <w:rPr>
            <w:rStyle w:val="Hyperlink"/>
            <w:noProof/>
          </w:rPr>
          <w:t>1.2.</w:t>
        </w:r>
        <w:r w:rsidR="00F05127">
          <w:rPr>
            <w:rFonts w:asciiTheme="minorHAnsi" w:eastAsiaTheme="minorEastAsia" w:hAnsiTheme="minorHAnsi" w:cstheme="minorBidi"/>
            <w:noProof/>
            <w:lang w:val="en-US"/>
          </w:rPr>
          <w:tab/>
        </w:r>
        <w:r w:rsidR="00F05127" w:rsidRPr="006376C3">
          <w:rPr>
            <w:rStyle w:val="Hyperlink"/>
            <w:noProof/>
          </w:rPr>
          <w:t>Минали и настоящи метеорологични събития и последствията от тях, и ответните действия в градския сектор</w:t>
        </w:r>
        <w:r w:rsidR="00F05127">
          <w:rPr>
            <w:noProof/>
            <w:webHidden/>
          </w:rPr>
          <w:tab/>
        </w:r>
        <w:r w:rsidR="00F05127">
          <w:rPr>
            <w:noProof/>
            <w:webHidden/>
          </w:rPr>
          <w:fldChar w:fldCharType="begin"/>
        </w:r>
        <w:r w:rsidR="00F05127">
          <w:rPr>
            <w:noProof/>
            <w:webHidden/>
          </w:rPr>
          <w:instrText xml:space="preserve"> PAGEREF _Toc529285520 \h </w:instrText>
        </w:r>
        <w:r w:rsidR="00F05127">
          <w:rPr>
            <w:noProof/>
            <w:webHidden/>
          </w:rPr>
        </w:r>
        <w:r w:rsidR="00F05127">
          <w:rPr>
            <w:noProof/>
            <w:webHidden/>
          </w:rPr>
          <w:fldChar w:fldCharType="separate"/>
        </w:r>
        <w:r w:rsidR="00F05127">
          <w:rPr>
            <w:noProof/>
            <w:webHidden/>
          </w:rPr>
          <w:t>24</w:t>
        </w:r>
        <w:r w:rsidR="00F05127">
          <w:rPr>
            <w:noProof/>
            <w:webHidden/>
          </w:rPr>
          <w:fldChar w:fldCharType="end"/>
        </w:r>
      </w:hyperlink>
    </w:p>
    <w:p w:rsidR="00F05127" w:rsidRDefault="00BF5281">
      <w:pPr>
        <w:pStyle w:val="TOC3"/>
        <w:rPr>
          <w:rFonts w:asciiTheme="minorHAnsi" w:eastAsiaTheme="minorEastAsia" w:hAnsiTheme="minorHAnsi" w:cstheme="minorBidi"/>
          <w:noProof/>
          <w:lang w:val="en-US"/>
        </w:rPr>
      </w:pPr>
      <w:hyperlink w:anchor="_Toc529285521" w:history="1">
        <w:r w:rsidR="00F05127" w:rsidRPr="006376C3">
          <w:rPr>
            <w:rStyle w:val="Hyperlink"/>
            <w:noProof/>
          </w:rPr>
          <w:t>1.2.1.</w:t>
        </w:r>
        <w:r w:rsidR="00F05127">
          <w:rPr>
            <w:rFonts w:asciiTheme="minorHAnsi" w:eastAsiaTheme="minorEastAsia" w:hAnsiTheme="minorHAnsi" w:cstheme="minorBidi"/>
            <w:noProof/>
            <w:lang w:val="en-US"/>
          </w:rPr>
          <w:tab/>
        </w:r>
        <w:r w:rsidR="00F05127" w:rsidRPr="006376C3">
          <w:rPr>
            <w:rStyle w:val="Hyperlink"/>
            <w:noProof/>
          </w:rPr>
          <w:t>Екстремни температури</w:t>
        </w:r>
        <w:r w:rsidR="00F05127">
          <w:rPr>
            <w:noProof/>
            <w:webHidden/>
          </w:rPr>
          <w:tab/>
        </w:r>
        <w:r w:rsidR="00F05127">
          <w:rPr>
            <w:noProof/>
            <w:webHidden/>
          </w:rPr>
          <w:fldChar w:fldCharType="begin"/>
        </w:r>
        <w:r w:rsidR="00F05127">
          <w:rPr>
            <w:noProof/>
            <w:webHidden/>
          </w:rPr>
          <w:instrText xml:space="preserve"> PAGEREF _Toc529285521 \h </w:instrText>
        </w:r>
        <w:r w:rsidR="00F05127">
          <w:rPr>
            <w:noProof/>
            <w:webHidden/>
          </w:rPr>
        </w:r>
        <w:r w:rsidR="00F05127">
          <w:rPr>
            <w:noProof/>
            <w:webHidden/>
          </w:rPr>
          <w:fldChar w:fldCharType="separate"/>
        </w:r>
        <w:r w:rsidR="00F05127">
          <w:rPr>
            <w:noProof/>
            <w:webHidden/>
          </w:rPr>
          <w:t>25</w:t>
        </w:r>
        <w:r w:rsidR="00F05127">
          <w:rPr>
            <w:noProof/>
            <w:webHidden/>
          </w:rPr>
          <w:fldChar w:fldCharType="end"/>
        </w:r>
      </w:hyperlink>
    </w:p>
    <w:p w:rsidR="00F05127" w:rsidRDefault="00BF5281">
      <w:pPr>
        <w:pStyle w:val="TOC3"/>
        <w:rPr>
          <w:rFonts w:asciiTheme="minorHAnsi" w:eastAsiaTheme="minorEastAsia" w:hAnsiTheme="minorHAnsi" w:cstheme="minorBidi"/>
          <w:noProof/>
          <w:lang w:val="en-US"/>
        </w:rPr>
      </w:pPr>
      <w:hyperlink w:anchor="_Toc529285522" w:history="1">
        <w:r w:rsidR="00F05127" w:rsidRPr="006376C3">
          <w:rPr>
            <w:rStyle w:val="Hyperlink"/>
            <w:noProof/>
          </w:rPr>
          <w:t>1.2.2.</w:t>
        </w:r>
        <w:r w:rsidR="00F05127">
          <w:rPr>
            <w:rFonts w:asciiTheme="minorHAnsi" w:eastAsiaTheme="minorEastAsia" w:hAnsiTheme="minorHAnsi" w:cstheme="minorBidi"/>
            <w:noProof/>
            <w:lang w:val="en-US"/>
          </w:rPr>
          <w:tab/>
        </w:r>
        <w:r w:rsidR="00F05127" w:rsidRPr="006376C3">
          <w:rPr>
            <w:rStyle w:val="Hyperlink"/>
            <w:noProof/>
          </w:rPr>
          <w:t>Интензивни валежи</w:t>
        </w:r>
        <w:r w:rsidR="00F05127">
          <w:rPr>
            <w:noProof/>
            <w:webHidden/>
          </w:rPr>
          <w:tab/>
        </w:r>
        <w:r w:rsidR="00F05127">
          <w:rPr>
            <w:noProof/>
            <w:webHidden/>
          </w:rPr>
          <w:fldChar w:fldCharType="begin"/>
        </w:r>
        <w:r w:rsidR="00F05127">
          <w:rPr>
            <w:noProof/>
            <w:webHidden/>
          </w:rPr>
          <w:instrText xml:space="preserve"> PAGEREF _Toc529285522 \h </w:instrText>
        </w:r>
        <w:r w:rsidR="00F05127">
          <w:rPr>
            <w:noProof/>
            <w:webHidden/>
          </w:rPr>
        </w:r>
        <w:r w:rsidR="00F05127">
          <w:rPr>
            <w:noProof/>
            <w:webHidden/>
          </w:rPr>
          <w:fldChar w:fldCharType="separate"/>
        </w:r>
        <w:r w:rsidR="00F05127">
          <w:rPr>
            <w:noProof/>
            <w:webHidden/>
          </w:rPr>
          <w:t>26</w:t>
        </w:r>
        <w:r w:rsidR="00F05127">
          <w:rPr>
            <w:noProof/>
            <w:webHidden/>
          </w:rPr>
          <w:fldChar w:fldCharType="end"/>
        </w:r>
      </w:hyperlink>
    </w:p>
    <w:p w:rsidR="00F05127" w:rsidRDefault="00BF5281">
      <w:pPr>
        <w:pStyle w:val="TOC3"/>
        <w:rPr>
          <w:rFonts w:asciiTheme="minorHAnsi" w:eastAsiaTheme="minorEastAsia" w:hAnsiTheme="minorHAnsi" w:cstheme="minorBidi"/>
          <w:noProof/>
          <w:lang w:val="en-US"/>
        </w:rPr>
      </w:pPr>
      <w:hyperlink w:anchor="_Toc529285523" w:history="1">
        <w:r w:rsidR="00F05127" w:rsidRPr="006376C3">
          <w:rPr>
            <w:rStyle w:val="Hyperlink"/>
            <w:noProof/>
          </w:rPr>
          <w:t>1.2.3.</w:t>
        </w:r>
        <w:r w:rsidR="00F05127">
          <w:rPr>
            <w:rFonts w:asciiTheme="minorHAnsi" w:eastAsiaTheme="minorEastAsia" w:hAnsiTheme="minorHAnsi" w:cstheme="minorBidi"/>
            <w:noProof/>
            <w:lang w:val="en-US"/>
          </w:rPr>
          <w:tab/>
        </w:r>
        <w:r w:rsidR="00F05127" w:rsidRPr="006376C3">
          <w:rPr>
            <w:rStyle w:val="Hyperlink"/>
            <w:noProof/>
          </w:rPr>
          <w:t>Наводнения</w:t>
        </w:r>
        <w:r w:rsidR="00F05127">
          <w:rPr>
            <w:noProof/>
            <w:webHidden/>
          </w:rPr>
          <w:tab/>
        </w:r>
        <w:r w:rsidR="00F05127">
          <w:rPr>
            <w:noProof/>
            <w:webHidden/>
          </w:rPr>
          <w:fldChar w:fldCharType="begin"/>
        </w:r>
        <w:r w:rsidR="00F05127">
          <w:rPr>
            <w:noProof/>
            <w:webHidden/>
          </w:rPr>
          <w:instrText xml:space="preserve"> PAGEREF _Toc529285523 \h </w:instrText>
        </w:r>
        <w:r w:rsidR="00F05127">
          <w:rPr>
            <w:noProof/>
            <w:webHidden/>
          </w:rPr>
        </w:r>
        <w:r w:rsidR="00F05127">
          <w:rPr>
            <w:noProof/>
            <w:webHidden/>
          </w:rPr>
          <w:fldChar w:fldCharType="separate"/>
        </w:r>
        <w:r w:rsidR="00F05127">
          <w:rPr>
            <w:noProof/>
            <w:webHidden/>
          </w:rPr>
          <w:t>27</w:t>
        </w:r>
        <w:r w:rsidR="00F05127">
          <w:rPr>
            <w:noProof/>
            <w:webHidden/>
          </w:rPr>
          <w:fldChar w:fldCharType="end"/>
        </w:r>
      </w:hyperlink>
    </w:p>
    <w:p w:rsidR="00F05127" w:rsidRDefault="00BF5281">
      <w:pPr>
        <w:pStyle w:val="TOC3"/>
        <w:rPr>
          <w:rFonts w:asciiTheme="minorHAnsi" w:eastAsiaTheme="minorEastAsia" w:hAnsiTheme="minorHAnsi" w:cstheme="minorBidi"/>
          <w:noProof/>
          <w:lang w:val="en-US"/>
        </w:rPr>
      </w:pPr>
      <w:hyperlink w:anchor="_Toc529285524" w:history="1">
        <w:r w:rsidR="00F05127" w:rsidRPr="006376C3">
          <w:rPr>
            <w:rStyle w:val="Hyperlink"/>
            <w:noProof/>
          </w:rPr>
          <w:t>1.2.4.</w:t>
        </w:r>
        <w:r w:rsidR="00F05127">
          <w:rPr>
            <w:rFonts w:asciiTheme="minorHAnsi" w:eastAsiaTheme="minorEastAsia" w:hAnsiTheme="minorHAnsi" w:cstheme="minorBidi"/>
            <w:noProof/>
            <w:lang w:val="en-US"/>
          </w:rPr>
          <w:tab/>
        </w:r>
        <w:r w:rsidR="00F05127" w:rsidRPr="006376C3">
          <w:rPr>
            <w:rStyle w:val="Hyperlink"/>
            <w:noProof/>
          </w:rPr>
          <w:t>Свлачища</w:t>
        </w:r>
        <w:r w:rsidR="00F05127">
          <w:rPr>
            <w:noProof/>
            <w:webHidden/>
          </w:rPr>
          <w:tab/>
        </w:r>
        <w:r w:rsidR="00F05127">
          <w:rPr>
            <w:noProof/>
            <w:webHidden/>
          </w:rPr>
          <w:fldChar w:fldCharType="begin"/>
        </w:r>
        <w:r w:rsidR="00F05127">
          <w:rPr>
            <w:noProof/>
            <w:webHidden/>
          </w:rPr>
          <w:instrText xml:space="preserve"> PAGEREF _Toc529285524 \h </w:instrText>
        </w:r>
        <w:r w:rsidR="00F05127">
          <w:rPr>
            <w:noProof/>
            <w:webHidden/>
          </w:rPr>
        </w:r>
        <w:r w:rsidR="00F05127">
          <w:rPr>
            <w:noProof/>
            <w:webHidden/>
          </w:rPr>
          <w:fldChar w:fldCharType="separate"/>
        </w:r>
        <w:r w:rsidR="00F05127">
          <w:rPr>
            <w:noProof/>
            <w:webHidden/>
          </w:rPr>
          <w:t>28</w:t>
        </w:r>
        <w:r w:rsidR="00F05127">
          <w:rPr>
            <w:noProof/>
            <w:webHidden/>
          </w:rPr>
          <w:fldChar w:fldCharType="end"/>
        </w:r>
      </w:hyperlink>
    </w:p>
    <w:p w:rsidR="00F05127" w:rsidRDefault="00BF5281">
      <w:pPr>
        <w:pStyle w:val="TOC3"/>
        <w:rPr>
          <w:rFonts w:asciiTheme="minorHAnsi" w:eastAsiaTheme="minorEastAsia" w:hAnsiTheme="minorHAnsi" w:cstheme="minorBidi"/>
          <w:noProof/>
          <w:lang w:val="en-US"/>
        </w:rPr>
      </w:pPr>
      <w:hyperlink w:anchor="_Toc529285525" w:history="1">
        <w:r w:rsidR="00F05127" w:rsidRPr="006376C3">
          <w:rPr>
            <w:rStyle w:val="Hyperlink"/>
            <w:noProof/>
          </w:rPr>
          <w:t>1.2.5.</w:t>
        </w:r>
        <w:r w:rsidR="00F05127">
          <w:rPr>
            <w:rFonts w:asciiTheme="minorHAnsi" w:eastAsiaTheme="minorEastAsia" w:hAnsiTheme="minorHAnsi" w:cstheme="minorBidi"/>
            <w:noProof/>
            <w:lang w:val="en-US"/>
          </w:rPr>
          <w:tab/>
        </w:r>
        <w:r w:rsidR="00F05127" w:rsidRPr="006376C3">
          <w:rPr>
            <w:rStyle w:val="Hyperlink"/>
            <w:noProof/>
          </w:rPr>
          <w:t>Градски водни ресурси</w:t>
        </w:r>
        <w:r w:rsidR="00F05127">
          <w:rPr>
            <w:noProof/>
            <w:webHidden/>
          </w:rPr>
          <w:tab/>
        </w:r>
        <w:r w:rsidR="00F05127">
          <w:rPr>
            <w:noProof/>
            <w:webHidden/>
          </w:rPr>
          <w:fldChar w:fldCharType="begin"/>
        </w:r>
        <w:r w:rsidR="00F05127">
          <w:rPr>
            <w:noProof/>
            <w:webHidden/>
          </w:rPr>
          <w:instrText xml:space="preserve"> PAGEREF _Toc529285525 \h </w:instrText>
        </w:r>
        <w:r w:rsidR="00F05127">
          <w:rPr>
            <w:noProof/>
            <w:webHidden/>
          </w:rPr>
        </w:r>
        <w:r w:rsidR="00F05127">
          <w:rPr>
            <w:noProof/>
            <w:webHidden/>
          </w:rPr>
          <w:fldChar w:fldCharType="separate"/>
        </w:r>
        <w:r w:rsidR="00F05127">
          <w:rPr>
            <w:noProof/>
            <w:webHidden/>
          </w:rPr>
          <w:t>29</w:t>
        </w:r>
        <w:r w:rsidR="00F05127">
          <w:rPr>
            <w:noProof/>
            <w:webHidden/>
          </w:rPr>
          <w:fldChar w:fldCharType="end"/>
        </w:r>
      </w:hyperlink>
    </w:p>
    <w:p w:rsidR="00F05127" w:rsidRDefault="00BF5281">
      <w:pPr>
        <w:pStyle w:val="TOC3"/>
        <w:rPr>
          <w:rFonts w:asciiTheme="minorHAnsi" w:eastAsiaTheme="minorEastAsia" w:hAnsiTheme="minorHAnsi" w:cstheme="minorBidi"/>
          <w:noProof/>
          <w:lang w:val="en-US"/>
        </w:rPr>
      </w:pPr>
      <w:hyperlink w:anchor="_Toc529285526" w:history="1">
        <w:r w:rsidR="00F05127" w:rsidRPr="006376C3">
          <w:rPr>
            <w:rStyle w:val="Hyperlink"/>
            <w:noProof/>
          </w:rPr>
          <w:t>1.2.6.</w:t>
        </w:r>
        <w:r w:rsidR="00F05127">
          <w:rPr>
            <w:rFonts w:asciiTheme="minorHAnsi" w:eastAsiaTheme="minorEastAsia" w:hAnsiTheme="minorHAnsi" w:cstheme="minorBidi"/>
            <w:noProof/>
            <w:lang w:val="en-US"/>
          </w:rPr>
          <w:tab/>
        </w:r>
        <w:r w:rsidR="00F05127" w:rsidRPr="006376C3">
          <w:rPr>
            <w:rStyle w:val="Hyperlink"/>
            <w:noProof/>
          </w:rPr>
          <w:t>Замърсяване на въздуха</w:t>
        </w:r>
        <w:r w:rsidR="00F05127">
          <w:rPr>
            <w:noProof/>
            <w:webHidden/>
          </w:rPr>
          <w:tab/>
        </w:r>
        <w:r w:rsidR="00F05127">
          <w:rPr>
            <w:noProof/>
            <w:webHidden/>
          </w:rPr>
          <w:fldChar w:fldCharType="begin"/>
        </w:r>
        <w:r w:rsidR="00F05127">
          <w:rPr>
            <w:noProof/>
            <w:webHidden/>
          </w:rPr>
          <w:instrText xml:space="preserve"> PAGEREF _Toc529285526 \h </w:instrText>
        </w:r>
        <w:r w:rsidR="00F05127">
          <w:rPr>
            <w:noProof/>
            <w:webHidden/>
          </w:rPr>
        </w:r>
        <w:r w:rsidR="00F05127">
          <w:rPr>
            <w:noProof/>
            <w:webHidden/>
          </w:rPr>
          <w:fldChar w:fldCharType="separate"/>
        </w:r>
        <w:r w:rsidR="00F05127">
          <w:rPr>
            <w:noProof/>
            <w:webHidden/>
          </w:rPr>
          <w:t>30</w:t>
        </w:r>
        <w:r w:rsidR="00F05127">
          <w:rPr>
            <w:noProof/>
            <w:webHidden/>
          </w:rPr>
          <w:fldChar w:fldCharType="end"/>
        </w:r>
      </w:hyperlink>
    </w:p>
    <w:p w:rsidR="00F05127" w:rsidRDefault="00BF5281">
      <w:pPr>
        <w:pStyle w:val="TOC3"/>
        <w:rPr>
          <w:rFonts w:asciiTheme="minorHAnsi" w:eastAsiaTheme="minorEastAsia" w:hAnsiTheme="minorHAnsi" w:cstheme="minorBidi"/>
          <w:noProof/>
          <w:lang w:val="en-US"/>
        </w:rPr>
      </w:pPr>
      <w:hyperlink w:anchor="_Toc529285527" w:history="1">
        <w:r w:rsidR="00F05127" w:rsidRPr="006376C3">
          <w:rPr>
            <w:rStyle w:val="Hyperlink"/>
            <w:noProof/>
          </w:rPr>
          <w:t>1.2.7.</w:t>
        </w:r>
        <w:r w:rsidR="00F05127">
          <w:rPr>
            <w:rFonts w:asciiTheme="minorHAnsi" w:eastAsiaTheme="minorEastAsia" w:hAnsiTheme="minorHAnsi" w:cstheme="minorBidi"/>
            <w:noProof/>
            <w:lang w:val="en-US"/>
          </w:rPr>
          <w:tab/>
        </w:r>
        <w:r w:rsidR="00F05127" w:rsidRPr="006376C3">
          <w:rPr>
            <w:rStyle w:val="Hyperlink"/>
            <w:noProof/>
          </w:rPr>
          <w:t>Земетресения</w:t>
        </w:r>
        <w:r w:rsidR="00F05127">
          <w:rPr>
            <w:noProof/>
            <w:webHidden/>
          </w:rPr>
          <w:tab/>
        </w:r>
        <w:r w:rsidR="00F05127">
          <w:rPr>
            <w:noProof/>
            <w:webHidden/>
          </w:rPr>
          <w:fldChar w:fldCharType="begin"/>
        </w:r>
        <w:r w:rsidR="00F05127">
          <w:rPr>
            <w:noProof/>
            <w:webHidden/>
          </w:rPr>
          <w:instrText xml:space="preserve"> PAGEREF _Toc529285527 \h </w:instrText>
        </w:r>
        <w:r w:rsidR="00F05127">
          <w:rPr>
            <w:noProof/>
            <w:webHidden/>
          </w:rPr>
        </w:r>
        <w:r w:rsidR="00F05127">
          <w:rPr>
            <w:noProof/>
            <w:webHidden/>
          </w:rPr>
          <w:fldChar w:fldCharType="separate"/>
        </w:r>
        <w:r w:rsidR="00F05127">
          <w:rPr>
            <w:noProof/>
            <w:webHidden/>
          </w:rPr>
          <w:t>31</w:t>
        </w:r>
        <w:r w:rsidR="00F05127">
          <w:rPr>
            <w:noProof/>
            <w:webHidden/>
          </w:rPr>
          <w:fldChar w:fldCharType="end"/>
        </w:r>
      </w:hyperlink>
    </w:p>
    <w:p w:rsidR="00F05127" w:rsidRDefault="00BF5281">
      <w:pPr>
        <w:pStyle w:val="TOC2"/>
        <w:rPr>
          <w:rFonts w:asciiTheme="minorHAnsi" w:eastAsiaTheme="minorEastAsia" w:hAnsiTheme="minorHAnsi" w:cstheme="minorBidi"/>
          <w:noProof/>
          <w:lang w:val="en-US"/>
        </w:rPr>
      </w:pPr>
      <w:hyperlink w:anchor="_Toc529285528" w:history="1">
        <w:r w:rsidR="00F05127" w:rsidRPr="006376C3">
          <w:rPr>
            <w:rStyle w:val="Hyperlink"/>
            <w:noProof/>
          </w:rPr>
          <w:t>1.3.</w:t>
        </w:r>
        <w:r w:rsidR="00F05127">
          <w:rPr>
            <w:rFonts w:asciiTheme="minorHAnsi" w:eastAsiaTheme="minorEastAsia" w:hAnsiTheme="minorHAnsi" w:cstheme="minorBidi"/>
            <w:noProof/>
            <w:lang w:val="en-US"/>
          </w:rPr>
          <w:tab/>
        </w:r>
        <w:r w:rsidR="00F05127" w:rsidRPr="006376C3">
          <w:rPr>
            <w:rStyle w:val="Hyperlink"/>
            <w:noProof/>
          </w:rPr>
          <w:t>Рискове и уязвимост към изменението на климата, свързани със  сектора</w:t>
        </w:r>
        <w:r w:rsidR="00F05127">
          <w:rPr>
            <w:noProof/>
            <w:webHidden/>
          </w:rPr>
          <w:tab/>
        </w:r>
        <w:r w:rsidR="00F05127">
          <w:rPr>
            <w:noProof/>
            <w:webHidden/>
          </w:rPr>
          <w:fldChar w:fldCharType="begin"/>
        </w:r>
        <w:r w:rsidR="00F05127">
          <w:rPr>
            <w:noProof/>
            <w:webHidden/>
          </w:rPr>
          <w:instrText xml:space="preserve"> PAGEREF _Toc529285528 \h </w:instrText>
        </w:r>
        <w:r w:rsidR="00F05127">
          <w:rPr>
            <w:noProof/>
            <w:webHidden/>
          </w:rPr>
        </w:r>
        <w:r w:rsidR="00F05127">
          <w:rPr>
            <w:noProof/>
            <w:webHidden/>
          </w:rPr>
          <w:fldChar w:fldCharType="separate"/>
        </w:r>
        <w:r w:rsidR="00F05127">
          <w:rPr>
            <w:noProof/>
            <w:webHidden/>
          </w:rPr>
          <w:t>32</w:t>
        </w:r>
        <w:r w:rsidR="00F05127">
          <w:rPr>
            <w:noProof/>
            <w:webHidden/>
          </w:rPr>
          <w:fldChar w:fldCharType="end"/>
        </w:r>
      </w:hyperlink>
    </w:p>
    <w:p w:rsidR="00F05127" w:rsidRDefault="00BF5281">
      <w:pPr>
        <w:pStyle w:val="TOC3"/>
        <w:rPr>
          <w:rFonts w:asciiTheme="minorHAnsi" w:eastAsiaTheme="minorEastAsia" w:hAnsiTheme="minorHAnsi" w:cstheme="minorBidi"/>
          <w:noProof/>
          <w:lang w:val="en-US"/>
        </w:rPr>
      </w:pPr>
      <w:hyperlink w:anchor="_Toc529285529" w:history="1">
        <w:r w:rsidR="00F05127" w:rsidRPr="006376C3">
          <w:rPr>
            <w:rStyle w:val="Hyperlink"/>
            <w:noProof/>
          </w:rPr>
          <w:t>1.3.1.</w:t>
        </w:r>
        <w:r w:rsidR="00F05127">
          <w:rPr>
            <w:rFonts w:asciiTheme="minorHAnsi" w:eastAsiaTheme="minorEastAsia" w:hAnsiTheme="minorHAnsi" w:cstheme="minorBidi"/>
            <w:noProof/>
            <w:lang w:val="en-US"/>
          </w:rPr>
          <w:tab/>
        </w:r>
        <w:r w:rsidR="00F05127" w:rsidRPr="006376C3">
          <w:rPr>
            <w:rStyle w:val="Hyperlink"/>
            <w:noProof/>
          </w:rPr>
          <w:t>Оценка на уязвимостта на градската среда</w:t>
        </w:r>
        <w:r w:rsidR="00F05127">
          <w:rPr>
            <w:noProof/>
            <w:webHidden/>
          </w:rPr>
          <w:tab/>
        </w:r>
        <w:r w:rsidR="00F05127">
          <w:rPr>
            <w:noProof/>
            <w:webHidden/>
          </w:rPr>
          <w:fldChar w:fldCharType="begin"/>
        </w:r>
        <w:r w:rsidR="00F05127">
          <w:rPr>
            <w:noProof/>
            <w:webHidden/>
          </w:rPr>
          <w:instrText xml:space="preserve"> PAGEREF _Toc529285529 \h </w:instrText>
        </w:r>
        <w:r w:rsidR="00F05127">
          <w:rPr>
            <w:noProof/>
            <w:webHidden/>
          </w:rPr>
        </w:r>
        <w:r w:rsidR="00F05127">
          <w:rPr>
            <w:noProof/>
            <w:webHidden/>
          </w:rPr>
          <w:fldChar w:fldCharType="separate"/>
        </w:r>
        <w:r w:rsidR="00F05127">
          <w:rPr>
            <w:noProof/>
            <w:webHidden/>
          </w:rPr>
          <w:t>33</w:t>
        </w:r>
        <w:r w:rsidR="00F05127">
          <w:rPr>
            <w:noProof/>
            <w:webHidden/>
          </w:rPr>
          <w:fldChar w:fldCharType="end"/>
        </w:r>
      </w:hyperlink>
    </w:p>
    <w:p w:rsidR="00F05127" w:rsidRDefault="00BF5281">
      <w:pPr>
        <w:pStyle w:val="TOC3"/>
        <w:rPr>
          <w:rFonts w:asciiTheme="minorHAnsi" w:eastAsiaTheme="minorEastAsia" w:hAnsiTheme="minorHAnsi" w:cstheme="minorBidi"/>
          <w:noProof/>
          <w:lang w:val="en-US"/>
        </w:rPr>
      </w:pPr>
      <w:hyperlink w:anchor="_Toc529285530" w:history="1">
        <w:r w:rsidR="00F05127" w:rsidRPr="006376C3">
          <w:rPr>
            <w:rStyle w:val="Hyperlink"/>
            <w:noProof/>
          </w:rPr>
          <w:t>1.3.2.</w:t>
        </w:r>
        <w:r w:rsidR="00F05127">
          <w:rPr>
            <w:rFonts w:asciiTheme="minorHAnsi" w:eastAsiaTheme="minorEastAsia" w:hAnsiTheme="minorHAnsi" w:cstheme="minorBidi"/>
            <w:noProof/>
            <w:lang w:val="en-US"/>
          </w:rPr>
          <w:tab/>
        </w:r>
        <w:r w:rsidR="00F05127" w:rsidRPr="006376C3">
          <w:rPr>
            <w:rStyle w:val="Hyperlink"/>
            <w:noProof/>
          </w:rPr>
          <w:t>Потенциално въздействие на изменението на климата върху градската среда</w:t>
        </w:r>
        <w:r w:rsidR="00F05127">
          <w:rPr>
            <w:noProof/>
            <w:webHidden/>
          </w:rPr>
          <w:tab/>
        </w:r>
        <w:r w:rsidR="00F05127">
          <w:rPr>
            <w:noProof/>
            <w:webHidden/>
          </w:rPr>
          <w:fldChar w:fldCharType="begin"/>
        </w:r>
        <w:r w:rsidR="00F05127">
          <w:rPr>
            <w:noProof/>
            <w:webHidden/>
          </w:rPr>
          <w:instrText xml:space="preserve"> PAGEREF _Toc529285530 \h </w:instrText>
        </w:r>
        <w:r w:rsidR="00F05127">
          <w:rPr>
            <w:noProof/>
            <w:webHidden/>
          </w:rPr>
        </w:r>
        <w:r w:rsidR="00F05127">
          <w:rPr>
            <w:noProof/>
            <w:webHidden/>
          </w:rPr>
          <w:fldChar w:fldCharType="separate"/>
        </w:r>
        <w:r w:rsidR="00F05127">
          <w:rPr>
            <w:noProof/>
            <w:webHidden/>
          </w:rPr>
          <w:t>37</w:t>
        </w:r>
        <w:r w:rsidR="00F05127">
          <w:rPr>
            <w:noProof/>
            <w:webHidden/>
          </w:rPr>
          <w:fldChar w:fldCharType="end"/>
        </w:r>
      </w:hyperlink>
    </w:p>
    <w:p w:rsidR="00F05127" w:rsidRDefault="00BF5281">
      <w:pPr>
        <w:pStyle w:val="TOC2"/>
        <w:rPr>
          <w:rFonts w:asciiTheme="minorHAnsi" w:eastAsiaTheme="minorEastAsia" w:hAnsiTheme="minorHAnsi" w:cstheme="minorBidi"/>
          <w:noProof/>
          <w:lang w:val="en-US"/>
        </w:rPr>
      </w:pPr>
      <w:hyperlink w:anchor="_Toc529285531" w:history="1">
        <w:r w:rsidR="00F05127" w:rsidRPr="006376C3">
          <w:rPr>
            <w:rStyle w:val="Hyperlink"/>
            <w:noProof/>
          </w:rPr>
          <w:t>1.4.</w:t>
        </w:r>
        <w:r w:rsidR="00F05127">
          <w:rPr>
            <w:rFonts w:asciiTheme="minorHAnsi" w:eastAsiaTheme="minorEastAsia" w:hAnsiTheme="minorHAnsi" w:cstheme="minorBidi"/>
            <w:noProof/>
            <w:lang w:val="en-US"/>
          </w:rPr>
          <w:tab/>
        </w:r>
        <w:r w:rsidR="00F05127" w:rsidRPr="006376C3">
          <w:rPr>
            <w:rStyle w:val="Hyperlink"/>
            <w:noProof/>
          </w:rPr>
          <w:t>Заключения</w:t>
        </w:r>
        <w:r w:rsidR="00F05127">
          <w:rPr>
            <w:noProof/>
            <w:webHidden/>
          </w:rPr>
          <w:tab/>
        </w:r>
        <w:r w:rsidR="00F05127">
          <w:rPr>
            <w:noProof/>
            <w:webHidden/>
          </w:rPr>
          <w:fldChar w:fldCharType="begin"/>
        </w:r>
        <w:r w:rsidR="00F05127">
          <w:rPr>
            <w:noProof/>
            <w:webHidden/>
          </w:rPr>
          <w:instrText xml:space="preserve"> PAGEREF _Toc529285531 \h </w:instrText>
        </w:r>
        <w:r w:rsidR="00F05127">
          <w:rPr>
            <w:noProof/>
            <w:webHidden/>
          </w:rPr>
        </w:r>
        <w:r w:rsidR="00F05127">
          <w:rPr>
            <w:noProof/>
            <w:webHidden/>
          </w:rPr>
          <w:fldChar w:fldCharType="separate"/>
        </w:r>
        <w:r w:rsidR="00F05127">
          <w:rPr>
            <w:noProof/>
            <w:webHidden/>
          </w:rPr>
          <w:t>47</w:t>
        </w:r>
        <w:r w:rsidR="00F05127">
          <w:rPr>
            <w:noProof/>
            <w:webHidden/>
          </w:rPr>
          <w:fldChar w:fldCharType="end"/>
        </w:r>
      </w:hyperlink>
    </w:p>
    <w:p w:rsidR="00F05127" w:rsidRDefault="00BF5281">
      <w:pPr>
        <w:pStyle w:val="TOC1"/>
        <w:rPr>
          <w:rFonts w:asciiTheme="minorHAnsi" w:eastAsiaTheme="minorEastAsia" w:hAnsiTheme="minorHAnsi" w:cstheme="minorBidi"/>
          <w:szCs w:val="22"/>
          <w:lang w:val="en-US"/>
        </w:rPr>
      </w:pPr>
      <w:hyperlink w:anchor="_Toc529285532" w:history="1">
        <w:r w:rsidR="00F05127" w:rsidRPr="006376C3">
          <w:rPr>
            <w:rStyle w:val="Hyperlink"/>
          </w:rPr>
          <w:t>Глава 2. Изходно положение – контекст на политиките</w:t>
        </w:r>
        <w:r w:rsidR="00F05127">
          <w:rPr>
            <w:webHidden/>
          </w:rPr>
          <w:tab/>
        </w:r>
        <w:r w:rsidR="00F05127">
          <w:rPr>
            <w:webHidden/>
          </w:rPr>
          <w:fldChar w:fldCharType="begin"/>
        </w:r>
        <w:r w:rsidR="00F05127">
          <w:rPr>
            <w:webHidden/>
          </w:rPr>
          <w:instrText xml:space="preserve"> PAGEREF _Toc529285532 \h </w:instrText>
        </w:r>
        <w:r w:rsidR="00F05127">
          <w:rPr>
            <w:webHidden/>
          </w:rPr>
        </w:r>
        <w:r w:rsidR="00F05127">
          <w:rPr>
            <w:webHidden/>
          </w:rPr>
          <w:fldChar w:fldCharType="separate"/>
        </w:r>
        <w:r w:rsidR="00F05127">
          <w:rPr>
            <w:webHidden/>
          </w:rPr>
          <w:t>48</w:t>
        </w:r>
        <w:r w:rsidR="00F05127">
          <w:rPr>
            <w:webHidden/>
          </w:rPr>
          <w:fldChar w:fldCharType="end"/>
        </w:r>
      </w:hyperlink>
    </w:p>
    <w:p w:rsidR="00F05127" w:rsidRDefault="00BF5281">
      <w:pPr>
        <w:pStyle w:val="TOC2"/>
        <w:rPr>
          <w:rFonts w:asciiTheme="minorHAnsi" w:eastAsiaTheme="minorEastAsia" w:hAnsiTheme="minorHAnsi" w:cstheme="minorBidi"/>
          <w:noProof/>
          <w:lang w:val="en-US"/>
        </w:rPr>
      </w:pPr>
      <w:hyperlink w:anchor="_Toc529285533" w:history="1">
        <w:r w:rsidR="00F05127" w:rsidRPr="006376C3">
          <w:rPr>
            <w:rStyle w:val="Hyperlink"/>
            <w:noProof/>
          </w:rPr>
          <w:t>2.1.</w:t>
        </w:r>
        <w:r w:rsidR="00F05127">
          <w:rPr>
            <w:rFonts w:asciiTheme="minorHAnsi" w:eastAsiaTheme="minorEastAsia" w:hAnsiTheme="minorHAnsi" w:cstheme="minorBidi"/>
            <w:noProof/>
            <w:lang w:val="en-US"/>
          </w:rPr>
          <w:tab/>
        </w:r>
        <w:r w:rsidR="00F05127" w:rsidRPr="006376C3">
          <w:rPr>
            <w:rStyle w:val="Hyperlink"/>
            <w:noProof/>
          </w:rPr>
          <w:t>Степен на информираност, разбиране за бъдещите последици от изменението на климата, пропуски в познанието</w:t>
        </w:r>
        <w:r w:rsidR="00F05127">
          <w:rPr>
            <w:noProof/>
            <w:webHidden/>
          </w:rPr>
          <w:tab/>
        </w:r>
        <w:r w:rsidR="00F05127">
          <w:rPr>
            <w:noProof/>
            <w:webHidden/>
          </w:rPr>
          <w:fldChar w:fldCharType="begin"/>
        </w:r>
        <w:r w:rsidR="00F05127">
          <w:rPr>
            <w:noProof/>
            <w:webHidden/>
          </w:rPr>
          <w:instrText xml:space="preserve"> PAGEREF _Toc529285533 \h </w:instrText>
        </w:r>
        <w:r w:rsidR="00F05127">
          <w:rPr>
            <w:noProof/>
            <w:webHidden/>
          </w:rPr>
        </w:r>
        <w:r w:rsidR="00F05127">
          <w:rPr>
            <w:noProof/>
            <w:webHidden/>
          </w:rPr>
          <w:fldChar w:fldCharType="separate"/>
        </w:r>
        <w:r w:rsidR="00F05127">
          <w:rPr>
            <w:noProof/>
            <w:webHidden/>
          </w:rPr>
          <w:t>48</w:t>
        </w:r>
        <w:r w:rsidR="00F05127">
          <w:rPr>
            <w:noProof/>
            <w:webHidden/>
          </w:rPr>
          <w:fldChar w:fldCharType="end"/>
        </w:r>
      </w:hyperlink>
    </w:p>
    <w:p w:rsidR="00F05127" w:rsidRDefault="00BF5281">
      <w:pPr>
        <w:pStyle w:val="TOC3"/>
        <w:rPr>
          <w:rFonts w:asciiTheme="minorHAnsi" w:eastAsiaTheme="minorEastAsia" w:hAnsiTheme="minorHAnsi" w:cstheme="minorBidi"/>
          <w:noProof/>
          <w:lang w:val="en-US"/>
        </w:rPr>
      </w:pPr>
      <w:hyperlink w:anchor="_Toc529285534" w:history="1">
        <w:r w:rsidR="00F05127" w:rsidRPr="006376C3">
          <w:rPr>
            <w:rStyle w:val="Hyperlink"/>
            <w:noProof/>
          </w:rPr>
          <w:t>2.1.1.</w:t>
        </w:r>
        <w:r w:rsidR="00F05127">
          <w:rPr>
            <w:rFonts w:asciiTheme="minorHAnsi" w:eastAsiaTheme="minorEastAsia" w:hAnsiTheme="minorHAnsi" w:cstheme="minorBidi"/>
            <w:noProof/>
            <w:lang w:val="en-US"/>
          </w:rPr>
          <w:tab/>
        </w:r>
        <w:r w:rsidR="00F05127" w:rsidRPr="006376C3">
          <w:rPr>
            <w:rStyle w:val="Hyperlink"/>
            <w:noProof/>
          </w:rPr>
          <w:t>Изследователска политика и институции в сектора на градска среда</w:t>
        </w:r>
        <w:r w:rsidR="00F05127">
          <w:rPr>
            <w:noProof/>
            <w:webHidden/>
          </w:rPr>
          <w:tab/>
        </w:r>
        <w:r w:rsidR="00F05127">
          <w:rPr>
            <w:noProof/>
            <w:webHidden/>
          </w:rPr>
          <w:fldChar w:fldCharType="begin"/>
        </w:r>
        <w:r w:rsidR="00F05127">
          <w:rPr>
            <w:noProof/>
            <w:webHidden/>
          </w:rPr>
          <w:instrText xml:space="preserve"> PAGEREF _Toc529285534 \h </w:instrText>
        </w:r>
        <w:r w:rsidR="00F05127">
          <w:rPr>
            <w:noProof/>
            <w:webHidden/>
          </w:rPr>
        </w:r>
        <w:r w:rsidR="00F05127">
          <w:rPr>
            <w:noProof/>
            <w:webHidden/>
          </w:rPr>
          <w:fldChar w:fldCharType="separate"/>
        </w:r>
        <w:r w:rsidR="00F05127">
          <w:rPr>
            <w:noProof/>
            <w:webHidden/>
          </w:rPr>
          <w:t>48</w:t>
        </w:r>
        <w:r w:rsidR="00F05127">
          <w:rPr>
            <w:noProof/>
            <w:webHidden/>
          </w:rPr>
          <w:fldChar w:fldCharType="end"/>
        </w:r>
      </w:hyperlink>
    </w:p>
    <w:p w:rsidR="00F05127" w:rsidRDefault="00BF5281">
      <w:pPr>
        <w:pStyle w:val="TOC3"/>
        <w:rPr>
          <w:rFonts w:asciiTheme="minorHAnsi" w:eastAsiaTheme="minorEastAsia" w:hAnsiTheme="minorHAnsi" w:cstheme="minorBidi"/>
          <w:noProof/>
          <w:lang w:val="en-US"/>
        </w:rPr>
      </w:pPr>
      <w:hyperlink w:anchor="_Toc529285535" w:history="1">
        <w:r w:rsidR="00F05127" w:rsidRPr="006376C3">
          <w:rPr>
            <w:rStyle w:val="Hyperlink"/>
            <w:noProof/>
          </w:rPr>
          <w:t>2.1.2.</w:t>
        </w:r>
        <w:r w:rsidR="00F05127">
          <w:rPr>
            <w:rFonts w:asciiTheme="minorHAnsi" w:eastAsiaTheme="minorEastAsia" w:hAnsiTheme="minorHAnsi" w:cstheme="minorBidi"/>
            <w:noProof/>
            <w:lang w:val="en-US"/>
          </w:rPr>
          <w:tab/>
        </w:r>
        <w:r w:rsidR="00F05127" w:rsidRPr="006376C3">
          <w:rPr>
            <w:rStyle w:val="Hyperlink"/>
            <w:noProof/>
          </w:rPr>
          <w:t>Степен на информираност и пропуски в познанието</w:t>
        </w:r>
        <w:r w:rsidR="00F05127">
          <w:rPr>
            <w:noProof/>
            <w:webHidden/>
          </w:rPr>
          <w:tab/>
        </w:r>
        <w:r w:rsidR="00F05127">
          <w:rPr>
            <w:noProof/>
            <w:webHidden/>
          </w:rPr>
          <w:fldChar w:fldCharType="begin"/>
        </w:r>
        <w:r w:rsidR="00F05127">
          <w:rPr>
            <w:noProof/>
            <w:webHidden/>
          </w:rPr>
          <w:instrText xml:space="preserve"> PAGEREF _Toc529285535 \h </w:instrText>
        </w:r>
        <w:r w:rsidR="00F05127">
          <w:rPr>
            <w:noProof/>
            <w:webHidden/>
          </w:rPr>
        </w:r>
        <w:r w:rsidR="00F05127">
          <w:rPr>
            <w:noProof/>
            <w:webHidden/>
          </w:rPr>
          <w:fldChar w:fldCharType="separate"/>
        </w:r>
        <w:r w:rsidR="00F05127">
          <w:rPr>
            <w:noProof/>
            <w:webHidden/>
          </w:rPr>
          <w:t>50</w:t>
        </w:r>
        <w:r w:rsidR="00F05127">
          <w:rPr>
            <w:noProof/>
            <w:webHidden/>
          </w:rPr>
          <w:fldChar w:fldCharType="end"/>
        </w:r>
      </w:hyperlink>
    </w:p>
    <w:p w:rsidR="00F05127" w:rsidRDefault="00BF5281">
      <w:pPr>
        <w:pStyle w:val="TOC2"/>
        <w:rPr>
          <w:rFonts w:asciiTheme="minorHAnsi" w:eastAsiaTheme="minorEastAsia" w:hAnsiTheme="minorHAnsi" w:cstheme="minorBidi"/>
          <w:noProof/>
          <w:lang w:val="en-US"/>
        </w:rPr>
      </w:pPr>
      <w:hyperlink w:anchor="_Toc529285536" w:history="1">
        <w:r w:rsidR="00F05127" w:rsidRPr="006376C3">
          <w:rPr>
            <w:rStyle w:val="Hyperlink"/>
            <w:noProof/>
          </w:rPr>
          <w:t>2.2.</w:t>
        </w:r>
        <w:r w:rsidR="00F05127">
          <w:rPr>
            <w:rFonts w:asciiTheme="minorHAnsi" w:eastAsiaTheme="minorEastAsia" w:hAnsiTheme="minorHAnsi" w:cstheme="minorBidi"/>
            <w:noProof/>
            <w:lang w:val="en-US"/>
          </w:rPr>
          <w:tab/>
        </w:r>
        <w:r w:rsidR="00F05127" w:rsidRPr="006376C3">
          <w:rPr>
            <w:rStyle w:val="Hyperlink"/>
            <w:noProof/>
          </w:rPr>
          <w:t>Опит с АИК за градска среда в други държави (в ЕС)</w:t>
        </w:r>
        <w:r w:rsidR="00F05127">
          <w:rPr>
            <w:noProof/>
            <w:webHidden/>
          </w:rPr>
          <w:tab/>
        </w:r>
        <w:r w:rsidR="00F05127">
          <w:rPr>
            <w:noProof/>
            <w:webHidden/>
          </w:rPr>
          <w:fldChar w:fldCharType="begin"/>
        </w:r>
        <w:r w:rsidR="00F05127">
          <w:rPr>
            <w:noProof/>
            <w:webHidden/>
          </w:rPr>
          <w:instrText xml:space="preserve"> PAGEREF _Toc529285536 \h </w:instrText>
        </w:r>
        <w:r w:rsidR="00F05127">
          <w:rPr>
            <w:noProof/>
            <w:webHidden/>
          </w:rPr>
        </w:r>
        <w:r w:rsidR="00F05127">
          <w:rPr>
            <w:noProof/>
            <w:webHidden/>
          </w:rPr>
          <w:fldChar w:fldCharType="separate"/>
        </w:r>
        <w:r w:rsidR="00F05127">
          <w:rPr>
            <w:noProof/>
            <w:webHidden/>
          </w:rPr>
          <w:t>52</w:t>
        </w:r>
        <w:r w:rsidR="00F05127">
          <w:rPr>
            <w:noProof/>
            <w:webHidden/>
          </w:rPr>
          <w:fldChar w:fldCharType="end"/>
        </w:r>
      </w:hyperlink>
    </w:p>
    <w:p w:rsidR="00F05127" w:rsidRDefault="00BF5281">
      <w:pPr>
        <w:pStyle w:val="TOC3"/>
        <w:rPr>
          <w:rFonts w:asciiTheme="minorHAnsi" w:eastAsiaTheme="minorEastAsia" w:hAnsiTheme="minorHAnsi" w:cstheme="minorBidi"/>
          <w:noProof/>
          <w:lang w:val="en-US"/>
        </w:rPr>
      </w:pPr>
      <w:hyperlink w:anchor="_Toc529285537" w:history="1">
        <w:r w:rsidR="00F05127" w:rsidRPr="006376C3">
          <w:rPr>
            <w:rStyle w:val="Hyperlink"/>
            <w:noProof/>
            <w:lang w:eastAsia="bg-BG"/>
          </w:rPr>
          <w:t>2.2.1.</w:t>
        </w:r>
        <w:r w:rsidR="00F05127">
          <w:rPr>
            <w:rFonts w:asciiTheme="minorHAnsi" w:eastAsiaTheme="minorEastAsia" w:hAnsiTheme="minorHAnsi" w:cstheme="minorBidi"/>
            <w:noProof/>
            <w:lang w:val="en-US"/>
          </w:rPr>
          <w:tab/>
        </w:r>
        <w:r w:rsidR="00F05127" w:rsidRPr="006376C3">
          <w:rPr>
            <w:rStyle w:val="Hyperlink"/>
            <w:noProof/>
            <w:lang w:eastAsia="bg-BG"/>
          </w:rPr>
          <w:t>Политически контекст на адаптацията към климатичните промени в градска среда в ЕС</w:t>
        </w:r>
        <w:r w:rsidR="00F05127">
          <w:rPr>
            <w:noProof/>
            <w:webHidden/>
          </w:rPr>
          <w:tab/>
        </w:r>
        <w:r w:rsidR="00F05127">
          <w:rPr>
            <w:noProof/>
            <w:webHidden/>
          </w:rPr>
          <w:tab/>
        </w:r>
        <w:r w:rsidR="00F05127">
          <w:rPr>
            <w:noProof/>
            <w:webHidden/>
          </w:rPr>
          <w:fldChar w:fldCharType="begin"/>
        </w:r>
        <w:r w:rsidR="00F05127">
          <w:rPr>
            <w:noProof/>
            <w:webHidden/>
          </w:rPr>
          <w:instrText xml:space="preserve"> PAGEREF _Toc529285537 \h </w:instrText>
        </w:r>
        <w:r w:rsidR="00F05127">
          <w:rPr>
            <w:noProof/>
            <w:webHidden/>
          </w:rPr>
        </w:r>
        <w:r w:rsidR="00F05127">
          <w:rPr>
            <w:noProof/>
            <w:webHidden/>
          </w:rPr>
          <w:fldChar w:fldCharType="separate"/>
        </w:r>
        <w:r w:rsidR="00F05127">
          <w:rPr>
            <w:noProof/>
            <w:webHidden/>
          </w:rPr>
          <w:t>52</w:t>
        </w:r>
        <w:r w:rsidR="00F05127">
          <w:rPr>
            <w:noProof/>
            <w:webHidden/>
          </w:rPr>
          <w:fldChar w:fldCharType="end"/>
        </w:r>
      </w:hyperlink>
    </w:p>
    <w:p w:rsidR="00F05127" w:rsidRDefault="00BF5281">
      <w:pPr>
        <w:pStyle w:val="TOC3"/>
        <w:rPr>
          <w:rFonts w:asciiTheme="minorHAnsi" w:eastAsiaTheme="minorEastAsia" w:hAnsiTheme="minorHAnsi" w:cstheme="minorBidi"/>
          <w:noProof/>
          <w:lang w:val="en-US"/>
        </w:rPr>
      </w:pPr>
      <w:hyperlink w:anchor="_Toc529285538" w:history="1">
        <w:r w:rsidR="00F05127" w:rsidRPr="006376C3">
          <w:rPr>
            <w:rStyle w:val="Hyperlink"/>
            <w:noProof/>
            <w:lang w:eastAsia="bg-BG"/>
          </w:rPr>
          <w:t>2.2.2.</w:t>
        </w:r>
        <w:r w:rsidR="00F05127">
          <w:rPr>
            <w:rFonts w:asciiTheme="minorHAnsi" w:eastAsiaTheme="minorEastAsia" w:hAnsiTheme="minorHAnsi" w:cstheme="minorBidi"/>
            <w:noProof/>
            <w:lang w:val="en-US"/>
          </w:rPr>
          <w:tab/>
        </w:r>
        <w:r w:rsidR="00F05127" w:rsidRPr="006376C3">
          <w:rPr>
            <w:rStyle w:val="Hyperlink"/>
            <w:noProof/>
            <w:lang w:eastAsia="bg-BG"/>
          </w:rPr>
          <w:t>Великобритания</w:t>
        </w:r>
        <w:r w:rsidR="00F05127">
          <w:rPr>
            <w:noProof/>
            <w:webHidden/>
          </w:rPr>
          <w:tab/>
        </w:r>
        <w:r w:rsidR="00F05127">
          <w:rPr>
            <w:noProof/>
            <w:webHidden/>
          </w:rPr>
          <w:fldChar w:fldCharType="begin"/>
        </w:r>
        <w:r w:rsidR="00F05127">
          <w:rPr>
            <w:noProof/>
            <w:webHidden/>
          </w:rPr>
          <w:instrText xml:space="preserve"> PAGEREF _Toc529285538 \h </w:instrText>
        </w:r>
        <w:r w:rsidR="00F05127">
          <w:rPr>
            <w:noProof/>
            <w:webHidden/>
          </w:rPr>
        </w:r>
        <w:r w:rsidR="00F05127">
          <w:rPr>
            <w:noProof/>
            <w:webHidden/>
          </w:rPr>
          <w:fldChar w:fldCharType="separate"/>
        </w:r>
        <w:r w:rsidR="00F05127">
          <w:rPr>
            <w:noProof/>
            <w:webHidden/>
          </w:rPr>
          <w:t>55</w:t>
        </w:r>
        <w:r w:rsidR="00F05127">
          <w:rPr>
            <w:noProof/>
            <w:webHidden/>
          </w:rPr>
          <w:fldChar w:fldCharType="end"/>
        </w:r>
      </w:hyperlink>
    </w:p>
    <w:p w:rsidR="00F05127" w:rsidRDefault="00BF5281">
      <w:pPr>
        <w:pStyle w:val="TOC3"/>
        <w:rPr>
          <w:rFonts w:asciiTheme="minorHAnsi" w:eastAsiaTheme="minorEastAsia" w:hAnsiTheme="minorHAnsi" w:cstheme="minorBidi"/>
          <w:noProof/>
          <w:lang w:val="en-US"/>
        </w:rPr>
      </w:pPr>
      <w:hyperlink w:anchor="_Toc529285539" w:history="1">
        <w:r w:rsidR="00F05127" w:rsidRPr="006376C3">
          <w:rPr>
            <w:rStyle w:val="Hyperlink"/>
            <w:noProof/>
            <w:lang w:eastAsia="bg-BG"/>
          </w:rPr>
          <w:t>2.2.3.</w:t>
        </w:r>
        <w:r w:rsidR="00F05127">
          <w:rPr>
            <w:rFonts w:asciiTheme="minorHAnsi" w:eastAsiaTheme="minorEastAsia" w:hAnsiTheme="minorHAnsi" w:cstheme="minorBidi"/>
            <w:noProof/>
            <w:lang w:val="en-US"/>
          </w:rPr>
          <w:tab/>
        </w:r>
        <w:r w:rsidR="00F05127" w:rsidRPr="006376C3">
          <w:rPr>
            <w:rStyle w:val="Hyperlink"/>
            <w:noProof/>
            <w:lang w:eastAsia="bg-BG"/>
          </w:rPr>
          <w:t>Австрия</w:t>
        </w:r>
        <w:r w:rsidR="00F05127">
          <w:rPr>
            <w:noProof/>
            <w:webHidden/>
          </w:rPr>
          <w:tab/>
        </w:r>
        <w:r w:rsidR="00F05127">
          <w:rPr>
            <w:noProof/>
            <w:webHidden/>
          </w:rPr>
          <w:fldChar w:fldCharType="begin"/>
        </w:r>
        <w:r w:rsidR="00F05127">
          <w:rPr>
            <w:noProof/>
            <w:webHidden/>
          </w:rPr>
          <w:instrText xml:space="preserve"> PAGEREF _Toc529285539 \h </w:instrText>
        </w:r>
        <w:r w:rsidR="00F05127">
          <w:rPr>
            <w:noProof/>
            <w:webHidden/>
          </w:rPr>
        </w:r>
        <w:r w:rsidR="00F05127">
          <w:rPr>
            <w:noProof/>
            <w:webHidden/>
          </w:rPr>
          <w:fldChar w:fldCharType="separate"/>
        </w:r>
        <w:r w:rsidR="00F05127">
          <w:rPr>
            <w:noProof/>
            <w:webHidden/>
          </w:rPr>
          <w:t>57</w:t>
        </w:r>
        <w:r w:rsidR="00F05127">
          <w:rPr>
            <w:noProof/>
            <w:webHidden/>
          </w:rPr>
          <w:fldChar w:fldCharType="end"/>
        </w:r>
      </w:hyperlink>
    </w:p>
    <w:p w:rsidR="00F05127" w:rsidRDefault="00BF5281">
      <w:pPr>
        <w:pStyle w:val="TOC2"/>
        <w:rPr>
          <w:rFonts w:asciiTheme="minorHAnsi" w:eastAsiaTheme="minorEastAsia" w:hAnsiTheme="minorHAnsi" w:cstheme="minorBidi"/>
          <w:noProof/>
          <w:lang w:val="en-US"/>
        </w:rPr>
      </w:pPr>
      <w:hyperlink w:anchor="_Toc529285540" w:history="1">
        <w:r w:rsidR="00F05127" w:rsidRPr="006376C3">
          <w:rPr>
            <w:rStyle w:val="Hyperlink"/>
            <w:noProof/>
          </w:rPr>
          <w:t>2.3.</w:t>
        </w:r>
        <w:r w:rsidR="00F05127">
          <w:rPr>
            <w:rFonts w:asciiTheme="minorHAnsi" w:eastAsiaTheme="minorEastAsia" w:hAnsiTheme="minorHAnsi" w:cstheme="minorBidi"/>
            <w:noProof/>
            <w:lang w:val="en-US"/>
          </w:rPr>
          <w:tab/>
        </w:r>
        <w:r w:rsidR="00F05127" w:rsidRPr="006376C3">
          <w:rPr>
            <w:rStyle w:val="Hyperlink"/>
            <w:noProof/>
          </w:rPr>
          <w:t>Правна рамка и политики на ЕС за АИК в градския сектор</w:t>
        </w:r>
        <w:r w:rsidR="00F05127">
          <w:rPr>
            <w:noProof/>
            <w:webHidden/>
          </w:rPr>
          <w:tab/>
        </w:r>
        <w:r w:rsidR="00F05127">
          <w:rPr>
            <w:noProof/>
            <w:webHidden/>
          </w:rPr>
          <w:fldChar w:fldCharType="begin"/>
        </w:r>
        <w:r w:rsidR="00F05127">
          <w:rPr>
            <w:noProof/>
            <w:webHidden/>
          </w:rPr>
          <w:instrText xml:space="preserve"> PAGEREF _Toc529285540 \h </w:instrText>
        </w:r>
        <w:r w:rsidR="00F05127">
          <w:rPr>
            <w:noProof/>
            <w:webHidden/>
          </w:rPr>
        </w:r>
        <w:r w:rsidR="00F05127">
          <w:rPr>
            <w:noProof/>
            <w:webHidden/>
          </w:rPr>
          <w:fldChar w:fldCharType="separate"/>
        </w:r>
        <w:r w:rsidR="00F05127">
          <w:rPr>
            <w:noProof/>
            <w:webHidden/>
          </w:rPr>
          <w:t>59</w:t>
        </w:r>
        <w:r w:rsidR="00F05127">
          <w:rPr>
            <w:noProof/>
            <w:webHidden/>
          </w:rPr>
          <w:fldChar w:fldCharType="end"/>
        </w:r>
      </w:hyperlink>
    </w:p>
    <w:p w:rsidR="00F05127" w:rsidRDefault="00BF5281">
      <w:pPr>
        <w:pStyle w:val="TOC3"/>
        <w:rPr>
          <w:rFonts w:asciiTheme="minorHAnsi" w:eastAsiaTheme="minorEastAsia" w:hAnsiTheme="minorHAnsi" w:cstheme="minorBidi"/>
          <w:noProof/>
          <w:lang w:val="en-US"/>
        </w:rPr>
      </w:pPr>
      <w:hyperlink w:anchor="_Toc529285541" w:history="1">
        <w:r w:rsidR="00F05127" w:rsidRPr="006376C3">
          <w:rPr>
            <w:rStyle w:val="Hyperlink"/>
            <w:noProof/>
          </w:rPr>
          <w:t>2.3.1.</w:t>
        </w:r>
        <w:r w:rsidR="00F05127">
          <w:rPr>
            <w:rFonts w:asciiTheme="minorHAnsi" w:eastAsiaTheme="minorEastAsia" w:hAnsiTheme="minorHAnsi" w:cstheme="minorBidi"/>
            <w:noProof/>
            <w:lang w:val="en-US"/>
          </w:rPr>
          <w:tab/>
        </w:r>
        <w:r w:rsidR="00F05127" w:rsidRPr="006376C3">
          <w:rPr>
            <w:rStyle w:val="Hyperlink"/>
            <w:noProof/>
          </w:rPr>
          <w:t>Доклади на ЕС относно градските правни рамки и политики</w:t>
        </w:r>
        <w:r w:rsidR="00F05127">
          <w:rPr>
            <w:noProof/>
            <w:webHidden/>
          </w:rPr>
          <w:tab/>
        </w:r>
        <w:r w:rsidR="00F05127">
          <w:rPr>
            <w:noProof/>
            <w:webHidden/>
          </w:rPr>
          <w:fldChar w:fldCharType="begin"/>
        </w:r>
        <w:r w:rsidR="00F05127">
          <w:rPr>
            <w:noProof/>
            <w:webHidden/>
          </w:rPr>
          <w:instrText xml:space="preserve"> PAGEREF _Toc529285541 \h </w:instrText>
        </w:r>
        <w:r w:rsidR="00F05127">
          <w:rPr>
            <w:noProof/>
            <w:webHidden/>
          </w:rPr>
        </w:r>
        <w:r w:rsidR="00F05127">
          <w:rPr>
            <w:noProof/>
            <w:webHidden/>
          </w:rPr>
          <w:fldChar w:fldCharType="separate"/>
        </w:r>
        <w:r w:rsidR="00F05127">
          <w:rPr>
            <w:noProof/>
            <w:webHidden/>
          </w:rPr>
          <w:t>59</w:t>
        </w:r>
        <w:r w:rsidR="00F05127">
          <w:rPr>
            <w:noProof/>
            <w:webHidden/>
          </w:rPr>
          <w:fldChar w:fldCharType="end"/>
        </w:r>
      </w:hyperlink>
    </w:p>
    <w:p w:rsidR="00F05127" w:rsidRDefault="00BF5281">
      <w:pPr>
        <w:pStyle w:val="TOC3"/>
        <w:rPr>
          <w:rFonts w:asciiTheme="minorHAnsi" w:eastAsiaTheme="minorEastAsia" w:hAnsiTheme="minorHAnsi" w:cstheme="minorBidi"/>
          <w:noProof/>
          <w:lang w:val="en-US"/>
        </w:rPr>
      </w:pPr>
      <w:hyperlink w:anchor="_Toc529285542" w:history="1">
        <w:r w:rsidR="00F05127" w:rsidRPr="006376C3">
          <w:rPr>
            <w:rStyle w:val="Hyperlink"/>
            <w:noProof/>
          </w:rPr>
          <w:t>2.3.2.</w:t>
        </w:r>
        <w:r w:rsidR="00F05127">
          <w:rPr>
            <w:rFonts w:asciiTheme="minorHAnsi" w:eastAsiaTheme="minorEastAsia" w:hAnsiTheme="minorHAnsi" w:cstheme="minorBidi"/>
            <w:noProof/>
            <w:lang w:val="en-US"/>
          </w:rPr>
          <w:tab/>
        </w:r>
        <w:r w:rsidR="00F05127" w:rsidRPr="006376C3">
          <w:rPr>
            <w:rStyle w:val="Hyperlink"/>
            <w:noProof/>
          </w:rPr>
          <w:t>Институции и съответните им отговорности при прилагането на законодателството и политиките на АИК</w:t>
        </w:r>
        <w:r w:rsidR="00F05127">
          <w:rPr>
            <w:noProof/>
            <w:webHidden/>
          </w:rPr>
          <w:tab/>
        </w:r>
        <w:r w:rsidR="00F05127">
          <w:rPr>
            <w:noProof/>
            <w:webHidden/>
          </w:rPr>
          <w:fldChar w:fldCharType="begin"/>
        </w:r>
        <w:r w:rsidR="00F05127">
          <w:rPr>
            <w:noProof/>
            <w:webHidden/>
          </w:rPr>
          <w:instrText xml:space="preserve"> PAGEREF _Toc529285542 \h </w:instrText>
        </w:r>
        <w:r w:rsidR="00F05127">
          <w:rPr>
            <w:noProof/>
            <w:webHidden/>
          </w:rPr>
        </w:r>
        <w:r w:rsidR="00F05127">
          <w:rPr>
            <w:noProof/>
            <w:webHidden/>
          </w:rPr>
          <w:fldChar w:fldCharType="separate"/>
        </w:r>
        <w:r w:rsidR="00F05127">
          <w:rPr>
            <w:noProof/>
            <w:webHidden/>
          </w:rPr>
          <w:t>61</w:t>
        </w:r>
        <w:r w:rsidR="00F05127">
          <w:rPr>
            <w:noProof/>
            <w:webHidden/>
          </w:rPr>
          <w:fldChar w:fldCharType="end"/>
        </w:r>
      </w:hyperlink>
    </w:p>
    <w:p w:rsidR="00F05127" w:rsidRDefault="00BF5281">
      <w:pPr>
        <w:pStyle w:val="TOC3"/>
        <w:rPr>
          <w:rFonts w:asciiTheme="minorHAnsi" w:eastAsiaTheme="minorEastAsia" w:hAnsiTheme="minorHAnsi" w:cstheme="minorBidi"/>
          <w:noProof/>
          <w:lang w:val="en-US"/>
        </w:rPr>
      </w:pPr>
      <w:hyperlink w:anchor="_Toc529285543" w:history="1">
        <w:r w:rsidR="00F05127" w:rsidRPr="006376C3">
          <w:rPr>
            <w:rStyle w:val="Hyperlink"/>
            <w:noProof/>
          </w:rPr>
          <w:t>2.3.3.</w:t>
        </w:r>
        <w:r w:rsidR="00F05127">
          <w:rPr>
            <w:rFonts w:asciiTheme="minorHAnsi" w:eastAsiaTheme="minorEastAsia" w:hAnsiTheme="minorHAnsi" w:cstheme="minorBidi"/>
            <w:noProof/>
            <w:lang w:val="en-US"/>
          </w:rPr>
          <w:tab/>
        </w:r>
        <w:r w:rsidR="00F05127" w:rsidRPr="006376C3">
          <w:rPr>
            <w:rStyle w:val="Hyperlink"/>
            <w:noProof/>
          </w:rPr>
          <w:t>Законодателство и подзаконови актове, отнасящи се до АИК за градски контекст</w:t>
        </w:r>
        <w:r w:rsidR="00F05127">
          <w:rPr>
            <w:noProof/>
            <w:webHidden/>
          </w:rPr>
          <w:tab/>
        </w:r>
        <w:r w:rsidR="00F05127">
          <w:rPr>
            <w:noProof/>
            <w:webHidden/>
          </w:rPr>
          <w:tab/>
        </w:r>
        <w:r w:rsidR="00F05127">
          <w:rPr>
            <w:noProof/>
            <w:webHidden/>
          </w:rPr>
          <w:tab/>
        </w:r>
        <w:r w:rsidR="00F05127">
          <w:rPr>
            <w:noProof/>
            <w:webHidden/>
          </w:rPr>
          <w:fldChar w:fldCharType="begin"/>
        </w:r>
        <w:r w:rsidR="00F05127">
          <w:rPr>
            <w:noProof/>
            <w:webHidden/>
          </w:rPr>
          <w:instrText xml:space="preserve"> PAGEREF _Toc529285543 \h </w:instrText>
        </w:r>
        <w:r w:rsidR="00F05127">
          <w:rPr>
            <w:noProof/>
            <w:webHidden/>
          </w:rPr>
        </w:r>
        <w:r w:rsidR="00F05127">
          <w:rPr>
            <w:noProof/>
            <w:webHidden/>
          </w:rPr>
          <w:fldChar w:fldCharType="separate"/>
        </w:r>
        <w:r w:rsidR="00F05127">
          <w:rPr>
            <w:noProof/>
            <w:webHidden/>
          </w:rPr>
          <w:t>62</w:t>
        </w:r>
        <w:r w:rsidR="00F05127">
          <w:rPr>
            <w:noProof/>
            <w:webHidden/>
          </w:rPr>
          <w:fldChar w:fldCharType="end"/>
        </w:r>
      </w:hyperlink>
    </w:p>
    <w:p w:rsidR="00F05127" w:rsidRDefault="00BF5281">
      <w:pPr>
        <w:pStyle w:val="TOC2"/>
        <w:rPr>
          <w:rFonts w:asciiTheme="minorHAnsi" w:eastAsiaTheme="minorEastAsia" w:hAnsiTheme="minorHAnsi" w:cstheme="minorBidi"/>
          <w:noProof/>
          <w:lang w:val="en-US"/>
        </w:rPr>
      </w:pPr>
      <w:hyperlink w:anchor="_Toc529285544" w:history="1">
        <w:r w:rsidR="00F05127" w:rsidRPr="006376C3">
          <w:rPr>
            <w:rStyle w:val="Hyperlink"/>
            <w:noProof/>
          </w:rPr>
          <w:t>2.4.</w:t>
        </w:r>
        <w:r w:rsidR="00F05127">
          <w:rPr>
            <w:rFonts w:asciiTheme="minorHAnsi" w:eastAsiaTheme="minorEastAsia" w:hAnsiTheme="minorHAnsi" w:cstheme="minorBidi"/>
            <w:noProof/>
            <w:lang w:val="en-US"/>
          </w:rPr>
          <w:tab/>
        </w:r>
        <w:r w:rsidR="00F05127" w:rsidRPr="006376C3">
          <w:rPr>
            <w:rStyle w:val="Hyperlink"/>
            <w:noProof/>
          </w:rPr>
          <w:t>Българска правна рамка за АИК и политики за градската среда</w:t>
        </w:r>
        <w:r w:rsidR="00F05127">
          <w:rPr>
            <w:noProof/>
            <w:webHidden/>
          </w:rPr>
          <w:tab/>
        </w:r>
        <w:r w:rsidR="00F05127">
          <w:rPr>
            <w:noProof/>
            <w:webHidden/>
          </w:rPr>
          <w:fldChar w:fldCharType="begin"/>
        </w:r>
        <w:r w:rsidR="00F05127">
          <w:rPr>
            <w:noProof/>
            <w:webHidden/>
          </w:rPr>
          <w:instrText xml:space="preserve"> PAGEREF _Toc529285544 \h </w:instrText>
        </w:r>
        <w:r w:rsidR="00F05127">
          <w:rPr>
            <w:noProof/>
            <w:webHidden/>
          </w:rPr>
        </w:r>
        <w:r w:rsidR="00F05127">
          <w:rPr>
            <w:noProof/>
            <w:webHidden/>
          </w:rPr>
          <w:fldChar w:fldCharType="separate"/>
        </w:r>
        <w:r w:rsidR="00F05127">
          <w:rPr>
            <w:noProof/>
            <w:webHidden/>
          </w:rPr>
          <w:t>63</w:t>
        </w:r>
        <w:r w:rsidR="00F05127">
          <w:rPr>
            <w:noProof/>
            <w:webHidden/>
          </w:rPr>
          <w:fldChar w:fldCharType="end"/>
        </w:r>
      </w:hyperlink>
    </w:p>
    <w:p w:rsidR="00F05127" w:rsidRDefault="00BF5281">
      <w:pPr>
        <w:pStyle w:val="TOC3"/>
        <w:rPr>
          <w:rFonts w:asciiTheme="minorHAnsi" w:eastAsiaTheme="minorEastAsia" w:hAnsiTheme="minorHAnsi" w:cstheme="minorBidi"/>
          <w:noProof/>
          <w:lang w:val="en-US"/>
        </w:rPr>
      </w:pPr>
      <w:hyperlink w:anchor="_Toc529285545" w:history="1">
        <w:r w:rsidR="00F05127" w:rsidRPr="006376C3">
          <w:rPr>
            <w:rStyle w:val="Hyperlink"/>
            <w:noProof/>
          </w:rPr>
          <w:t>2.4.1.</w:t>
        </w:r>
        <w:r w:rsidR="00F05127">
          <w:rPr>
            <w:rFonts w:asciiTheme="minorHAnsi" w:eastAsiaTheme="minorEastAsia" w:hAnsiTheme="minorHAnsi" w:cstheme="minorBidi"/>
            <w:noProof/>
            <w:lang w:val="en-US"/>
          </w:rPr>
          <w:tab/>
        </w:r>
        <w:r w:rsidR="00F05127" w:rsidRPr="006376C3">
          <w:rPr>
            <w:rStyle w:val="Hyperlink"/>
            <w:noProof/>
          </w:rPr>
          <w:t>Законодателство и подзаконови актове, отнасящи се до АИК за градската среда</w:t>
        </w:r>
        <w:r w:rsidR="00F05127">
          <w:rPr>
            <w:noProof/>
            <w:webHidden/>
          </w:rPr>
          <w:tab/>
        </w:r>
        <w:r w:rsidR="00F05127">
          <w:rPr>
            <w:noProof/>
            <w:webHidden/>
          </w:rPr>
          <w:fldChar w:fldCharType="begin"/>
        </w:r>
        <w:r w:rsidR="00F05127">
          <w:rPr>
            <w:noProof/>
            <w:webHidden/>
          </w:rPr>
          <w:instrText xml:space="preserve"> PAGEREF _Toc529285545 \h </w:instrText>
        </w:r>
        <w:r w:rsidR="00F05127">
          <w:rPr>
            <w:noProof/>
            <w:webHidden/>
          </w:rPr>
        </w:r>
        <w:r w:rsidR="00F05127">
          <w:rPr>
            <w:noProof/>
            <w:webHidden/>
          </w:rPr>
          <w:fldChar w:fldCharType="separate"/>
        </w:r>
        <w:r w:rsidR="00F05127">
          <w:rPr>
            <w:noProof/>
            <w:webHidden/>
          </w:rPr>
          <w:t>64</w:t>
        </w:r>
        <w:r w:rsidR="00F05127">
          <w:rPr>
            <w:noProof/>
            <w:webHidden/>
          </w:rPr>
          <w:fldChar w:fldCharType="end"/>
        </w:r>
      </w:hyperlink>
    </w:p>
    <w:p w:rsidR="00F05127" w:rsidRDefault="00BF5281">
      <w:pPr>
        <w:pStyle w:val="TOC3"/>
        <w:rPr>
          <w:rFonts w:asciiTheme="minorHAnsi" w:eastAsiaTheme="minorEastAsia" w:hAnsiTheme="minorHAnsi" w:cstheme="minorBidi"/>
          <w:noProof/>
          <w:lang w:val="en-US"/>
        </w:rPr>
      </w:pPr>
      <w:hyperlink w:anchor="_Toc529285546" w:history="1">
        <w:r w:rsidR="00F05127" w:rsidRPr="006376C3">
          <w:rPr>
            <w:rStyle w:val="Hyperlink"/>
            <w:noProof/>
          </w:rPr>
          <w:t>2.4.2.</w:t>
        </w:r>
        <w:r w:rsidR="00F05127">
          <w:rPr>
            <w:rFonts w:asciiTheme="minorHAnsi" w:eastAsiaTheme="minorEastAsia" w:hAnsiTheme="minorHAnsi" w:cstheme="minorBidi"/>
            <w:noProof/>
            <w:lang w:val="en-US"/>
          </w:rPr>
          <w:tab/>
        </w:r>
        <w:r w:rsidR="00F05127" w:rsidRPr="006376C3">
          <w:rPr>
            <w:rStyle w:val="Hyperlink"/>
            <w:noProof/>
          </w:rPr>
          <w:t>Взаимосвързано законодателство</w:t>
        </w:r>
        <w:r w:rsidR="00F05127">
          <w:rPr>
            <w:noProof/>
            <w:webHidden/>
          </w:rPr>
          <w:tab/>
        </w:r>
        <w:r w:rsidR="00F05127">
          <w:rPr>
            <w:noProof/>
            <w:webHidden/>
          </w:rPr>
          <w:fldChar w:fldCharType="begin"/>
        </w:r>
        <w:r w:rsidR="00F05127">
          <w:rPr>
            <w:noProof/>
            <w:webHidden/>
          </w:rPr>
          <w:instrText xml:space="preserve"> PAGEREF _Toc529285546 \h </w:instrText>
        </w:r>
        <w:r w:rsidR="00F05127">
          <w:rPr>
            <w:noProof/>
            <w:webHidden/>
          </w:rPr>
        </w:r>
        <w:r w:rsidR="00F05127">
          <w:rPr>
            <w:noProof/>
            <w:webHidden/>
          </w:rPr>
          <w:fldChar w:fldCharType="separate"/>
        </w:r>
        <w:r w:rsidR="00F05127">
          <w:rPr>
            <w:noProof/>
            <w:webHidden/>
          </w:rPr>
          <w:t>71</w:t>
        </w:r>
        <w:r w:rsidR="00F05127">
          <w:rPr>
            <w:noProof/>
            <w:webHidden/>
          </w:rPr>
          <w:fldChar w:fldCharType="end"/>
        </w:r>
      </w:hyperlink>
    </w:p>
    <w:p w:rsidR="00F05127" w:rsidRDefault="00BF5281">
      <w:pPr>
        <w:pStyle w:val="TOC3"/>
        <w:rPr>
          <w:rFonts w:asciiTheme="minorHAnsi" w:eastAsiaTheme="minorEastAsia" w:hAnsiTheme="minorHAnsi" w:cstheme="minorBidi"/>
          <w:noProof/>
          <w:lang w:val="en-US"/>
        </w:rPr>
      </w:pPr>
      <w:hyperlink w:anchor="_Toc529285547" w:history="1">
        <w:r w:rsidR="00F05127" w:rsidRPr="006376C3">
          <w:rPr>
            <w:rStyle w:val="Hyperlink"/>
            <w:noProof/>
          </w:rPr>
          <w:t>2.4.3.</w:t>
        </w:r>
        <w:r w:rsidR="00F05127">
          <w:rPr>
            <w:rFonts w:asciiTheme="minorHAnsi" w:eastAsiaTheme="minorEastAsia" w:hAnsiTheme="minorHAnsi" w:cstheme="minorBidi"/>
            <w:noProof/>
            <w:lang w:val="en-US"/>
          </w:rPr>
          <w:tab/>
        </w:r>
        <w:r w:rsidR="00F05127" w:rsidRPr="006376C3">
          <w:rPr>
            <w:rStyle w:val="Hyperlink"/>
            <w:noProof/>
          </w:rPr>
          <w:t>Стратегии и планове, свързани с АИК за градската среда</w:t>
        </w:r>
        <w:r w:rsidR="00F05127">
          <w:rPr>
            <w:noProof/>
            <w:webHidden/>
          </w:rPr>
          <w:tab/>
        </w:r>
        <w:r w:rsidR="00F05127">
          <w:rPr>
            <w:noProof/>
            <w:webHidden/>
          </w:rPr>
          <w:fldChar w:fldCharType="begin"/>
        </w:r>
        <w:r w:rsidR="00F05127">
          <w:rPr>
            <w:noProof/>
            <w:webHidden/>
          </w:rPr>
          <w:instrText xml:space="preserve"> PAGEREF _Toc529285547 \h </w:instrText>
        </w:r>
        <w:r w:rsidR="00F05127">
          <w:rPr>
            <w:noProof/>
            <w:webHidden/>
          </w:rPr>
        </w:r>
        <w:r w:rsidR="00F05127">
          <w:rPr>
            <w:noProof/>
            <w:webHidden/>
          </w:rPr>
          <w:fldChar w:fldCharType="separate"/>
        </w:r>
        <w:r w:rsidR="00F05127">
          <w:rPr>
            <w:noProof/>
            <w:webHidden/>
          </w:rPr>
          <w:t>73</w:t>
        </w:r>
        <w:r w:rsidR="00F05127">
          <w:rPr>
            <w:noProof/>
            <w:webHidden/>
          </w:rPr>
          <w:fldChar w:fldCharType="end"/>
        </w:r>
      </w:hyperlink>
    </w:p>
    <w:p w:rsidR="00F05127" w:rsidRDefault="00BF5281">
      <w:pPr>
        <w:pStyle w:val="TOC2"/>
        <w:rPr>
          <w:rFonts w:asciiTheme="minorHAnsi" w:eastAsiaTheme="minorEastAsia" w:hAnsiTheme="minorHAnsi" w:cstheme="minorBidi"/>
          <w:noProof/>
          <w:lang w:val="en-US"/>
        </w:rPr>
      </w:pPr>
      <w:hyperlink w:anchor="_Toc529285548" w:history="1">
        <w:r w:rsidR="00F05127" w:rsidRPr="006376C3">
          <w:rPr>
            <w:rStyle w:val="Hyperlink"/>
            <w:noProof/>
          </w:rPr>
          <w:t>2.5.</w:t>
        </w:r>
        <w:r w:rsidR="00F05127">
          <w:rPr>
            <w:rFonts w:asciiTheme="minorHAnsi" w:eastAsiaTheme="minorEastAsia" w:hAnsiTheme="minorHAnsi" w:cstheme="minorBidi"/>
            <w:noProof/>
            <w:lang w:val="en-US"/>
          </w:rPr>
          <w:tab/>
        </w:r>
        <w:r w:rsidR="00F05127" w:rsidRPr="006376C3">
          <w:rPr>
            <w:rStyle w:val="Hyperlink"/>
            <w:noProof/>
          </w:rPr>
          <w:t>Институционална рамка и заинтересовани страни в България</w:t>
        </w:r>
        <w:r w:rsidR="00F05127">
          <w:rPr>
            <w:noProof/>
            <w:webHidden/>
          </w:rPr>
          <w:tab/>
        </w:r>
        <w:r w:rsidR="00F05127">
          <w:rPr>
            <w:noProof/>
            <w:webHidden/>
          </w:rPr>
          <w:fldChar w:fldCharType="begin"/>
        </w:r>
        <w:r w:rsidR="00F05127">
          <w:rPr>
            <w:noProof/>
            <w:webHidden/>
          </w:rPr>
          <w:instrText xml:space="preserve"> PAGEREF _Toc529285548 \h </w:instrText>
        </w:r>
        <w:r w:rsidR="00F05127">
          <w:rPr>
            <w:noProof/>
            <w:webHidden/>
          </w:rPr>
        </w:r>
        <w:r w:rsidR="00F05127">
          <w:rPr>
            <w:noProof/>
            <w:webHidden/>
          </w:rPr>
          <w:fldChar w:fldCharType="separate"/>
        </w:r>
        <w:r w:rsidR="00F05127">
          <w:rPr>
            <w:noProof/>
            <w:webHidden/>
          </w:rPr>
          <w:t>77</w:t>
        </w:r>
        <w:r w:rsidR="00F05127">
          <w:rPr>
            <w:noProof/>
            <w:webHidden/>
          </w:rPr>
          <w:fldChar w:fldCharType="end"/>
        </w:r>
      </w:hyperlink>
    </w:p>
    <w:p w:rsidR="00F05127" w:rsidRDefault="00BF5281">
      <w:pPr>
        <w:pStyle w:val="TOC3"/>
        <w:rPr>
          <w:rFonts w:asciiTheme="minorHAnsi" w:eastAsiaTheme="minorEastAsia" w:hAnsiTheme="minorHAnsi" w:cstheme="minorBidi"/>
          <w:noProof/>
          <w:lang w:val="en-US"/>
        </w:rPr>
      </w:pPr>
      <w:hyperlink w:anchor="_Toc529285549" w:history="1">
        <w:r w:rsidR="00F05127" w:rsidRPr="006376C3">
          <w:rPr>
            <w:rStyle w:val="Hyperlink"/>
            <w:noProof/>
          </w:rPr>
          <w:t>2.5.1.</w:t>
        </w:r>
        <w:r w:rsidR="00F05127">
          <w:rPr>
            <w:rFonts w:asciiTheme="minorHAnsi" w:eastAsiaTheme="minorEastAsia" w:hAnsiTheme="minorHAnsi" w:cstheme="minorBidi"/>
            <w:noProof/>
            <w:lang w:val="en-US"/>
          </w:rPr>
          <w:tab/>
        </w:r>
        <w:r w:rsidR="00F05127" w:rsidRPr="006376C3">
          <w:rPr>
            <w:rStyle w:val="Hyperlink"/>
            <w:noProof/>
          </w:rPr>
          <w:t>Институционална рамка в сектора на градска среда</w:t>
        </w:r>
        <w:r w:rsidR="00F05127">
          <w:rPr>
            <w:noProof/>
            <w:webHidden/>
          </w:rPr>
          <w:tab/>
        </w:r>
        <w:r w:rsidR="00F05127">
          <w:rPr>
            <w:noProof/>
            <w:webHidden/>
          </w:rPr>
          <w:fldChar w:fldCharType="begin"/>
        </w:r>
        <w:r w:rsidR="00F05127">
          <w:rPr>
            <w:noProof/>
            <w:webHidden/>
          </w:rPr>
          <w:instrText xml:space="preserve"> PAGEREF _Toc529285549 \h </w:instrText>
        </w:r>
        <w:r w:rsidR="00F05127">
          <w:rPr>
            <w:noProof/>
            <w:webHidden/>
          </w:rPr>
        </w:r>
        <w:r w:rsidR="00F05127">
          <w:rPr>
            <w:noProof/>
            <w:webHidden/>
          </w:rPr>
          <w:fldChar w:fldCharType="separate"/>
        </w:r>
        <w:r w:rsidR="00F05127">
          <w:rPr>
            <w:noProof/>
            <w:webHidden/>
          </w:rPr>
          <w:t>77</w:t>
        </w:r>
        <w:r w:rsidR="00F05127">
          <w:rPr>
            <w:noProof/>
            <w:webHidden/>
          </w:rPr>
          <w:fldChar w:fldCharType="end"/>
        </w:r>
      </w:hyperlink>
    </w:p>
    <w:p w:rsidR="00F05127" w:rsidRDefault="00BF5281">
      <w:pPr>
        <w:pStyle w:val="TOC3"/>
        <w:rPr>
          <w:rFonts w:asciiTheme="minorHAnsi" w:eastAsiaTheme="minorEastAsia" w:hAnsiTheme="minorHAnsi" w:cstheme="minorBidi"/>
          <w:noProof/>
          <w:lang w:val="en-US"/>
        </w:rPr>
      </w:pPr>
      <w:hyperlink w:anchor="_Toc529285550" w:history="1">
        <w:r w:rsidR="00F05127" w:rsidRPr="006376C3">
          <w:rPr>
            <w:rStyle w:val="Hyperlink"/>
            <w:noProof/>
          </w:rPr>
          <w:t>2.5.2.</w:t>
        </w:r>
        <w:r w:rsidR="00F05127">
          <w:rPr>
            <w:rFonts w:asciiTheme="minorHAnsi" w:eastAsiaTheme="minorEastAsia" w:hAnsiTheme="minorHAnsi" w:cstheme="minorBidi"/>
            <w:noProof/>
            <w:lang w:val="en-US"/>
          </w:rPr>
          <w:tab/>
        </w:r>
        <w:r w:rsidR="00F05127" w:rsidRPr="006376C3">
          <w:rPr>
            <w:rStyle w:val="Hyperlink"/>
            <w:noProof/>
          </w:rPr>
          <w:t>Заинтересовани страни в България</w:t>
        </w:r>
        <w:r w:rsidR="00F05127">
          <w:rPr>
            <w:noProof/>
            <w:webHidden/>
          </w:rPr>
          <w:tab/>
        </w:r>
        <w:r w:rsidR="00F05127">
          <w:rPr>
            <w:noProof/>
            <w:webHidden/>
          </w:rPr>
          <w:fldChar w:fldCharType="begin"/>
        </w:r>
        <w:r w:rsidR="00F05127">
          <w:rPr>
            <w:noProof/>
            <w:webHidden/>
          </w:rPr>
          <w:instrText xml:space="preserve"> PAGEREF _Toc529285550 \h </w:instrText>
        </w:r>
        <w:r w:rsidR="00F05127">
          <w:rPr>
            <w:noProof/>
            <w:webHidden/>
          </w:rPr>
        </w:r>
        <w:r w:rsidR="00F05127">
          <w:rPr>
            <w:noProof/>
            <w:webHidden/>
          </w:rPr>
          <w:fldChar w:fldCharType="separate"/>
        </w:r>
        <w:r w:rsidR="00F05127">
          <w:rPr>
            <w:noProof/>
            <w:webHidden/>
          </w:rPr>
          <w:t>80</w:t>
        </w:r>
        <w:r w:rsidR="00F05127">
          <w:rPr>
            <w:noProof/>
            <w:webHidden/>
          </w:rPr>
          <w:fldChar w:fldCharType="end"/>
        </w:r>
      </w:hyperlink>
    </w:p>
    <w:p w:rsidR="00F05127" w:rsidRDefault="00BF5281">
      <w:pPr>
        <w:pStyle w:val="TOC2"/>
        <w:rPr>
          <w:rFonts w:asciiTheme="minorHAnsi" w:eastAsiaTheme="minorEastAsia" w:hAnsiTheme="minorHAnsi" w:cstheme="minorBidi"/>
          <w:noProof/>
          <w:lang w:val="en-US"/>
        </w:rPr>
      </w:pPr>
      <w:hyperlink w:anchor="_Toc529285551" w:history="1">
        <w:r w:rsidR="00F05127" w:rsidRPr="006376C3">
          <w:rPr>
            <w:rStyle w:val="Hyperlink"/>
            <w:noProof/>
          </w:rPr>
          <w:t>2.6.</w:t>
        </w:r>
        <w:r w:rsidR="00F05127">
          <w:rPr>
            <w:rFonts w:asciiTheme="minorHAnsi" w:eastAsiaTheme="minorEastAsia" w:hAnsiTheme="minorHAnsi" w:cstheme="minorBidi"/>
            <w:noProof/>
            <w:lang w:val="en-US"/>
          </w:rPr>
          <w:tab/>
        </w:r>
        <w:r w:rsidR="00F05127" w:rsidRPr="006376C3">
          <w:rPr>
            <w:rStyle w:val="Hyperlink"/>
            <w:noProof/>
          </w:rPr>
          <w:t>Финансови и човешки  ресурси в България</w:t>
        </w:r>
        <w:r w:rsidR="00F05127">
          <w:rPr>
            <w:noProof/>
            <w:webHidden/>
          </w:rPr>
          <w:tab/>
        </w:r>
        <w:r w:rsidR="00F05127">
          <w:rPr>
            <w:noProof/>
            <w:webHidden/>
          </w:rPr>
          <w:fldChar w:fldCharType="begin"/>
        </w:r>
        <w:r w:rsidR="00F05127">
          <w:rPr>
            <w:noProof/>
            <w:webHidden/>
          </w:rPr>
          <w:instrText xml:space="preserve"> PAGEREF _Toc529285551 \h </w:instrText>
        </w:r>
        <w:r w:rsidR="00F05127">
          <w:rPr>
            <w:noProof/>
            <w:webHidden/>
          </w:rPr>
        </w:r>
        <w:r w:rsidR="00F05127">
          <w:rPr>
            <w:noProof/>
            <w:webHidden/>
          </w:rPr>
          <w:fldChar w:fldCharType="separate"/>
        </w:r>
        <w:r w:rsidR="00F05127">
          <w:rPr>
            <w:noProof/>
            <w:webHidden/>
          </w:rPr>
          <w:t>84</w:t>
        </w:r>
        <w:r w:rsidR="00F05127">
          <w:rPr>
            <w:noProof/>
            <w:webHidden/>
          </w:rPr>
          <w:fldChar w:fldCharType="end"/>
        </w:r>
      </w:hyperlink>
    </w:p>
    <w:p w:rsidR="00F05127" w:rsidRDefault="00BF5281">
      <w:pPr>
        <w:pStyle w:val="TOC2"/>
        <w:rPr>
          <w:rFonts w:asciiTheme="minorHAnsi" w:eastAsiaTheme="minorEastAsia" w:hAnsiTheme="minorHAnsi" w:cstheme="minorBidi"/>
          <w:noProof/>
          <w:lang w:val="en-US"/>
        </w:rPr>
      </w:pPr>
      <w:hyperlink w:anchor="_Toc529285552" w:history="1">
        <w:r w:rsidR="00F05127" w:rsidRPr="006376C3">
          <w:rPr>
            <w:rStyle w:val="Hyperlink"/>
            <w:noProof/>
          </w:rPr>
          <w:t>2.7.</w:t>
        </w:r>
        <w:r w:rsidR="00F05127">
          <w:rPr>
            <w:rFonts w:asciiTheme="minorHAnsi" w:eastAsiaTheme="minorEastAsia" w:hAnsiTheme="minorHAnsi" w:cstheme="minorBidi"/>
            <w:noProof/>
            <w:lang w:val="en-US"/>
          </w:rPr>
          <w:tab/>
        </w:r>
        <w:r w:rsidR="00F05127" w:rsidRPr="006376C3">
          <w:rPr>
            <w:rStyle w:val="Hyperlink"/>
            <w:noProof/>
          </w:rPr>
          <w:t>Участие на сектора на градската среда в специфично международно сътрудничество или обмен на информация за (A)ИК</w:t>
        </w:r>
        <w:r w:rsidR="00F05127">
          <w:rPr>
            <w:noProof/>
            <w:webHidden/>
          </w:rPr>
          <w:tab/>
        </w:r>
        <w:r w:rsidR="00F05127">
          <w:rPr>
            <w:noProof/>
            <w:webHidden/>
          </w:rPr>
          <w:fldChar w:fldCharType="begin"/>
        </w:r>
        <w:r w:rsidR="00F05127">
          <w:rPr>
            <w:noProof/>
            <w:webHidden/>
          </w:rPr>
          <w:instrText xml:space="preserve"> PAGEREF _Toc529285552 \h </w:instrText>
        </w:r>
        <w:r w:rsidR="00F05127">
          <w:rPr>
            <w:noProof/>
            <w:webHidden/>
          </w:rPr>
        </w:r>
        <w:r w:rsidR="00F05127">
          <w:rPr>
            <w:noProof/>
            <w:webHidden/>
          </w:rPr>
          <w:fldChar w:fldCharType="separate"/>
        </w:r>
        <w:r w:rsidR="00F05127">
          <w:rPr>
            <w:noProof/>
            <w:webHidden/>
          </w:rPr>
          <w:t>86</w:t>
        </w:r>
        <w:r w:rsidR="00F05127">
          <w:rPr>
            <w:noProof/>
            <w:webHidden/>
          </w:rPr>
          <w:fldChar w:fldCharType="end"/>
        </w:r>
      </w:hyperlink>
    </w:p>
    <w:p w:rsidR="00F05127" w:rsidRDefault="00BF5281">
      <w:pPr>
        <w:pStyle w:val="TOC2"/>
        <w:rPr>
          <w:rFonts w:asciiTheme="minorHAnsi" w:eastAsiaTheme="minorEastAsia" w:hAnsiTheme="minorHAnsi" w:cstheme="minorBidi"/>
          <w:noProof/>
          <w:lang w:val="en-US"/>
        </w:rPr>
      </w:pPr>
      <w:hyperlink w:anchor="_Toc529285553" w:history="1">
        <w:r w:rsidR="00F05127" w:rsidRPr="006376C3">
          <w:rPr>
            <w:rStyle w:val="Hyperlink"/>
            <w:noProof/>
          </w:rPr>
          <w:t>2.8.</w:t>
        </w:r>
        <w:r w:rsidR="00F05127">
          <w:rPr>
            <w:rFonts w:asciiTheme="minorHAnsi" w:eastAsiaTheme="minorEastAsia" w:hAnsiTheme="minorHAnsi" w:cstheme="minorBidi"/>
            <w:noProof/>
            <w:lang w:val="en-US"/>
          </w:rPr>
          <w:tab/>
        </w:r>
        <w:r w:rsidR="00F05127" w:rsidRPr="006376C3">
          <w:rPr>
            <w:rStyle w:val="Hyperlink"/>
            <w:noProof/>
          </w:rPr>
          <w:t>Конкретни текущи и планирани действия (свързани с АИК) в сектора на градската среда в България</w:t>
        </w:r>
        <w:r w:rsidR="00F05127">
          <w:rPr>
            <w:noProof/>
            <w:webHidden/>
          </w:rPr>
          <w:tab/>
        </w:r>
        <w:r w:rsidR="00F05127">
          <w:rPr>
            <w:noProof/>
            <w:webHidden/>
          </w:rPr>
          <w:fldChar w:fldCharType="begin"/>
        </w:r>
        <w:r w:rsidR="00F05127">
          <w:rPr>
            <w:noProof/>
            <w:webHidden/>
          </w:rPr>
          <w:instrText xml:space="preserve"> PAGEREF _Toc529285553 \h </w:instrText>
        </w:r>
        <w:r w:rsidR="00F05127">
          <w:rPr>
            <w:noProof/>
            <w:webHidden/>
          </w:rPr>
        </w:r>
        <w:r w:rsidR="00F05127">
          <w:rPr>
            <w:noProof/>
            <w:webHidden/>
          </w:rPr>
          <w:fldChar w:fldCharType="separate"/>
        </w:r>
        <w:r w:rsidR="00F05127">
          <w:rPr>
            <w:noProof/>
            <w:webHidden/>
          </w:rPr>
          <w:t>88</w:t>
        </w:r>
        <w:r w:rsidR="00F05127">
          <w:rPr>
            <w:noProof/>
            <w:webHidden/>
          </w:rPr>
          <w:fldChar w:fldCharType="end"/>
        </w:r>
      </w:hyperlink>
    </w:p>
    <w:p w:rsidR="00F05127" w:rsidRDefault="00BF5281">
      <w:pPr>
        <w:pStyle w:val="TOC3"/>
        <w:rPr>
          <w:rFonts w:asciiTheme="minorHAnsi" w:eastAsiaTheme="minorEastAsia" w:hAnsiTheme="minorHAnsi" w:cstheme="minorBidi"/>
          <w:noProof/>
          <w:lang w:val="en-US"/>
        </w:rPr>
      </w:pPr>
      <w:hyperlink w:anchor="_Toc529285554" w:history="1">
        <w:r w:rsidR="00F05127" w:rsidRPr="006376C3">
          <w:rPr>
            <w:rStyle w:val="Hyperlink"/>
            <w:noProof/>
          </w:rPr>
          <w:t>2.8.1.</w:t>
        </w:r>
        <w:r w:rsidR="00F05127">
          <w:rPr>
            <w:rFonts w:asciiTheme="minorHAnsi" w:eastAsiaTheme="minorEastAsia" w:hAnsiTheme="minorHAnsi" w:cstheme="minorBidi"/>
            <w:noProof/>
            <w:lang w:val="en-US"/>
          </w:rPr>
          <w:tab/>
        </w:r>
        <w:r w:rsidR="00F05127" w:rsidRPr="006376C3">
          <w:rPr>
            <w:rStyle w:val="Hyperlink"/>
            <w:noProof/>
          </w:rPr>
          <w:t>Конкретни текущи и планирани действия (свързани с АИК) в сектора на градската среда в националните документи</w:t>
        </w:r>
        <w:r w:rsidR="00F05127">
          <w:rPr>
            <w:noProof/>
            <w:webHidden/>
          </w:rPr>
          <w:tab/>
        </w:r>
        <w:r w:rsidR="00F05127">
          <w:rPr>
            <w:noProof/>
            <w:webHidden/>
          </w:rPr>
          <w:fldChar w:fldCharType="begin"/>
        </w:r>
        <w:r w:rsidR="00F05127">
          <w:rPr>
            <w:noProof/>
            <w:webHidden/>
          </w:rPr>
          <w:instrText xml:space="preserve"> PAGEREF _Toc529285554 \h </w:instrText>
        </w:r>
        <w:r w:rsidR="00F05127">
          <w:rPr>
            <w:noProof/>
            <w:webHidden/>
          </w:rPr>
        </w:r>
        <w:r w:rsidR="00F05127">
          <w:rPr>
            <w:noProof/>
            <w:webHidden/>
          </w:rPr>
          <w:fldChar w:fldCharType="separate"/>
        </w:r>
        <w:r w:rsidR="00F05127">
          <w:rPr>
            <w:noProof/>
            <w:webHidden/>
          </w:rPr>
          <w:t>88</w:t>
        </w:r>
        <w:r w:rsidR="00F05127">
          <w:rPr>
            <w:noProof/>
            <w:webHidden/>
          </w:rPr>
          <w:fldChar w:fldCharType="end"/>
        </w:r>
      </w:hyperlink>
    </w:p>
    <w:p w:rsidR="00F05127" w:rsidRDefault="00BF5281">
      <w:pPr>
        <w:pStyle w:val="TOC3"/>
        <w:rPr>
          <w:rFonts w:asciiTheme="minorHAnsi" w:eastAsiaTheme="minorEastAsia" w:hAnsiTheme="minorHAnsi" w:cstheme="minorBidi"/>
          <w:noProof/>
          <w:lang w:val="en-US"/>
        </w:rPr>
      </w:pPr>
      <w:hyperlink w:anchor="_Toc529285555" w:history="1">
        <w:r w:rsidR="00F05127" w:rsidRPr="006376C3">
          <w:rPr>
            <w:rStyle w:val="Hyperlink"/>
            <w:noProof/>
          </w:rPr>
          <w:t>2.8.2.</w:t>
        </w:r>
        <w:r w:rsidR="00F05127">
          <w:rPr>
            <w:rFonts w:asciiTheme="minorHAnsi" w:eastAsiaTheme="minorEastAsia" w:hAnsiTheme="minorHAnsi" w:cstheme="minorBidi"/>
            <w:noProof/>
            <w:lang w:val="en-US"/>
          </w:rPr>
          <w:tab/>
        </w:r>
        <w:r w:rsidR="00F05127" w:rsidRPr="006376C3">
          <w:rPr>
            <w:rStyle w:val="Hyperlink"/>
            <w:noProof/>
          </w:rPr>
          <w:t>Конкретни текущи и планирани действия (свързани с АИК) в сектора на градската среда в местни документи</w:t>
        </w:r>
        <w:r w:rsidR="00F05127">
          <w:rPr>
            <w:noProof/>
            <w:webHidden/>
          </w:rPr>
          <w:tab/>
        </w:r>
        <w:r w:rsidR="00F05127">
          <w:rPr>
            <w:noProof/>
            <w:webHidden/>
          </w:rPr>
          <w:fldChar w:fldCharType="begin"/>
        </w:r>
        <w:r w:rsidR="00F05127">
          <w:rPr>
            <w:noProof/>
            <w:webHidden/>
          </w:rPr>
          <w:instrText xml:space="preserve"> PAGEREF _Toc529285555 \h </w:instrText>
        </w:r>
        <w:r w:rsidR="00F05127">
          <w:rPr>
            <w:noProof/>
            <w:webHidden/>
          </w:rPr>
        </w:r>
        <w:r w:rsidR="00F05127">
          <w:rPr>
            <w:noProof/>
            <w:webHidden/>
          </w:rPr>
          <w:fldChar w:fldCharType="separate"/>
        </w:r>
        <w:r w:rsidR="00F05127">
          <w:rPr>
            <w:noProof/>
            <w:webHidden/>
          </w:rPr>
          <w:t>93</w:t>
        </w:r>
        <w:r w:rsidR="00F05127">
          <w:rPr>
            <w:noProof/>
            <w:webHidden/>
          </w:rPr>
          <w:fldChar w:fldCharType="end"/>
        </w:r>
      </w:hyperlink>
    </w:p>
    <w:p w:rsidR="00F05127" w:rsidRDefault="00BF5281">
      <w:pPr>
        <w:pStyle w:val="TOC2"/>
        <w:rPr>
          <w:rFonts w:asciiTheme="minorHAnsi" w:eastAsiaTheme="minorEastAsia" w:hAnsiTheme="minorHAnsi" w:cstheme="minorBidi"/>
          <w:noProof/>
          <w:lang w:val="en-US"/>
        </w:rPr>
      </w:pPr>
      <w:hyperlink w:anchor="_Toc529285556" w:history="1">
        <w:r w:rsidR="00F05127" w:rsidRPr="006376C3">
          <w:rPr>
            <w:rStyle w:val="Hyperlink"/>
            <w:noProof/>
          </w:rPr>
          <w:t>2.9.</w:t>
        </w:r>
        <w:r w:rsidR="00F05127">
          <w:rPr>
            <w:rFonts w:asciiTheme="minorHAnsi" w:eastAsiaTheme="minorEastAsia" w:hAnsiTheme="minorHAnsi" w:cstheme="minorBidi"/>
            <w:noProof/>
            <w:lang w:val="en-US"/>
          </w:rPr>
          <w:tab/>
        </w:r>
        <w:r w:rsidR="00F05127" w:rsidRPr="006376C3">
          <w:rPr>
            <w:rStyle w:val="Hyperlink"/>
            <w:noProof/>
          </w:rPr>
          <w:t>Пропуски и пречки, които възпрепятстват адекватния отговор за АИК</w:t>
        </w:r>
        <w:r w:rsidR="00F05127">
          <w:rPr>
            <w:noProof/>
            <w:webHidden/>
          </w:rPr>
          <w:tab/>
        </w:r>
        <w:r w:rsidR="00F05127">
          <w:rPr>
            <w:noProof/>
            <w:webHidden/>
          </w:rPr>
          <w:fldChar w:fldCharType="begin"/>
        </w:r>
        <w:r w:rsidR="00F05127">
          <w:rPr>
            <w:noProof/>
            <w:webHidden/>
          </w:rPr>
          <w:instrText xml:space="preserve"> PAGEREF _Toc529285556 \h </w:instrText>
        </w:r>
        <w:r w:rsidR="00F05127">
          <w:rPr>
            <w:noProof/>
            <w:webHidden/>
          </w:rPr>
        </w:r>
        <w:r w:rsidR="00F05127">
          <w:rPr>
            <w:noProof/>
            <w:webHidden/>
          </w:rPr>
          <w:fldChar w:fldCharType="separate"/>
        </w:r>
        <w:r w:rsidR="00F05127">
          <w:rPr>
            <w:noProof/>
            <w:webHidden/>
          </w:rPr>
          <w:t>95</w:t>
        </w:r>
        <w:r w:rsidR="00F05127">
          <w:rPr>
            <w:noProof/>
            <w:webHidden/>
          </w:rPr>
          <w:fldChar w:fldCharType="end"/>
        </w:r>
      </w:hyperlink>
    </w:p>
    <w:p w:rsidR="00F05127" w:rsidRDefault="00BF5281">
      <w:pPr>
        <w:pStyle w:val="TOC2"/>
        <w:rPr>
          <w:rFonts w:asciiTheme="minorHAnsi" w:eastAsiaTheme="minorEastAsia" w:hAnsiTheme="minorHAnsi" w:cstheme="minorBidi"/>
          <w:noProof/>
          <w:lang w:val="en-US"/>
        </w:rPr>
      </w:pPr>
      <w:hyperlink w:anchor="_Toc529285567" w:history="1">
        <w:r w:rsidR="00F05127" w:rsidRPr="006376C3">
          <w:rPr>
            <w:rStyle w:val="Hyperlink"/>
            <w:noProof/>
          </w:rPr>
          <w:t>2.10.</w:t>
        </w:r>
        <w:r w:rsidR="00F05127">
          <w:rPr>
            <w:rFonts w:asciiTheme="minorHAnsi" w:eastAsiaTheme="minorEastAsia" w:hAnsiTheme="minorHAnsi" w:cstheme="minorBidi"/>
            <w:noProof/>
            <w:lang w:val="en-US"/>
          </w:rPr>
          <w:tab/>
        </w:r>
        <w:r w:rsidR="00F05127" w:rsidRPr="006376C3">
          <w:rPr>
            <w:rStyle w:val="Hyperlink"/>
            <w:noProof/>
          </w:rPr>
          <w:t>Заключения</w:t>
        </w:r>
        <w:r w:rsidR="00F05127">
          <w:rPr>
            <w:noProof/>
            <w:webHidden/>
          </w:rPr>
          <w:tab/>
        </w:r>
        <w:r w:rsidR="00F05127">
          <w:rPr>
            <w:noProof/>
            <w:webHidden/>
          </w:rPr>
          <w:fldChar w:fldCharType="begin"/>
        </w:r>
        <w:r w:rsidR="00F05127">
          <w:rPr>
            <w:noProof/>
            <w:webHidden/>
          </w:rPr>
          <w:instrText xml:space="preserve"> PAGEREF _Toc529285567 \h </w:instrText>
        </w:r>
        <w:r w:rsidR="00F05127">
          <w:rPr>
            <w:noProof/>
            <w:webHidden/>
          </w:rPr>
        </w:r>
        <w:r w:rsidR="00F05127">
          <w:rPr>
            <w:noProof/>
            <w:webHidden/>
          </w:rPr>
          <w:fldChar w:fldCharType="separate"/>
        </w:r>
        <w:r w:rsidR="00F05127">
          <w:rPr>
            <w:noProof/>
            <w:webHidden/>
          </w:rPr>
          <w:t>97</w:t>
        </w:r>
        <w:r w:rsidR="00F05127">
          <w:rPr>
            <w:noProof/>
            <w:webHidden/>
          </w:rPr>
          <w:fldChar w:fldCharType="end"/>
        </w:r>
      </w:hyperlink>
    </w:p>
    <w:p w:rsidR="00F05127" w:rsidRDefault="00BF5281">
      <w:pPr>
        <w:pStyle w:val="TOC1"/>
        <w:rPr>
          <w:rFonts w:asciiTheme="minorHAnsi" w:eastAsiaTheme="minorEastAsia" w:hAnsiTheme="minorHAnsi" w:cstheme="minorBidi"/>
          <w:szCs w:val="22"/>
          <w:lang w:val="en-US"/>
        </w:rPr>
      </w:pPr>
      <w:hyperlink w:anchor="_Toc529285568" w:history="1">
        <w:r w:rsidR="00F05127" w:rsidRPr="006376C3">
          <w:rPr>
            <w:rStyle w:val="Hyperlink"/>
          </w:rPr>
          <w:t>Глава 3. Варианти за адаптация на градската среда</w:t>
        </w:r>
        <w:r w:rsidR="00F05127">
          <w:rPr>
            <w:webHidden/>
          </w:rPr>
          <w:tab/>
        </w:r>
        <w:r w:rsidR="00F05127">
          <w:rPr>
            <w:webHidden/>
          </w:rPr>
          <w:fldChar w:fldCharType="begin"/>
        </w:r>
        <w:r w:rsidR="00F05127">
          <w:rPr>
            <w:webHidden/>
          </w:rPr>
          <w:instrText xml:space="preserve"> PAGEREF _Toc529285568 \h </w:instrText>
        </w:r>
        <w:r w:rsidR="00F05127">
          <w:rPr>
            <w:webHidden/>
          </w:rPr>
        </w:r>
        <w:r w:rsidR="00F05127">
          <w:rPr>
            <w:webHidden/>
          </w:rPr>
          <w:fldChar w:fldCharType="separate"/>
        </w:r>
        <w:r w:rsidR="00F05127">
          <w:rPr>
            <w:webHidden/>
          </w:rPr>
          <w:t>98</w:t>
        </w:r>
        <w:r w:rsidR="00F05127">
          <w:rPr>
            <w:webHidden/>
          </w:rPr>
          <w:fldChar w:fldCharType="end"/>
        </w:r>
      </w:hyperlink>
    </w:p>
    <w:p w:rsidR="00F05127" w:rsidRDefault="00BF5281">
      <w:pPr>
        <w:pStyle w:val="TOC2"/>
        <w:rPr>
          <w:rFonts w:asciiTheme="minorHAnsi" w:eastAsiaTheme="minorEastAsia" w:hAnsiTheme="minorHAnsi" w:cstheme="minorBidi"/>
          <w:noProof/>
          <w:lang w:val="en-US"/>
        </w:rPr>
      </w:pPr>
      <w:hyperlink w:anchor="_Toc529285570" w:history="1">
        <w:r w:rsidR="00F05127" w:rsidRPr="006376C3">
          <w:rPr>
            <w:rStyle w:val="Hyperlink"/>
            <w:noProof/>
          </w:rPr>
          <w:t>3.1.</w:t>
        </w:r>
        <w:r w:rsidR="00F05127">
          <w:rPr>
            <w:rFonts w:asciiTheme="minorHAnsi" w:eastAsiaTheme="minorEastAsia" w:hAnsiTheme="minorHAnsi" w:cstheme="minorBidi"/>
            <w:noProof/>
            <w:lang w:val="en-US"/>
          </w:rPr>
          <w:tab/>
        </w:r>
        <w:r w:rsidR="00F05127" w:rsidRPr="006376C3">
          <w:rPr>
            <w:rStyle w:val="Hyperlink"/>
            <w:noProof/>
          </w:rPr>
          <w:t>Идентифицирани варианти за адаптация</w:t>
        </w:r>
        <w:r w:rsidR="00F05127">
          <w:rPr>
            <w:noProof/>
            <w:webHidden/>
          </w:rPr>
          <w:tab/>
        </w:r>
        <w:r w:rsidR="00F05127">
          <w:rPr>
            <w:noProof/>
            <w:webHidden/>
          </w:rPr>
          <w:fldChar w:fldCharType="begin"/>
        </w:r>
        <w:r w:rsidR="00F05127">
          <w:rPr>
            <w:noProof/>
            <w:webHidden/>
          </w:rPr>
          <w:instrText xml:space="preserve"> PAGEREF _Toc529285570 \h </w:instrText>
        </w:r>
        <w:r w:rsidR="00F05127">
          <w:rPr>
            <w:noProof/>
            <w:webHidden/>
          </w:rPr>
        </w:r>
        <w:r w:rsidR="00F05127">
          <w:rPr>
            <w:noProof/>
            <w:webHidden/>
          </w:rPr>
          <w:fldChar w:fldCharType="separate"/>
        </w:r>
        <w:r w:rsidR="00F05127">
          <w:rPr>
            <w:noProof/>
            <w:webHidden/>
          </w:rPr>
          <w:t>98</w:t>
        </w:r>
        <w:r w:rsidR="00F05127">
          <w:rPr>
            <w:noProof/>
            <w:webHidden/>
          </w:rPr>
          <w:fldChar w:fldCharType="end"/>
        </w:r>
      </w:hyperlink>
    </w:p>
    <w:p w:rsidR="00F05127" w:rsidRDefault="00BF5281">
      <w:pPr>
        <w:pStyle w:val="TOC3"/>
        <w:rPr>
          <w:rFonts w:asciiTheme="minorHAnsi" w:eastAsiaTheme="minorEastAsia" w:hAnsiTheme="minorHAnsi" w:cstheme="minorBidi"/>
          <w:noProof/>
          <w:lang w:val="en-US"/>
        </w:rPr>
      </w:pPr>
      <w:hyperlink w:anchor="_Toc529285571" w:history="1">
        <w:r w:rsidR="00F05127" w:rsidRPr="006376C3">
          <w:rPr>
            <w:rStyle w:val="Hyperlink"/>
            <w:noProof/>
          </w:rPr>
          <w:t>3.1.1.</w:t>
        </w:r>
        <w:r w:rsidR="00F05127">
          <w:rPr>
            <w:rFonts w:asciiTheme="minorHAnsi" w:eastAsiaTheme="minorEastAsia" w:hAnsiTheme="minorHAnsi" w:cstheme="minorBidi"/>
            <w:noProof/>
            <w:lang w:val="en-US"/>
          </w:rPr>
          <w:tab/>
        </w:r>
        <w:r w:rsidR="00F05127" w:rsidRPr="006376C3">
          <w:rPr>
            <w:rStyle w:val="Hyperlink"/>
            <w:noProof/>
          </w:rPr>
          <w:t>Идентифицирани варианти за адаптация на градската среда</w:t>
        </w:r>
        <w:r w:rsidR="00F05127">
          <w:rPr>
            <w:noProof/>
            <w:webHidden/>
          </w:rPr>
          <w:tab/>
        </w:r>
        <w:r w:rsidR="00F05127">
          <w:rPr>
            <w:noProof/>
            <w:webHidden/>
          </w:rPr>
          <w:fldChar w:fldCharType="begin"/>
        </w:r>
        <w:r w:rsidR="00F05127">
          <w:rPr>
            <w:noProof/>
            <w:webHidden/>
          </w:rPr>
          <w:instrText xml:space="preserve"> PAGEREF _Toc529285571 \h </w:instrText>
        </w:r>
        <w:r w:rsidR="00F05127">
          <w:rPr>
            <w:noProof/>
            <w:webHidden/>
          </w:rPr>
        </w:r>
        <w:r w:rsidR="00F05127">
          <w:rPr>
            <w:noProof/>
            <w:webHidden/>
          </w:rPr>
          <w:fldChar w:fldCharType="separate"/>
        </w:r>
        <w:r w:rsidR="00F05127">
          <w:rPr>
            <w:noProof/>
            <w:webHidden/>
          </w:rPr>
          <w:t>98</w:t>
        </w:r>
        <w:r w:rsidR="00F05127">
          <w:rPr>
            <w:noProof/>
            <w:webHidden/>
          </w:rPr>
          <w:fldChar w:fldCharType="end"/>
        </w:r>
      </w:hyperlink>
    </w:p>
    <w:p w:rsidR="00F05127" w:rsidRDefault="00BF5281">
      <w:pPr>
        <w:pStyle w:val="TOC3"/>
        <w:rPr>
          <w:rFonts w:asciiTheme="minorHAnsi" w:eastAsiaTheme="minorEastAsia" w:hAnsiTheme="minorHAnsi" w:cstheme="minorBidi"/>
          <w:noProof/>
          <w:lang w:val="en-US"/>
        </w:rPr>
      </w:pPr>
      <w:hyperlink w:anchor="_Toc529285572" w:history="1">
        <w:r w:rsidR="00F05127" w:rsidRPr="006376C3">
          <w:rPr>
            <w:rStyle w:val="Hyperlink"/>
            <w:noProof/>
          </w:rPr>
          <w:t>3.1.2.</w:t>
        </w:r>
        <w:r w:rsidR="00F05127">
          <w:rPr>
            <w:rFonts w:asciiTheme="minorHAnsi" w:eastAsiaTheme="minorEastAsia" w:hAnsiTheme="minorHAnsi" w:cstheme="minorBidi"/>
            <w:noProof/>
            <w:lang w:val="en-US"/>
          </w:rPr>
          <w:tab/>
        </w:r>
        <w:r w:rsidR="00F05127" w:rsidRPr="006376C3">
          <w:rPr>
            <w:rStyle w:val="Hyperlink"/>
            <w:noProof/>
          </w:rPr>
          <w:t>Възможни адаптационни варианти за управление на екстремни климатични явления и бедствия</w:t>
        </w:r>
        <w:r w:rsidR="00F05127">
          <w:rPr>
            <w:noProof/>
            <w:webHidden/>
          </w:rPr>
          <w:tab/>
        </w:r>
        <w:r w:rsidR="00F05127">
          <w:rPr>
            <w:noProof/>
            <w:webHidden/>
          </w:rPr>
          <w:fldChar w:fldCharType="begin"/>
        </w:r>
        <w:r w:rsidR="00F05127">
          <w:rPr>
            <w:noProof/>
            <w:webHidden/>
          </w:rPr>
          <w:instrText xml:space="preserve"> PAGEREF _Toc529285572 \h </w:instrText>
        </w:r>
        <w:r w:rsidR="00F05127">
          <w:rPr>
            <w:noProof/>
            <w:webHidden/>
          </w:rPr>
        </w:r>
        <w:r w:rsidR="00F05127">
          <w:rPr>
            <w:noProof/>
            <w:webHidden/>
          </w:rPr>
          <w:fldChar w:fldCharType="separate"/>
        </w:r>
        <w:r w:rsidR="00F05127">
          <w:rPr>
            <w:noProof/>
            <w:webHidden/>
          </w:rPr>
          <w:t>104</w:t>
        </w:r>
        <w:r w:rsidR="00F05127">
          <w:rPr>
            <w:noProof/>
            <w:webHidden/>
          </w:rPr>
          <w:fldChar w:fldCharType="end"/>
        </w:r>
      </w:hyperlink>
    </w:p>
    <w:p w:rsidR="00F05127" w:rsidRDefault="00BF5281">
      <w:pPr>
        <w:pStyle w:val="TOC3"/>
        <w:rPr>
          <w:rFonts w:asciiTheme="minorHAnsi" w:eastAsiaTheme="minorEastAsia" w:hAnsiTheme="minorHAnsi" w:cstheme="minorBidi"/>
          <w:noProof/>
          <w:lang w:val="en-US"/>
        </w:rPr>
      </w:pPr>
      <w:hyperlink w:anchor="_Toc529285573" w:history="1">
        <w:r w:rsidR="00F05127" w:rsidRPr="006376C3">
          <w:rPr>
            <w:rStyle w:val="Hyperlink"/>
            <w:noProof/>
          </w:rPr>
          <w:t>3.1.3.</w:t>
        </w:r>
        <w:r w:rsidR="00F05127">
          <w:rPr>
            <w:rFonts w:asciiTheme="minorHAnsi" w:eastAsiaTheme="minorEastAsia" w:hAnsiTheme="minorHAnsi" w:cstheme="minorBidi"/>
            <w:noProof/>
            <w:lang w:val="en-US"/>
          </w:rPr>
          <w:tab/>
        </w:r>
        <w:r w:rsidR="00F05127" w:rsidRPr="006376C3">
          <w:rPr>
            <w:rStyle w:val="Hyperlink"/>
            <w:noProof/>
          </w:rPr>
          <w:t>Варианти за адаптация за бедните и уязвими групи</w:t>
        </w:r>
        <w:r w:rsidR="00F05127">
          <w:rPr>
            <w:noProof/>
            <w:webHidden/>
          </w:rPr>
          <w:tab/>
        </w:r>
        <w:r w:rsidR="00F05127">
          <w:rPr>
            <w:noProof/>
            <w:webHidden/>
          </w:rPr>
          <w:fldChar w:fldCharType="begin"/>
        </w:r>
        <w:r w:rsidR="00F05127">
          <w:rPr>
            <w:noProof/>
            <w:webHidden/>
          </w:rPr>
          <w:instrText xml:space="preserve"> PAGEREF _Toc529285573 \h </w:instrText>
        </w:r>
        <w:r w:rsidR="00F05127">
          <w:rPr>
            <w:noProof/>
            <w:webHidden/>
          </w:rPr>
        </w:r>
        <w:r w:rsidR="00F05127">
          <w:rPr>
            <w:noProof/>
            <w:webHidden/>
          </w:rPr>
          <w:fldChar w:fldCharType="separate"/>
        </w:r>
        <w:r w:rsidR="00F05127">
          <w:rPr>
            <w:noProof/>
            <w:webHidden/>
          </w:rPr>
          <w:t>115</w:t>
        </w:r>
        <w:r w:rsidR="00F05127">
          <w:rPr>
            <w:noProof/>
            <w:webHidden/>
          </w:rPr>
          <w:fldChar w:fldCharType="end"/>
        </w:r>
      </w:hyperlink>
    </w:p>
    <w:p w:rsidR="00F05127" w:rsidRDefault="00BF5281">
      <w:pPr>
        <w:pStyle w:val="TOC2"/>
        <w:rPr>
          <w:rFonts w:asciiTheme="minorHAnsi" w:eastAsiaTheme="minorEastAsia" w:hAnsiTheme="minorHAnsi" w:cstheme="minorBidi"/>
          <w:noProof/>
          <w:lang w:val="en-US"/>
        </w:rPr>
      </w:pPr>
      <w:hyperlink w:anchor="_Toc529285574" w:history="1">
        <w:r w:rsidR="00F05127" w:rsidRPr="006376C3">
          <w:rPr>
            <w:rStyle w:val="Hyperlink"/>
            <w:noProof/>
          </w:rPr>
          <w:t>3.2.</w:t>
        </w:r>
        <w:r w:rsidR="00F05127">
          <w:rPr>
            <w:rFonts w:asciiTheme="minorHAnsi" w:eastAsiaTheme="minorEastAsia" w:hAnsiTheme="minorHAnsi" w:cstheme="minorBidi"/>
            <w:noProof/>
            <w:lang w:val="en-US"/>
          </w:rPr>
          <w:tab/>
        </w:r>
        <w:r w:rsidR="00F05127" w:rsidRPr="006376C3">
          <w:rPr>
            <w:rStyle w:val="Hyperlink"/>
            <w:noProof/>
          </w:rPr>
          <w:t>Опит с избора на варианти за адаптация на градската среда в други страни (от ЕС)</w:t>
        </w:r>
        <w:r w:rsidR="00F05127">
          <w:rPr>
            <w:noProof/>
            <w:webHidden/>
          </w:rPr>
          <w:tab/>
        </w:r>
        <w:r w:rsidR="00F05127">
          <w:rPr>
            <w:noProof/>
            <w:webHidden/>
          </w:rPr>
          <w:fldChar w:fldCharType="begin"/>
        </w:r>
        <w:r w:rsidR="00F05127">
          <w:rPr>
            <w:noProof/>
            <w:webHidden/>
          </w:rPr>
          <w:instrText xml:space="preserve"> PAGEREF _Toc529285574 \h </w:instrText>
        </w:r>
        <w:r w:rsidR="00F05127">
          <w:rPr>
            <w:noProof/>
            <w:webHidden/>
          </w:rPr>
        </w:r>
        <w:r w:rsidR="00F05127">
          <w:rPr>
            <w:noProof/>
            <w:webHidden/>
          </w:rPr>
          <w:fldChar w:fldCharType="separate"/>
        </w:r>
        <w:r w:rsidR="00F05127">
          <w:rPr>
            <w:noProof/>
            <w:webHidden/>
          </w:rPr>
          <w:t>117</w:t>
        </w:r>
        <w:r w:rsidR="00F05127">
          <w:rPr>
            <w:noProof/>
            <w:webHidden/>
          </w:rPr>
          <w:fldChar w:fldCharType="end"/>
        </w:r>
      </w:hyperlink>
    </w:p>
    <w:p w:rsidR="00F05127" w:rsidRDefault="00BF5281">
      <w:pPr>
        <w:pStyle w:val="TOC3"/>
        <w:rPr>
          <w:rFonts w:asciiTheme="minorHAnsi" w:eastAsiaTheme="minorEastAsia" w:hAnsiTheme="minorHAnsi" w:cstheme="minorBidi"/>
          <w:noProof/>
          <w:lang w:val="en-US"/>
        </w:rPr>
      </w:pPr>
      <w:hyperlink w:anchor="_Toc529285575" w:history="1">
        <w:r w:rsidR="00F05127" w:rsidRPr="006376C3">
          <w:rPr>
            <w:rStyle w:val="Hyperlink"/>
            <w:noProof/>
          </w:rPr>
          <w:t>3.2.1.</w:t>
        </w:r>
        <w:r w:rsidR="00F05127">
          <w:rPr>
            <w:rFonts w:asciiTheme="minorHAnsi" w:eastAsiaTheme="minorEastAsia" w:hAnsiTheme="minorHAnsi" w:cstheme="minorBidi"/>
            <w:noProof/>
            <w:lang w:val="en-US"/>
          </w:rPr>
          <w:tab/>
        </w:r>
        <w:r w:rsidR="00F05127" w:rsidRPr="006376C3">
          <w:rPr>
            <w:rStyle w:val="Hyperlink"/>
            <w:noProof/>
          </w:rPr>
          <w:t>Принципи за избора на варианти за АИК</w:t>
        </w:r>
        <w:r w:rsidR="00F05127">
          <w:rPr>
            <w:noProof/>
            <w:webHidden/>
          </w:rPr>
          <w:tab/>
        </w:r>
        <w:r w:rsidR="00F05127">
          <w:rPr>
            <w:noProof/>
            <w:webHidden/>
          </w:rPr>
          <w:fldChar w:fldCharType="begin"/>
        </w:r>
        <w:r w:rsidR="00F05127">
          <w:rPr>
            <w:noProof/>
            <w:webHidden/>
          </w:rPr>
          <w:instrText xml:space="preserve"> PAGEREF _Toc529285575 \h </w:instrText>
        </w:r>
        <w:r w:rsidR="00F05127">
          <w:rPr>
            <w:noProof/>
            <w:webHidden/>
          </w:rPr>
        </w:r>
        <w:r w:rsidR="00F05127">
          <w:rPr>
            <w:noProof/>
            <w:webHidden/>
          </w:rPr>
          <w:fldChar w:fldCharType="separate"/>
        </w:r>
        <w:r w:rsidR="00F05127">
          <w:rPr>
            <w:noProof/>
            <w:webHidden/>
          </w:rPr>
          <w:t>117</w:t>
        </w:r>
        <w:r w:rsidR="00F05127">
          <w:rPr>
            <w:noProof/>
            <w:webHidden/>
          </w:rPr>
          <w:fldChar w:fldCharType="end"/>
        </w:r>
      </w:hyperlink>
    </w:p>
    <w:p w:rsidR="00F05127" w:rsidRDefault="00BF5281">
      <w:pPr>
        <w:pStyle w:val="TOC3"/>
        <w:rPr>
          <w:rFonts w:asciiTheme="minorHAnsi" w:eastAsiaTheme="minorEastAsia" w:hAnsiTheme="minorHAnsi" w:cstheme="minorBidi"/>
          <w:noProof/>
          <w:lang w:val="en-US"/>
        </w:rPr>
      </w:pPr>
      <w:hyperlink w:anchor="_Toc529285576" w:history="1">
        <w:r w:rsidR="00F05127" w:rsidRPr="006376C3">
          <w:rPr>
            <w:rStyle w:val="Hyperlink"/>
            <w:noProof/>
          </w:rPr>
          <w:t>3.2.2.</w:t>
        </w:r>
        <w:r w:rsidR="00F05127">
          <w:rPr>
            <w:rFonts w:asciiTheme="minorHAnsi" w:eastAsiaTheme="minorEastAsia" w:hAnsiTheme="minorHAnsi" w:cstheme="minorBidi"/>
            <w:noProof/>
            <w:lang w:val="en-US"/>
          </w:rPr>
          <w:tab/>
        </w:r>
        <w:r w:rsidR="00F05127" w:rsidRPr="006376C3">
          <w:rPr>
            <w:rStyle w:val="Hyperlink"/>
            <w:noProof/>
          </w:rPr>
          <w:t>Критерии за избора на варианти за АИК</w:t>
        </w:r>
        <w:r w:rsidR="00F05127">
          <w:rPr>
            <w:noProof/>
            <w:webHidden/>
          </w:rPr>
          <w:tab/>
        </w:r>
        <w:r w:rsidR="00F05127">
          <w:rPr>
            <w:noProof/>
            <w:webHidden/>
          </w:rPr>
          <w:fldChar w:fldCharType="begin"/>
        </w:r>
        <w:r w:rsidR="00F05127">
          <w:rPr>
            <w:noProof/>
            <w:webHidden/>
          </w:rPr>
          <w:instrText xml:space="preserve"> PAGEREF _Toc529285576 \h </w:instrText>
        </w:r>
        <w:r w:rsidR="00F05127">
          <w:rPr>
            <w:noProof/>
            <w:webHidden/>
          </w:rPr>
        </w:r>
        <w:r w:rsidR="00F05127">
          <w:rPr>
            <w:noProof/>
            <w:webHidden/>
          </w:rPr>
          <w:fldChar w:fldCharType="separate"/>
        </w:r>
        <w:r w:rsidR="00F05127">
          <w:rPr>
            <w:noProof/>
            <w:webHidden/>
          </w:rPr>
          <w:t>119</w:t>
        </w:r>
        <w:r w:rsidR="00F05127">
          <w:rPr>
            <w:noProof/>
            <w:webHidden/>
          </w:rPr>
          <w:fldChar w:fldCharType="end"/>
        </w:r>
      </w:hyperlink>
    </w:p>
    <w:p w:rsidR="00F05127" w:rsidRDefault="00BF5281">
      <w:pPr>
        <w:pStyle w:val="TOC3"/>
        <w:rPr>
          <w:rFonts w:asciiTheme="minorHAnsi" w:eastAsiaTheme="minorEastAsia" w:hAnsiTheme="minorHAnsi" w:cstheme="minorBidi"/>
          <w:noProof/>
          <w:lang w:val="en-US"/>
        </w:rPr>
      </w:pPr>
      <w:hyperlink w:anchor="_Toc529285577" w:history="1">
        <w:r w:rsidR="00F05127" w:rsidRPr="006376C3">
          <w:rPr>
            <w:rStyle w:val="Hyperlink"/>
            <w:noProof/>
          </w:rPr>
          <w:t>3.2.3.</w:t>
        </w:r>
        <w:r w:rsidR="00F05127">
          <w:rPr>
            <w:rFonts w:asciiTheme="minorHAnsi" w:eastAsiaTheme="minorEastAsia" w:hAnsiTheme="minorHAnsi" w:cstheme="minorBidi"/>
            <w:noProof/>
            <w:lang w:val="en-US"/>
          </w:rPr>
          <w:tab/>
        </w:r>
        <w:r w:rsidR="00F05127" w:rsidRPr="006376C3">
          <w:rPr>
            <w:rStyle w:val="Hyperlink"/>
            <w:noProof/>
          </w:rPr>
          <w:t>Ограничения и възможности за приложение</w:t>
        </w:r>
        <w:r w:rsidR="00F05127">
          <w:rPr>
            <w:noProof/>
            <w:webHidden/>
          </w:rPr>
          <w:tab/>
        </w:r>
        <w:r w:rsidR="00F05127">
          <w:rPr>
            <w:noProof/>
            <w:webHidden/>
          </w:rPr>
          <w:fldChar w:fldCharType="begin"/>
        </w:r>
        <w:r w:rsidR="00F05127">
          <w:rPr>
            <w:noProof/>
            <w:webHidden/>
          </w:rPr>
          <w:instrText xml:space="preserve"> PAGEREF _Toc529285577 \h </w:instrText>
        </w:r>
        <w:r w:rsidR="00F05127">
          <w:rPr>
            <w:noProof/>
            <w:webHidden/>
          </w:rPr>
        </w:r>
        <w:r w:rsidR="00F05127">
          <w:rPr>
            <w:noProof/>
            <w:webHidden/>
          </w:rPr>
          <w:fldChar w:fldCharType="separate"/>
        </w:r>
        <w:r w:rsidR="00F05127">
          <w:rPr>
            <w:noProof/>
            <w:webHidden/>
          </w:rPr>
          <w:t>120</w:t>
        </w:r>
        <w:r w:rsidR="00F05127">
          <w:rPr>
            <w:noProof/>
            <w:webHidden/>
          </w:rPr>
          <w:fldChar w:fldCharType="end"/>
        </w:r>
      </w:hyperlink>
    </w:p>
    <w:p w:rsidR="00F05127" w:rsidRDefault="00BF5281">
      <w:pPr>
        <w:pStyle w:val="TOC2"/>
        <w:rPr>
          <w:rFonts w:asciiTheme="minorHAnsi" w:eastAsiaTheme="minorEastAsia" w:hAnsiTheme="minorHAnsi" w:cstheme="minorBidi"/>
          <w:noProof/>
          <w:lang w:val="en-US"/>
        </w:rPr>
      </w:pPr>
      <w:hyperlink w:anchor="_Toc529285578" w:history="1">
        <w:r w:rsidR="00F05127" w:rsidRPr="006376C3">
          <w:rPr>
            <w:rStyle w:val="Hyperlink"/>
            <w:noProof/>
          </w:rPr>
          <w:t>3.3.</w:t>
        </w:r>
        <w:r w:rsidR="00F05127">
          <w:rPr>
            <w:rFonts w:asciiTheme="minorHAnsi" w:eastAsiaTheme="minorEastAsia" w:hAnsiTheme="minorHAnsi" w:cstheme="minorBidi"/>
            <w:noProof/>
            <w:lang w:val="en-US"/>
          </w:rPr>
          <w:tab/>
        </w:r>
        <w:r w:rsidR="00F05127" w:rsidRPr="006376C3">
          <w:rPr>
            <w:rStyle w:val="Hyperlink"/>
            <w:noProof/>
          </w:rPr>
          <w:t>Оценка на вариантите за адаптация</w:t>
        </w:r>
        <w:r w:rsidR="00F05127">
          <w:rPr>
            <w:noProof/>
            <w:webHidden/>
          </w:rPr>
          <w:tab/>
        </w:r>
        <w:r w:rsidR="00F05127">
          <w:rPr>
            <w:noProof/>
            <w:webHidden/>
          </w:rPr>
          <w:fldChar w:fldCharType="begin"/>
        </w:r>
        <w:r w:rsidR="00F05127">
          <w:rPr>
            <w:noProof/>
            <w:webHidden/>
          </w:rPr>
          <w:instrText xml:space="preserve"> PAGEREF _Toc529285578 \h </w:instrText>
        </w:r>
        <w:r w:rsidR="00F05127">
          <w:rPr>
            <w:noProof/>
            <w:webHidden/>
          </w:rPr>
        </w:r>
        <w:r w:rsidR="00F05127">
          <w:rPr>
            <w:noProof/>
            <w:webHidden/>
          </w:rPr>
          <w:fldChar w:fldCharType="separate"/>
        </w:r>
        <w:r w:rsidR="00F05127">
          <w:rPr>
            <w:noProof/>
            <w:webHidden/>
          </w:rPr>
          <w:t>122</w:t>
        </w:r>
        <w:r w:rsidR="00F05127">
          <w:rPr>
            <w:noProof/>
            <w:webHidden/>
          </w:rPr>
          <w:fldChar w:fldCharType="end"/>
        </w:r>
      </w:hyperlink>
    </w:p>
    <w:p w:rsidR="00F05127" w:rsidRDefault="00BF5281">
      <w:pPr>
        <w:pStyle w:val="TOC3"/>
        <w:rPr>
          <w:rFonts w:asciiTheme="minorHAnsi" w:eastAsiaTheme="minorEastAsia" w:hAnsiTheme="minorHAnsi" w:cstheme="minorBidi"/>
          <w:noProof/>
          <w:lang w:val="en-US"/>
        </w:rPr>
      </w:pPr>
      <w:hyperlink w:anchor="_Toc529285579" w:history="1">
        <w:r w:rsidR="00F05127" w:rsidRPr="006376C3">
          <w:rPr>
            <w:rStyle w:val="Hyperlink"/>
            <w:noProof/>
          </w:rPr>
          <w:t>3.3.1.</w:t>
        </w:r>
        <w:r w:rsidR="00F05127">
          <w:rPr>
            <w:rFonts w:asciiTheme="minorHAnsi" w:eastAsiaTheme="minorEastAsia" w:hAnsiTheme="minorHAnsi" w:cstheme="minorBidi"/>
            <w:noProof/>
            <w:lang w:val="en-US"/>
          </w:rPr>
          <w:tab/>
        </w:r>
        <w:r w:rsidR="00F05127" w:rsidRPr="006376C3">
          <w:rPr>
            <w:rStyle w:val="Hyperlink"/>
            <w:noProof/>
          </w:rPr>
          <w:t>Предварителна оценка на времето, усилията, институционалната уредба</w:t>
        </w:r>
        <w:r w:rsidR="00F05127">
          <w:rPr>
            <w:noProof/>
            <w:webHidden/>
          </w:rPr>
          <w:tab/>
        </w:r>
        <w:r w:rsidR="00F05127">
          <w:rPr>
            <w:noProof/>
            <w:webHidden/>
          </w:rPr>
          <w:fldChar w:fldCharType="begin"/>
        </w:r>
        <w:r w:rsidR="00F05127">
          <w:rPr>
            <w:noProof/>
            <w:webHidden/>
          </w:rPr>
          <w:instrText xml:space="preserve"> PAGEREF _Toc529285579 \h </w:instrText>
        </w:r>
        <w:r w:rsidR="00F05127">
          <w:rPr>
            <w:noProof/>
            <w:webHidden/>
          </w:rPr>
        </w:r>
        <w:r w:rsidR="00F05127">
          <w:rPr>
            <w:noProof/>
            <w:webHidden/>
          </w:rPr>
          <w:fldChar w:fldCharType="separate"/>
        </w:r>
        <w:r w:rsidR="00F05127">
          <w:rPr>
            <w:noProof/>
            <w:webHidden/>
          </w:rPr>
          <w:t>122</w:t>
        </w:r>
        <w:r w:rsidR="00F05127">
          <w:rPr>
            <w:noProof/>
            <w:webHidden/>
          </w:rPr>
          <w:fldChar w:fldCharType="end"/>
        </w:r>
      </w:hyperlink>
    </w:p>
    <w:p w:rsidR="00F05127" w:rsidRDefault="00BF5281">
      <w:pPr>
        <w:pStyle w:val="TOC3"/>
        <w:rPr>
          <w:rFonts w:asciiTheme="minorHAnsi" w:eastAsiaTheme="minorEastAsia" w:hAnsiTheme="minorHAnsi" w:cstheme="minorBidi"/>
          <w:noProof/>
          <w:lang w:val="en-US"/>
        </w:rPr>
      </w:pPr>
      <w:hyperlink w:anchor="_Toc529285580" w:history="1">
        <w:r w:rsidR="00F05127" w:rsidRPr="006376C3">
          <w:rPr>
            <w:rStyle w:val="Hyperlink"/>
            <w:noProof/>
          </w:rPr>
          <w:t>3.3.2.</w:t>
        </w:r>
        <w:r w:rsidR="00F05127">
          <w:rPr>
            <w:rFonts w:asciiTheme="minorHAnsi" w:eastAsiaTheme="minorEastAsia" w:hAnsiTheme="minorHAnsi" w:cstheme="minorBidi"/>
            <w:noProof/>
            <w:lang w:val="en-US"/>
          </w:rPr>
          <w:tab/>
        </w:r>
        <w:r w:rsidR="00F05127" w:rsidRPr="006376C3">
          <w:rPr>
            <w:rStyle w:val="Hyperlink"/>
            <w:noProof/>
          </w:rPr>
          <w:t>Анализ на разходи и ползи</w:t>
        </w:r>
        <w:r w:rsidR="00F05127">
          <w:rPr>
            <w:noProof/>
            <w:webHidden/>
          </w:rPr>
          <w:tab/>
        </w:r>
        <w:r w:rsidR="00F05127">
          <w:rPr>
            <w:noProof/>
            <w:webHidden/>
          </w:rPr>
          <w:fldChar w:fldCharType="begin"/>
        </w:r>
        <w:r w:rsidR="00F05127">
          <w:rPr>
            <w:noProof/>
            <w:webHidden/>
          </w:rPr>
          <w:instrText xml:space="preserve"> PAGEREF _Toc529285580 \h </w:instrText>
        </w:r>
        <w:r w:rsidR="00F05127">
          <w:rPr>
            <w:noProof/>
            <w:webHidden/>
          </w:rPr>
        </w:r>
        <w:r w:rsidR="00F05127">
          <w:rPr>
            <w:noProof/>
            <w:webHidden/>
          </w:rPr>
          <w:fldChar w:fldCharType="separate"/>
        </w:r>
        <w:r w:rsidR="00F05127">
          <w:rPr>
            <w:noProof/>
            <w:webHidden/>
          </w:rPr>
          <w:t>124</w:t>
        </w:r>
        <w:r w:rsidR="00F05127">
          <w:rPr>
            <w:noProof/>
            <w:webHidden/>
          </w:rPr>
          <w:fldChar w:fldCharType="end"/>
        </w:r>
      </w:hyperlink>
    </w:p>
    <w:p w:rsidR="00F05127" w:rsidRDefault="00BF5281">
      <w:pPr>
        <w:pStyle w:val="TOC3"/>
        <w:rPr>
          <w:rFonts w:asciiTheme="minorHAnsi" w:eastAsiaTheme="minorEastAsia" w:hAnsiTheme="minorHAnsi" w:cstheme="minorBidi"/>
          <w:noProof/>
          <w:lang w:val="en-US"/>
        </w:rPr>
      </w:pPr>
      <w:hyperlink w:anchor="_Toc529285581" w:history="1">
        <w:r w:rsidR="00F05127" w:rsidRPr="006376C3">
          <w:rPr>
            <w:rStyle w:val="Hyperlink"/>
            <w:noProof/>
          </w:rPr>
          <w:t>3.3.3.</w:t>
        </w:r>
        <w:r w:rsidR="00F05127">
          <w:rPr>
            <w:rFonts w:asciiTheme="minorHAnsi" w:eastAsiaTheme="minorEastAsia" w:hAnsiTheme="minorHAnsi" w:cstheme="minorBidi"/>
            <w:noProof/>
            <w:lang w:val="en-US"/>
          </w:rPr>
          <w:tab/>
        </w:r>
        <w:r w:rsidR="00F05127" w:rsidRPr="006376C3">
          <w:rPr>
            <w:rStyle w:val="Hyperlink"/>
            <w:noProof/>
          </w:rPr>
          <w:t>Индикатори, специфични за градската среда</w:t>
        </w:r>
        <w:r w:rsidR="00F05127">
          <w:rPr>
            <w:noProof/>
            <w:webHidden/>
          </w:rPr>
          <w:tab/>
        </w:r>
        <w:r w:rsidR="00F05127">
          <w:rPr>
            <w:noProof/>
            <w:webHidden/>
          </w:rPr>
          <w:fldChar w:fldCharType="begin"/>
        </w:r>
        <w:r w:rsidR="00F05127">
          <w:rPr>
            <w:noProof/>
            <w:webHidden/>
          </w:rPr>
          <w:instrText xml:space="preserve"> PAGEREF _Toc529285581 \h </w:instrText>
        </w:r>
        <w:r w:rsidR="00F05127">
          <w:rPr>
            <w:noProof/>
            <w:webHidden/>
          </w:rPr>
        </w:r>
        <w:r w:rsidR="00F05127">
          <w:rPr>
            <w:noProof/>
            <w:webHidden/>
          </w:rPr>
          <w:fldChar w:fldCharType="separate"/>
        </w:r>
        <w:r w:rsidR="00F05127">
          <w:rPr>
            <w:noProof/>
            <w:webHidden/>
          </w:rPr>
          <w:t>126</w:t>
        </w:r>
        <w:r w:rsidR="00F05127">
          <w:rPr>
            <w:noProof/>
            <w:webHidden/>
          </w:rPr>
          <w:fldChar w:fldCharType="end"/>
        </w:r>
      </w:hyperlink>
    </w:p>
    <w:p w:rsidR="00F05127" w:rsidRDefault="00BF5281">
      <w:pPr>
        <w:pStyle w:val="TOC3"/>
        <w:rPr>
          <w:rFonts w:asciiTheme="minorHAnsi" w:eastAsiaTheme="minorEastAsia" w:hAnsiTheme="minorHAnsi" w:cstheme="minorBidi"/>
          <w:noProof/>
          <w:lang w:val="en-US"/>
        </w:rPr>
      </w:pPr>
      <w:hyperlink w:anchor="_Toc529285582" w:history="1">
        <w:r w:rsidR="00F05127" w:rsidRPr="006376C3">
          <w:rPr>
            <w:rStyle w:val="Hyperlink"/>
            <w:noProof/>
          </w:rPr>
          <w:t>3.3.4.</w:t>
        </w:r>
        <w:r w:rsidR="00F05127">
          <w:rPr>
            <w:rFonts w:asciiTheme="minorHAnsi" w:eastAsiaTheme="minorEastAsia" w:hAnsiTheme="minorHAnsi" w:cstheme="minorBidi"/>
            <w:noProof/>
            <w:lang w:val="en-US"/>
          </w:rPr>
          <w:tab/>
        </w:r>
        <w:r w:rsidR="00F05127" w:rsidRPr="006376C3">
          <w:rPr>
            <w:rStyle w:val="Hyperlink"/>
            <w:noProof/>
          </w:rPr>
          <w:t>Ограничения и ползи, последствия на бездействието/несполучливата адаптация</w:t>
        </w:r>
        <w:r w:rsidR="00F05127">
          <w:rPr>
            <w:noProof/>
            <w:webHidden/>
          </w:rPr>
          <w:tab/>
        </w:r>
        <w:r w:rsidR="00F05127">
          <w:rPr>
            <w:noProof/>
            <w:webHidden/>
          </w:rPr>
          <w:tab/>
        </w:r>
        <w:r w:rsidR="00F05127">
          <w:rPr>
            <w:noProof/>
            <w:webHidden/>
          </w:rPr>
          <w:tab/>
        </w:r>
        <w:r w:rsidR="00F05127">
          <w:rPr>
            <w:noProof/>
            <w:webHidden/>
          </w:rPr>
          <w:fldChar w:fldCharType="begin"/>
        </w:r>
        <w:r w:rsidR="00F05127">
          <w:rPr>
            <w:noProof/>
            <w:webHidden/>
          </w:rPr>
          <w:instrText xml:space="preserve"> PAGEREF _Toc529285582 \h </w:instrText>
        </w:r>
        <w:r w:rsidR="00F05127">
          <w:rPr>
            <w:noProof/>
            <w:webHidden/>
          </w:rPr>
        </w:r>
        <w:r w:rsidR="00F05127">
          <w:rPr>
            <w:noProof/>
            <w:webHidden/>
          </w:rPr>
          <w:fldChar w:fldCharType="separate"/>
        </w:r>
        <w:r w:rsidR="00F05127">
          <w:rPr>
            <w:noProof/>
            <w:webHidden/>
          </w:rPr>
          <w:t>129</w:t>
        </w:r>
        <w:r w:rsidR="00F05127">
          <w:rPr>
            <w:noProof/>
            <w:webHidden/>
          </w:rPr>
          <w:fldChar w:fldCharType="end"/>
        </w:r>
      </w:hyperlink>
    </w:p>
    <w:p w:rsidR="00F05127" w:rsidRDefault="00BF5281">
      <w:pPr>
        <w:pStyle w:val="TOC2"/>
        <w:rPr>
          <w:rFonts w:asciiTheme="minorHAnsi" w:eastAsiaTheme="minorEastAsia" w:hAnsiTheme="minorHAnsi" w:cstheme="minorBidi"/>
          <w:noProof/>
          <w:lang w:val="en-US"/>
        </w:rPr>
      </w:pPr>
      <w:hyperlink w:anchor="_Toc529285583" w:history="1">
        <w:r w:rsidR="00F05127" w:rsidRPr="006376C3">
          <w:rPr>
            <w:rStyle w:val="Hyperlink"/>
            <w:noProof/>
          </w:rPr>
          <w:t>3.4.</w:t>
        </w:r>
        <w:r w:rsidR="00F05127">
          <w:rPr>
            <w:rFonts w:asciiTheme="minorHAnsi" w:eastAsiaTheme="minorEastAsia" w:hAnsiTheme="minorHAnsi" w:cstheme="minorBidi"/>
            <w:noProof/>
            <w:lang w:val="en-US"/>
          </w:rPr>
          <w:tab/>
        </w:r>
        <w:r w:rsidR="00F05127" w:rsidRPr="006376C3">
          <w:rPr>
            <w:rStyle w:val="Hyperlink"/>
            <w:noProof/>
          </w:rPr>
          <w:t>Междутематични проблеми, компромиси и синергия на възможностите за адаптация</w:t>
        </w:r>
        <w:r w:rsidR="00F05127">
          <w:rPr>
            <w:noProof/>
            <w:webHidden/>
          </w:rPr>
          <w:tab/>
        </w:r>
        <w:r w:rsidR="00F05127">
          <w:rPr>
            <w:noProof/>
            <w:webHidden/>
          </w:rPr>
          <w:tab/>
        </w:r>
        <w:r w:rsidR="00F05127">
          <w:rPr>
            <w:noProof/>
            <w:webHidden/>
          </w:rPr>
          <w:tab/>
        </w:r>
        <w:r w:rsidR="00F05127">
          <w:rPr>
            <w:noProof/>
            <w:webHidden/>
          </w:rPr>
          <w:fldChar w:fldCharType="begin"/>
        </w:r>
        <w:r w:rsidR="00F05127">
          <w:rPr>
            <w:noProof/>
            <w:webHidden/>
          </w:rPr>
          <w:instrText xml:space="preserve"> PAGEREF _Toc529285583 \h </w:instrText>
        </w:r>
        <w:r w:rsidR="00F05127">
          <w:rPr>
            <w:noProof/>
            <w:webHidden/>
          </w:rPr>
        </w:r>
        <w:r w:rsidR="00F05127">
          <w:rPr>
            <w:noProof/>
            <w:webHidden/>
          </w:rPr>
          <w:fldChar w:fldCharType="separate"/>
        </w:r>
        <w:r w:rsidR="00F05127">
          <w:rPr>
            <w:noProof/>
            <w:webHidden/>
          </w:rPr>
          <w:t>135</w:t>
        </w:r>
        <w:r w:rsidR="00F05127">
          <w:rPr>
            <w:noProof/>
            <w:webHidden/>
          </w:rPr>
          <w:fldChar w:fldCharType="end"/>
        </w:r>
      </w:hyperlink>
    </w:p>
    <w:p w:rsidR="00F05127" w:rsidRDefault="00BF5281">
      <w:pPr>
        <w:pStyle w:val="TOC2"/>
        <w:rPr>
          <w:rFonts w:asciiTheme="minorHAnsi" w:eastAsiaTheme="minorEastAsia" w:hAnsiTheme="minorHAnsi" w:cstheme="minorBidi"/>
          <w:noProof/>
          <w:lang w:val="en-US"/>
        </w:rPr>
      </w:pPr>
      <w:hyperlink w:anchor="_Toc529285584" w:history="1">
        <w:r w:rsidR="00F05127" w:rsidRPr="006376C3">
          <w:rPr>
            <w:rStyle w:val="Hyperlink"/>
            <w:noProof/>
          </w:rPr>
          <w:t>3.5.</w:t>
        </w:r>
        <w:r w:rsidR="00F05127">
          <w:rPr>
            <w:rFonts w:asciiTheme="minorHAnsi" w:eastAsiaTheme="minorEastAsia" w:hAnsiTheme="minorHAnsi" w:cstheme="minorBidi"/>
            <w:noProof/>
            <w:lang w:val="en-US"/>
          </w:rPr>
          <w:tab/>
        </w:r>
        <w:r w:rsidR="00F05127" w:rsidRPr="006376C3">
          <w:rPr>
            <w:rStyle w:val="Hyperlink"/>
            <w:noProof/>
          </w:rPr>
          <w:t>Подход за определяне на приоритети</w:t>
        </w:r>
        <w:r w:rsidR="00F05127">
          <w:rPr>
            <w:noProof/>
            <w:webHidden/>
          </w:rPr>
          <w:tab/>
        </w:r>
        <w:r w:rsidR="00F05127">
          <w:rPr>
            <w:noProof/>
            <w:webHidden/>
          </w:rPr>
          <w:fldChar w:fldCharType="begin"/>
        </w:r>
        <w:r w:rsidR="00F05127">
          <w:rPr>
            <w:noProof/>
            <w:webHidden/>
          </w:rPr>
          <w:instrText xml:space="preserve"> PAGEREF _Toc529285584 \h </w:instrText>
        </w:r>
        <w:r w:rsidR="00F05127">
          <w:rPr>
            <w:noProof/>
            <w:webHidden/>
          </w:rPr>
        </w:r>
        <w:r w:rsidR="00F05127">
          <w:rPr>
            <w:noProof/>
            <w:webHidden/>
          </w:rPr>
          <w:fldChar w:fldCharType="separate"/>
        </w:r>
        <w:r w:rsidR="00F05127">
          <w:rPr>
            <w:noProof/>
            <w:webHidden/>
          </w:rPr>
          <w:t>140</w:t>
        </w:r>
        <w:r w:rsidR="00F05127">
          <w:rPr>
            <w:noProof/>
            <w:webHidden/>
          </w:rPr>
          <w:fldChar w:fldCharType="end"/>
        </w:r>
      </w:hyperlink>
    </w:p>
    <w:p w:rsidR="00F05127" w:rsidRDefault="00BF5281">
      <w:pPr>
        <w:pStyle w:val="TOC2"/>
        <w:rPr>
          <w:rFonts w:asciiTheme="minorHAnsi" w:eastAsiaTheme="minorEastAsia" w:hAnsiTheme="minorHAnsi" w:cstheme="minorBidi"/>
          <w:noProof/>
          <w:lang w:val="en-US"/>
        </w:rPr>
      </w:pPr>
      <w:hyperlink w:anchor="_Toc529285585" w:history="1">
        <w:r w:rsidR="00F05127" w:rsidRPr="006376C3">
          <w:rPr>
            <w:rStyle w:val="Hyperlink"/>
            <w:noProof/>
          </w:rPr>
          <w:t>3.6.</w:t>
        </w:r>
        <w:r w:rsidR="00F05127">
          <w:rPr>
            <w:rFonts w:asciiTheme="minorHAnsi" w:eastAsiaTheme="minorEastAsia" w:hAnsiTheme="minorHAnsi" w:cstheme="minorBidi"/>
            <w:noProof/>
            <w:lang w:val="en-US"/>
          </w:rPr>
          <w:tab/>
        </w:r>
        <w:r w:rsidR="00F05127" w:rsidRPr="006376C3">
          <w:rPr>
            <w:rStyle w:val="Hyperlink"/>
            <w:noProof/>
          </w:rPr>
          <w:t>Заключения</w:t>
        </w:r>
        <w:r w:rsidR="00F05127">
          <w:rPr>
            <w:noProof/>
            <w:webHidden/>
          </w:rPr>
          <w:tab/>
        </w:r>
        <w:r w:rsidR="00F05127">
          <w:rPr>
            <w:noProof/>
            <w:webHidden/>
          </w:rPr>
          <w:fldChar w:fldCharType="begin"/>
        </w:r>
        <w:r w:rsidR="00F05127">
          <w:rPr>
            <w:noProof/>
            <w:webHidden/>
          </w:rPr>
          <w:instrText xml:space="preserve"> PAGEREF _Toc529285585 \h </w:instrText>
        </w:r>
        <w:r w:rsidR="00F05127">
          <w:rPr>
            <w:noProof/>
            <w:webHidden/>
          </w:rPr>
        </w:r>
        <w:r w:rsidR="00F05127">
          <w:rPr>
            <w:noProof/>
            <w:webHidden/>
          </w:rPr>
          <w:fldChar w:fldCharType="separate"/>
        </w:r>
        <w:r w:rsidR="00F05127">
          <w:rPr>
            <w:noProof/>
            <w:webHidden/>
          </w:rPr>
          <w:t>146</w:t>
        </w:r>
        <w:r w:rsidR="00F05127">
          <w:rPr>
            <w:noProof/>
            <w:webHidden/>
          </w:rPr>
          <w:fldChar w:fldCharType="end"/>
        </w:r>
      </w:hyperlink>
    </w:p>
    <w:p w:rsidR="00F05127" w:rsidRDefault="00BF5281">
      <w:pPr>
        <w:pStyle w:val="TOC1"/>
        <w:rPr>
          <w:rFonts w:asciiTheme="minorHAnsi" w:eastAsiaTheme="minorEastAsia" w:hAnsiTheme="minorHAnsi" w:cstheme="minorBidi"/>
          <w:szCs w:val="22"/>
          <w:lang w:val="en-US"/>
        </w:rPr>
      </w:pPr>
      <w:hyperlink w:anchor="_Toc529285586" w:history="1">
        <w:r w:rsidR="00F05127" w:rsidRPr="006376C3">
          <w:rPr>
            <w:rStyle w:val="Hyperlink"/>
          </w:rPr>
          <w:t>Библиография</w:t>
        </w:r>
        <w:r w:rsidR="00F05127">
          <w:rPr>
            <w:webHidden/>
          </w:rPr>
          <w:tab/>
        </w:r>
        <w:r w:rsidR="00F05127">
          <w:rPr>
            <w:webHidden/>
          </w:rPr>
          <w:fldChar w:fldCharType="begin"/>
        </w:r>
        <w:r w:rsidR="00F05127">
          <w:rPr>
            <w:webHidden/>
          </w:rPr>
          <w:instrText xml:space="preserve"> PAGEREF _Toc529285586 \h </w:instrText>
        </w:r>
        <w:r w:rsidR="00F05127">
          <w:rPr>
            <w:webHidden/>
          </w:rPr>
        </w:r>
        <w:r w:rsidR="00F05127">
          <w:rPr>
            <w:webHidden/>
          </w:rPr>
          <w:fldChar w:fldCharType="separate"/>
        </w:r>
        <w:r w:rsidR="00F05127">
          <w:rPr>
            <w:webHidden/>
          </w:rPr>
          <w:t>148</w:t>
        </w:r>
        <w:r w:rsidR="00F05127">
          <w:rPr>
            <w:webHidden/>
          </w:rPr>
          <w:fldChar w:fldCharType="end"/>
        </w:r>
      </w:hyperlink>
    </w:p>
    <w:p w:rsidR="00F05127" w:rsidRDefault="00BF5281">
      <w:pPr>
        <w:pStyle w:val="TOC1"/>
        <w:rPr>
          <w:rFonts w:asciiTheme="minorHAnsi" w:eastAsiaTheme="minorEastAsia" w:hAnsiTheme="minorHAnsi" w:cstheme="minorBidi"/>
          <w:szCs w:val="22"/>
          <w:lang w:val="en-US"/>
        </w:rPr>
      </w:pPr>
      <w:hyperlink w:anchor="_Toc529285587" w:history="1">
        <w:r w:rsidR="00F05127" w:rsidRPr="006376C3">
          <w:rPr>
            <w:rStyle w:val="Hyperlink"/>
          </w:rPr>
          <w:t>Приложение 1. Потенциално влияние на изменението на климата върху сектор „Градска среда“ в България</w:t>
        </w:r>
        <w:r w:rsidR="00F05127">
          <w:rPr>
            <w:webHidden/>
          </w:rPr>
          <w:tab/>
        </w:r>
        <w:r w:rsidR="00F05127">
          <w:rPr>
            <w:webHidden/>
          </w:rPr>
          <w:fldChar w:fldCharType="begin"/>
        </w:r>
        <w:r w:rsidR="00F05127">
          <w:rPr>
            <w:webHidden/>
          </w:rPr>
          <w:instrText xml:space="preserve"> PAGEREF _Toc529285587 \h </w:instrText>
        </w:r>
        <w:r w:rsidR="00F05127">
          <w:rPr>
            <w:webHidden/>
          </w:rPr>
        </w:r>
        <w:r w:rsidR="00F05127">
          <w:rPr>
            <w:webHidden/>
          </w:rPr>
          <w:fldChar w:fldCharType="separate"/>
        </w:r>
        <w:r w:rsidR="00F05127">
          <w:rPr>
            <w:webHidden/>
          </w:rPr>
          <w:t>157</w:t>
        </w:r>
        <w:r w:rsidR="00F05127">
          <w:rPr>
            <w:webHidden/>
          </w:rPr>
          <w:fldChar w:fldCharType="end"/>
        </w:r>
      </w:hyperlink>
    </w:p>
    <w:p w:rsidR="00F05127" w:rsidRDefault="00BF5281">
      <w:pPr>
        <w:pStyle w:val="TOC1"/>
        <w:rPr>
          <w:rFonts w:asciiTheme="minorHAnsi" w:eastAsiaTheme="minorEastAsia" w:hAnsiTheme="minorHAnsi" w:cstheme="minorBidi"/>
          <w:szCs w:val="22"/>
          <w:lang w:val="en-US"/>
        </w:rPr>
      </w:pPr>
      <w:hyperlink w:anchor="_Toc529285588" w:history="1">
        <w:r w:rsidR="00F05127" w:rsidRPr="006376C3">
          <w:rPr>
            <w:rStyle w:val="Hyperlink"/>
          </w:rPr>
          <w:t>Приложение 2. Подробно представяне на опциите за адаптация към изменението на климата</w:t>
        </w:r>
        <w:r w:rsidR="00F05127">
          <w:rPr>
            <w:webHidden/>
          </w:rPr>
          <w:tab/>
        </w:r>
        <w:r w:rsidR="00F05127">
          <w:rPr>
            <w:webHidden/>
          </w:rPr>
          <w:fldChar w:fldCharType="begin"/>
        </w:r>
        <w:r w:rsidR="00F05127">
          <w:rPr>
            <w:webHidden/>
          </w:rPr>
          <w:instrText xml:space="preserve"> PAGEREF _Toc529285588 \h </w:instrText>
        </w:r>
        <w:r w:rsidR="00F05127">
          <w:rPr>
            <w:webHidden/>
          </w:rPr>
        </w:r>
        <w:r w:rsidR="00F05127">
          <w:rPr>
            <w:webHidden/>
          </w:rPr>
          <w:fldChar w:fldCharType="separate"/>
        </w:r>
        <w:r w:rsidR="00F05127">
          <w:rPr>
            <w:webHidden/>
          </w:rPr>
          <w:t>160</w:t>
        </w:r>
        <w:r w:rsidR="00F05127">
          <w:rPr>
            <w:webHidden/>
          </w:rPr>
          <w:fldChar w:fldCharType="end"/>
        </w:r>
      </w:hyperlink>
    </w:p>
    <w:p w:rsidR="00F05127" w:rsidRDefault="00BF5281">
      <w:pPr>
        <w:pStyle w:val="TOC1"/>
        <w:rPr>
          <w:rFonts w:asciiTheme="minorHAnsi" w:eastAsiaTheme="minorEastAsia" w:hAnsiTheme="minorHAnsi" w:cstheme="minorBidi"/>
          <w:szCs w:val="22"/>
          <w:lang w:val="en-US"/>
        </w:rPr>
      </w:pPr>
      <w:hyperlink w:anchor="_Toc529285589" w:history="1">
        <w:r w:rsidR="00F05127" w:rsidRPr="006376C3">
          <w:rPr>
            <w:rStyle w:val="Hyperlink"/>
          </w:rPr>
          <w:t>Приложение 3. Анализ на разходи и ползи</w:t>
        </w:r>
        <w:r w:rsidR="00F05127">
          <w:rPr>
            <w:webHidden/>
          </w:rPr>
          <w:tab/>
        </w:r>
        <w:r w:rsidR="00F05127">
          <w:rPr>
            <w:webHidden/>
          </w:rPr>
          <w:fldChar w:fldCharType="begin"/>
        </w:r>
        <w:r w:rsidR="00F05127">
          <w:rPr>
            <w:webHidden/>
          </w:rPr>
          <w:instrText xml:space="preserve"> PAGEREF _Toc529285589 \h </w:instrText>
        </w:r>
        <w:r w:rsidR="00F05127">
          <w:rPr>
            <w:webHidden/>
          </w:rPr>
        </w:r>
        <w:r w:rsidR="00F05127">
          <w:rPr>
            <w:webHidden/>
          </w:rPr>
          <w:fldChar w:fldCharType="separate"/>
        </w:r>
        <w:r w:rsidR="00F05127">
          <w:rPr>
            <w:webHidden/>
          </w:rPr>
          <w:t>181</w:t>
        </w:r>
        <w:r w:rsidR="00F05127">
          <w:rPr>
            <w:webHidden/>
          </w:rPr>
          <w:fldChar w:fldCharType="end"/>
        </w:r>
      </w:hyperlink>
    </w:p>
    <w:p w:rsidR="00F05127" w:rsidRDefault="00BF5281">
      <w:pPr>
        <w:pStyle w:val="TOC2"/>
        <w:rPr>
          <w:rFonts w:asciiTheme="minorHAnsi" w:eastAsiaTheme="minorEastAsia" w:hAnsiTheme="minorHAnsi" w:cstheme="minorBidi"/>
          <w:noProof/>
          <w:lang w:val="en-US"/>
        </w:rPr>
      </w:pPr>
      <w:hyperlink w:anchor="_Toc529285590" w:history="1">
        <w:r w:rsidR="00F05127" w:rsidRPr="006376C3">
          <w:rPr>
            <w:rStyle w:val="Hyperlink"/>
            <w:noProof/>
          </w:rPr>
          <w:t xml:space="preserve">1. </w:t>
        </w:r>
        <w:r w:rsidR="00F05127" w:rsidRPr="006376C3">
          <w:rPr>
            <w:rStyle w:val="Hyperlink"/>
            <w:bCs/>
            <w:noProof/>
          </w:rPr>
          <w:t>Общо описание</w:t>
        </w:r>
        <w:r w:rsidR="00F05127">
          <w:rPr>
            <w:noProof/>
            <w:webHidden/>
          </w:rPr>
          <w:tab/>
        </w:r>
        <w:r w:rsidR="00F05127">
          <w:rPr>
            <w:noProof/>
            <w:webHidden/>
          </w:rPr>
          <w:fldChar w:fldCharType="begin"/>
        </w:r>
        <w:r w:rsidR="00F05127">
          <w:rPr>
            <w:noProof/>
            <w:webHidden/>
          </w:rPr>
          <w:instrText xml:space="preserve"> PAGEREF _Toc529285590 \h </w:instrText>
        </w:r>
        <w:r w:rsidR="00F05127">
          <w:rPr>
            <w:noProof/>
            <w:webHidden/>
          </w:rPr>
        </w:r>
        <w:r w:rsidR="00F05127">
          <w:rPr>
            <w:noProof/>
            <w:webHidden/>
          </w:rPr>
          <w:fldChar w:fldCharType="separate"/>
        </w:r>
        <w:r w:rsidR="00F05127">
          <w:rPr>
            <w:noProof/>
            <w:webHidden/>
          </w:rPr>
          <w:t>181</w:t>
        </w:r>
        <w:r w:rsidR="00F05127">
          <w:rPr>
            <w:noProof/>
            <w:webHidden/>
          </w:rPr>
          <w:fldChar w:fldCharType="end"/>
        </w:r>
      </w:hyperlink>
    </w:p>
    <w:p w:rsidR="00F05127" w:rsidRDefault="00BF5281">
      <w:pPr>
        <w:pStyle w:val="TOC3"/>
        <w:rPr>
          <w:rFonts w:asciiTheme="minorHAnsi" w:eastAsiaTheme="minorEastAsia" w:hAnsiTheme="minorHAnsi" w:cstheme="minorBidi"/>
          <w:noProof/>
          <w:lang w:val="en-US"/>
        </w:rPr>
      </w:pPr>
      <w:hyperlink w:anchor="_Toc529285591" w:history="1">
        <w:r w:rsidR="00F05127" w:rsidRPr="006376C3">
          <w:rPr>
            <w:rStyle w:val="Hyperlink"/>
            <w:noProof/>
          </w:rPr>
          <w:t>1.1.</w:t>
        </w:r>
        <w:r w:rsidR="00F05127">
          <w:rPr>
            <w:rFonts w:asciiTheme="minorHAnsi" w:eastAsiaTheme="minorEastAsia" w:hAnsiTheme="minorHAnsi" w:cstheme="minorBidi"/>
            <w:noProof/>
            <w:lang w:val="en-US"/>
          </w:rPr>
          <w:tab/>
        </w:r>
        <w:r w:rsidR="00F05127" w:rsidRPr="006376C3">
          <w:rPr>
            <w:rStyle w:val="Hyperlink"/>
            <w:noProof/>
          </w:rPr>
          <w:t>Описание на методологията</w:t>
        </w:r>
        <w:r w:rsidR="00F05127">
          <w:rPr>
            <w:noProof/>
            <w:webHidden/>
          </w:rPr>
          <w:tab/>
        </w:r>
        <w:r w:rsidR="00F05127">
          <w:rPr>
            <w:noProof/>
            <w:webHidden/>
          </w:rPr>
          <w:fldChar w:fldCharType="begin"/>
        </w:r>
        <w:r w:rsidR="00F05127">
          <w:rPr>
            <w:noProof/>
            <w:webHidden/>
          </w:rPr>
          <w:instrText xml:space="preserve"> PAGEREF _Toc529285591 \h </w:instrText>
        </w:r>
        <w:r w:rsidR="00F05127">
          <w:rPr>
            <w:noProof/>
            <w:webHidden/>
          </w:rPr>
        </w:r>
        <w:r w:rsidR="00F05127">
          <w:rPr>
            <w:noProof/>
            <w:webHidden/>
          </w:rPr>
          <w:fldChar w:fldCharType="separate"/>
        </w:r>
        <w:r w:rsidR="00F05127">
          <w:rPr>
            <w:noProof/>
            <w:webHidden/>
          </w:rPr>
          <w:t>181</w:t>
        </w:r>
        <w:r w:rsidR="00F05127">
          <w:rPr>
            <w:noProof/>
            <w:webHidden/>
          </w:rPr>
          <w:fldChar w:fldCharType="end"/>
        </w:r>
      </w:hyperlink>
    </w:p>
    <w:p w:rsidR="00F05127" w:rsidRDefault="00BF5281">
      <w:pPr>
        <w:pStyle w:val="TOC3"/>
        <w:rPr>
          <w:rFonts w:asciiTheme="minorHAnsi" w:eastAsiaTheme="minorEastAsia" w:hAnsiTheme="minorHAnsi" w:cstheme="minorBidi"/>
          <w:noProof/>
          <w:lang w:val="en-US"/>
        </w:rPr>
      </w:pPr>
      <w:hyperlink w:anchor="_Toc529285592" w:history="1">
        <w:r w:rsidR="00F05127" w:rsidRPr="006376C3">
          <w:rPr>
            <w:rStyle w:val="Hyperlink"/>
            <w:noProof/>
          </w:rPr>
          <w:t>1.2.</w:t>
        </w:r>
        <w:r w:rsidR="00F05127">
          <w:rPr>
            <w:rFonts w:asciiTheme="minorHAnsi" w:eastAsiaTheme="minorEastAsia" w:hAnsiTheme="minorHAnsi" w:cstheme="minorBidi"/>
            <w:noProof/>
            <w:lang w:val="en-US"/>
          </w:rPr>
          <w:tab/>
        </w:r>
        <w:r w:rsidR="00F05127" w:rsidRPr="006376C3">
          <w:rPr>
            <w:rStyle w:val="Hyperlink"/>
            <w:noProof/>
          </w:rPr>
          <w:t>Процедури за събиране на данни</w:t>
        </w:r>
        <w:r w:rsidR="00F05127">
          <w:rPr>
            <w:noProof/>
            <w:webHidden/>
          </w:rPr>
          <w:tab/>
        </w:r>
        <w:r w:rsidR="00F05127">
          <w:rPr>
            <w:noProof/>
            <w:webHidden/>
          </w:rPr>
          <w:fldChar w:fldCharType="begin"/>
        </w:r>
        <w:r w:rsidR="00F05127">
          <w:rPr>
            <w:noProof/>
            <w:webHidden/>
          </w:rPr>
          <w:instrText xml:space="preserve"> PAGEREF _Toc529285592 \h </w:instrText>
        </w:r>
        <w:r w:rsidR="00F05127">
          <w:rPr>
            <w:noProof/>
            <w:webHidden/>
          </w:rPr>
        </w:r>
        <w:r w:rsidR="00F05127">
          <w:rPr>
            <w:noProof/>
            <w:webHidden/>
          </w:rPr>
          <w:fldChar w:fldCharType="separate"/>
        </w:r>
        <w:r w:rsidR="00F05127">
          <w:rPr>
            <w:noProof/>
            <w:webHidden/>
          </w:rPr>
          <w:t>182</w:t>
        </w:r>
        <w:r w:rsidR="00F05127">
          <w:rPr>
            <w:noProof/>
            <w:webHidden/>
          </w:rPr>
          <w:fldChar w:fldCharType="end"/>
        </w:r>
      </w:hyperlink>
    </w:p>
    <w:p w:rsidR="00F05127" w:rsidRDefault="00BF5281">
      <w:pPr>
        <w:pStyle w:val="TOC3"/>
        <w:rPr>
          <w:rFonts w:asciiTheme="minorHAnsi" w:eastAsiaTheme="minorEastAsia" w:hAnsiTheme="minorHAnsi" w:cstheme="minorBidi"/>
          <w:noProof/>
          <w:lang w:val="en-US"/>
        </w:rPr>
      </w:pPr>
      <w:hyperlink w:anchor="_Toc529285593" w:history="1">
        <w:r w:rsidR="00F05127" w:rsidRPr="006376C3">
          <w:rPr>
            <w:rStyle w:val="Hyperlink"/>
            <w:noProof/>
          </w:rPr>
          <w:t>1.3.</w:t>
        </w:r>
        <w:r w:rsidR="00F05127">
          <w:rPr>
            <w:rFonts w:asciiTheme="minorHAnsi" w:eastAsiaTheme="minorEastAsia" w:hAnsiTheme="minorHAnsi" w:cstheme="minorBidi"/>
            <w:noProof/>
            <w:lang w:val="en-US"/>
          </w:rPr>
          <w:tab/>
        </w:r>
        <w:r w:rsidR="00F05127" w:rsidRPr="006376C3">
          <w:rPr>
            <w:rStyle w:val="Hyperlink"/>
            <w:noProof/>
          </w:rPr>
          <w:t>Спецификации на модела - допускания и ограничения</w:t>
        </w:r>
        <w:r w:rsidR="00F05127">
          <w:rPr>
            <w:noProof/>
            <w:webHidden/>
          </w:rPr>
          <w:tab/>
        </w:r>
        <w:r w:rsidR="00F05127">
          <w:rPr>
            <w:noProof/>
            <w:webHidden/>
          </w:rPr>
          <w:fldChar w:fldCharType="begin"/>
        </w:r>
        <w:r w:rsidR="00F05127">
          <w:rPr>
            <w:noProof/>
            <w:webHidden/>
          </w:rPr>
          <w:instrText xml:space="preserve"> PAGEREF _Toc529285593 \h </w:instrText>
        </w:r>
        <w:r w:rsidR="00F05127">
          <w:rPr>
            <w:noProof/>
            <w:webHidden/>
          </w:rPr>
        </w:r>
        <w:r w:rsidR="00F05127">
          <w:rPr>
            <w:noProof/>
            <w:webHidden/>
          </w:rPr>
          <w:fldChar w:fldCharType="separate"/>
        </w:r>
        <w:r w:rsidR="00F05127">
          <w:rPr>
            <w:noProof/>
            <w:webHidden/>
          </w:rPr>
          <w:t>182</w:t>
        </w:r>
        <w:r w:rsidR="00F05127">
          <w:rPr>
            <w:noProof/>
            <w:webHidden/>
          </w:rPr>
          <w:fldChar w:fldCharType="end"/>
        </w:r>
      </w:hyperlink>
    </w:p>
    <w:p w:rsidR="00F05127" w:rsidRDefault="00BF5281">
      <w:pPr>
        <w:pStyle w:val="TOC2"/>
        <w:rPr>
          <w:rFonts w:asciiTheme="minorHAnsi" w:eastAsiaTheme="minorEastAsia" w:hAnsiTheme="minorHAnsi" w:cstheme="minorBidi"/>
          <w:noProof/>
          <w:lang w:val="en-US"/>
        </w:rPr>
      </w:pPr>
      <w:hyperlink w:anchor="_Toc529285594" w:history="1">
        <w:r w:rsidR="00F05127" w:rsidRPr="006376C3">
          <w:rPr>
            <w:rStyle w:val="Hyperlink"/>
            <w:bCs/>
            <w:noProof/>
          </w:rPr>
          <w:t>2.</w:t>
        </w:r>
        <w:r w:rsidR="00F05127">
          <w:rPr>
            <w:rFonts w:asciiTheme="minorHAnsi" w:eastAsiaTheme="minorEastAsia" w:hAnsiTheme="minorHAnsi" w:cstheme="minorBidi"/>
            <w:noProof/>
            <w:lang w:val="en-US"/>
          </w:rPr>
          <w:tab/>
        </w:r>
        <w:r w:rsidR="00F05127" w:rsidRPr="006376C3">
          <w:rPr>
            <w:rStyle w:val="Hyperlink"/>
            <w:noProof/>
          </w:rPr>
          <w:t>Резултати от регресионния анализ</w:t>
        </w:r>
        <w:r w:rsidR="00F05127">
          <w:rPr>
            <w:noProof/>
            <w:webHidden/>
          </w:rPr>
          <w:tab/>
        </w:r>
        <w:r w:rsidR="00F05127">
          <w:rPr>
            <w:noProof/>
            <w:webHidden/>
          </w:rPr>
          <w:fldChar w:fldCharType="begin"/>
        </w:r>
        <w:r w:rsidR="00F05127">
          <w:rPr>
            <w:noProof/>
            <w:webHidden/>
          </w:rPr>
          <w:instrText xml:space="preserve"> PAGEREF _Toc529285594 \h </w:instrText>
        </w:r>
        <w:r w:rsidR="00F05127">
          <w:rPr>
            <w:noProof/>
            <w:webHidden/>
          </w:rPr>
        </w:r>
        <w:r w:rsidR="00F05127">
          <w:rPr>
            <w:noProof/>
            <w:webHidden/>
          </w:rPr>
          <w:fldChar w:fldCharType="separate"/>
        </w:r>
        <w:r w:rsidR="00F05127">
          <w:rPr>
            <w:noProof/>
            <w:webHidden/>
          </w:rPr>
          <w:t>183</w:t>
        </w:r>
        <w:r w:rsidR="00F05127">
          <w:rPr>
            <w:noProof/>
            <w:webHidden/>
          </w:rPr>
          <w:fldChar w:fldCharType="end"/>
        </w:r>
      </w:hyperlink>
    </w:p>
    <w:p w:rsidR="00F05127" w:rsidRDefault="00BF5281">
      <w:pPr>
        <w:pStyle w:val="TOC2"/>
        <w:rPr>
          <w:rFonts w:asciiTheme="minorHAnsi" w:eastAsiaTheme="minorEastAsia" w:hAnsiTheme="minorHAnsi" w:cstheme="minorBidi"/>
          <w:noProof/>
          <w:lang w:val="en-US"/>
        </w:rPr>
      </w:pPr>
      <w:hyperlink w:anchor="_Toc529285595" w:history="1">
        <w:r w:rsidR="00F05127" w:rsidRPr="006376C3">
          <w:rPr>
            <w:rStyle w:val="Hyperlink"/>
            <w:noProof/>
          </w:rPr>
          <w:t>3.</w:t>
        </w:r>
        <w:r w:rsidR="00F05127">
          <w:rPr>
            <w:rFonts w:asciiTheme="minorHAnsi" w:eastAsiaTheme="minorEastAsia" w:hAnsiTheme="minorHAnsi" w:cstheme="minorBidi"/>
            <w:noProof/>
            <w:lang w:val="en-US"/>
          </w:rPr>
          <w:tab/>
        </w:r>
        <w:r w:rsidR="00F05127" w:rsidRPr="006376C3">
          <w:rPr>
            <w:rStyle w:val="Hyperlink"/>
            <w:noProof/>
          </w:rPr>
          <w:t>Резултати от анализа на разходите и ползите</w:t>
        </w:r>
        <w:r w:rsidR="00F05127">
          <w:rPr>
            <w:noProof/>
            <w:webHidden/>
          </w:rPr>
          <w:tab/>
        </w:r>
        <w:r w:rsidR="00F05127">
          <w:rPr>
            <w:noProof/>
            <w:webHidden/>
          </w:rPr>
          <w:fldChar w:fldCharType="begin"/>
        </w:r>
        <w:r w:rsidR="00F05127">
          <w:rPr>
            <w:noProof/>
            <w:webHidden/>
          </w:rPr>
          <w:instrText xml:space="preserve"> PAGEREF _Toc529285595 \h </w:instrText>
        </w:r>
        <w:r w:rsidR="00F05127">
          <w:rPr>
            <w:noProof/>
            <w:webHidden/>
          </w:rPr>
        </w:r>
        <w:r w:rsidR="00F05127">
          <w:rPr>
            <w:noProof/>
            <w:webHidden/>
          </w:rPr>
          <w:fldChar w:fldCharType="separate"/>
        </w:r>
        <w:r w:rsidR="00F05127">
          <w:rPr>
            <w:noProof/>
            <w:webHidden/>
          </w:rPr>
          <w:t>184</w:t>
        </w:r>
        <w:r w:rsidR="00F05127">
          <w:rPr>
            <w:noProof/>
            <w:webHidden/>
          </w:rPr>
          <w:fldChar w:fldCharType="end"/>
        </w:r>
      </w:hyperlink>
    </w:p>
    <w:p w:rsidR="00F05127" w:rsidRDefault="00BF5281">
      <w:pPr>
        <w:pStyle w:val="TOC3"/>
        <w:rPr>
          <w:rFonts w:asciiTheme="minorHAnsi" w:eastAsiaTheme="minorEastAsia" w:hAnsiTheme="minorHAnsi" w:cstheme="minorBidi"/>
          <w:noProof/>
          <w:lang w:val="en-US"/>
        </w:rPr>
      </w:pPr>
      <w:hyperlink w:anchor="_Toc529285596" w:history="1">
        <w:r w:rsidR="00F05127" w:rsidRPr="006376C3">
          <w:rPr>
            <w:rStyle w:val="Hyperlink"/>
            <w:noProof/>
          </w:rPr>
          <w:t>3.1. Приоритизиране на мерките за адаптиране съгласно анализа на разходи и ползи</w:t>
        </w:r>
        <w:r w:rsidR="00F05127">
          <w:rPr>
            <w:noProof/>
            <w:webHidden/>
          </w:rPr>
          <w:tab/>
        </w:r>
        <w:r w:rsidR="00F05127">
          <w:rPr>
            <w:noProof/>
            <w:webHidden/>
          </w:rPr>
          <w:fldChar w:fldCharType="begin"/>
        </w:r>
        <w:r w:rsidR="00F05127">
          <w:rPr>
            <w:noProof/>
            <w:webHidden/>
          </w:rPr>
          <w:instrText xml:space="preserve"> PAGEREF _Toc529285596 \h </w:instrText>
        </w:r>
        <w:r w:rsidR="00F05127">
          <w:rPr>
            <w:noProof/>
            <w:webHidden/>
          </w:rPr>
        </w:r>
        <w:r w:rsidR="00F05127">
          <w:rPr>
            <w:noProof/>
            <w:webHidden/>
          </w:rPr>
          <w:fldChar w:fldCharType="separate"/>
        </w:r>
        <w:r w:rsidR="00F05127">
          <w:rPr>
            <w:noProof/>
            <w:webHidden/>
          </w:rPr>
          <w:t>185</w:t>
        </w:r>
        <w:r w:rsidR="00F05127">
          <w:rPr>
            <w:noProof/>
            <w:webHidden/>
          </w:rPr>
          <w:fldChar w:fldCharType="end"/>
        </w:r>
      </w:hyperlink>
    </w:p>
    <w:p w:rsidR="00F05127" w:rsidRDefault="00BF5281">
      <w:pPr>
        <w:pStyle w:val="TOC2"/>
        <w:rPr>
          <w:rFonts w:asciiTheme="minorHAnsi" w:eastAsiaTheme="minorEastAsia" w:hAnsiTheme="minorHAnsi" w:cstheme="minorBidi"/>
          <w:noProof/>
          <w:lang w:val="en-US"/>
        </w:rPr>
      </w:pPr>
      <w:hyperlink w:anchor="_Toc529285597" w:history="1">
        <w:r w:rsidR="00F05127" w:rsidRPr="006376C3">
          <w:rPr>
            <w:rStyle w:val="Hyperlink"/>
            <w:noProof/>
          </w:rPr>
          <w:t>4. Заключения</w:t>
        </w:r>
        <w:r w:rsidR="00F05127">
          <w:rPr>
            <w:noProof/>
            <w:webHidden/>
          </w:rPr>
          <w:tab/>
        </w:r>
        <w:r w:rsidR="00F05127">
          <w:rPr>
            <w:noProof/>
            <w:webHidden/>
          </w:rPr>
          <w:fldChar w:fldCharType="begin"/>
        </w:r>
        <w:r w:rsidR="00F05127">
          <w:rPr>
            <w:noProof/>
            <w:webHidden/>
          </w:rPr>
          <w:instrText xml:space="preserve"> PAGEREF _Toc529285597 \h </w:instrText>
        </w:r>
        <w:r w:rsidR="00F05127">
          <w:rPr>
            <w:noProof/>
            <w:webHidden/>
          </w:rPr>
        </w:r>
        <w:r w:rsidR="00F05127">
          <w:rPr>
            <w:noProof/>
            <w:webHidden/>
          </w:rPr>
          <w:fldChar w:fldCharType="separate"/>
        </w:r>
        <w:r w:rsidR="00F05127">
          <w:rPr>
            <w:noProof/>
            <w:webHidden/>
          </w:rPr>
          <w:t>186</w:t>
        </w:r>
        <w:r w:rsidR="00F05127">
          <w:rPr>
            <w:noProof/>
            <w:webHidden/>
          </w:rPr>
          <w:fldChar w:fldCharType="end"/>
        </w:r>
      </w:hyperlink>
    </w:p>
    <w:p w:rsidR="00F05127" w:rsidRDefault="00BF5281">
      <w:pPr>
        <w:pStyle w:val="TOC1"/>
        <w:rPr>
          <w:rFonts w:asciiTheme="minorHAnsi" w:eastAsiaTheme="minorEastAsia" w:hAnsiTheme="minorHAnsi" w:cstheme="minorBidi"/>
          <w:szCs w:val="22"/>
          <w:lang w:val="en-US"/>
        </w:rPr>
      </w:pPr>
      <w:hyperlink w:anchor="_Toc529285598" w:history="1">
        <w:r w:rsidR="00F05127" w:rsidRPr="006376C3">
          <w:rPr>
            <w:rStyle w:val="Hyperlink"/>
          </w:rPr>
          <w:t>Приложение 4. Местоположение на спешните служби</w:t>
        </w:r>
        <w:r w:rsidR="00F05127">
          <w:rPr>
            <w:webHidden/>
          </w:rPr>
          <w:tab/>
        </w:r>
        <w:r w:rsidR="00F05127">
          <w:rPr>
            <w:webHidden/>
          </w:rPr>
          <w:fldChar w:fldCharType="begin"/>
        </w:r>
        <w:r w:rsidR="00F05127">
          <w:rPr>
            <w:webHidden/>
          </w:rPr>
          <w:instrText xml:space="preserve"> PAGEREF _Toc529285598 \h </w:instrText>
        </w:r>
        <w:r w:rsidR="00F05127">
          <w:rPr>
            <w:webHidden/>
          </w:rPr>
        </w:r>
        <w:r w:rsidR="00F05127">
          <w:rPr>
            <w:webHidden/>
          </w:rPr>
          <w:fldChar w:fldCharType="separate"/>
        </w:r>
        <w:r w:rsidR="00F05127">
          <w:rPr>
            <w:webHidden/>
          </w:rPr>
          <w:t>187</w:t>
        </w:r>
        <w:r w:rsidR="00F05127">
          <w:rPr>
            <w:webHidden/>
          </w:rPr>
          <w:fldChar w:fldCharType="end"/>
        </w:r>
      </w:hyperlink>
    </w:p>
    <w:p w:rsidR="00F05127" w:rsidRDefault="00BF5281">
      <w:pPr>
        <w:pStyle w:val="TOC1"/>
        <w:rPr>
          <w:rFonts w:asciiTheme="minorHAnsi" w:eastAsiaTheme="minorEastAsia" w:hAnsiTheme="minorHAnsi" w:cstheme="minorBidi"/>
          <w:szCs w:val="22"/>
          <w:lang w:val="en-US"/>
        </w:rPr>
      </w:pPr>
      <w:hyperlink w:anchor="_Toc529285599" w:history="1">
        <w:r w:rsidR="00F05127" w:rsidRPr="006376C3">
          <w:rPr>
            <w:rStyle w:val="Hyperlink"/>
          </w:rPr>
          <w:t>Приложение 5. Общини с населени места с недостиг на вода</w:t>
        </w:r>
        <w:r w:rsidR="00F05127">
          <w:rPr>
            <w:webHidden/>
          </w:rPr>
          <w:tab/>
        </w:r>
        <w:r w:rsidR="00F05127">
          <w:rPr>
            <w:webHidden/>
          </w:rPr>
          <w:fldChar w:fldCharType="begin"/>
        </w:r>
        <w:r w:rsidR="00F05127">
          <w:rPr>
            <w:webHidden/>
          </w:rPr>
          <w:instrText xml:space="preserve"> PAGEREF _Toc529285599 \h </w:instrText>
        </w:r>
        <w:r w:rsidR="00F05127">
          <w:rPr>
            <w:webHidden/>
          </w:rPr>
        </w:r>
        <w:r w:rsidR="00F05127">
          <w:rPr>
            <w:webHidden/>
          </w:rPr>
          <w:fldChar w:fldCharType="separate"/>
        </w:r>
        <w:r w:rsidR="00F05127">
          <w:rPr>
            <w:webHidden/>
          </w:rPr>
          <w:t>200</w:t>
        </w:r>
        <w:r w:rsidR="00F05127">
          <w:rPr>
            <w:webHidden/>
          </w:rPr>
          <w:fldChar w:fldCharType="end"/>
        </w:r>
      </w:hyperlink>
    </w:p>
    <w:p w:rsidR="00F05127" w:rsidRDefault="00BF5281">
      <w:pPr>
        <w:pStyle w:val="TOC1"/>
        <w:rPr>
          <w:rFonts w:asciiTheme="minorHAnsi" w:eastAsiaTheme="minorEastAsia" w:hAnsiTheme="minorHAnsi" w:cstheme="minorBidi"/>
          <w:szCs w:val="22"/>
          <w:lang w:val="en-US"/>
        </w:rPr>
      </w:pPr>
      <w:hyperlink w:anchor="_Toc529285600" w:history="1">
        <w:r w:rsidR="00F05127" w:rsidRPr="006376C3">
          <w:rPr>
            <w:rStyle w:val="Hyperlink"/>
          </w:rPr>
          <w:t>Приложение 6. Строителен сектор</w:t>
        </w:r>
        <w:r w:rsidR="00F05127">
          <w:rPr>
            <w:webHidden/>
          </w:rPr>
          <w:tab/>
        </w:r>
        <w:r w:rsidR="00F05127">
          <w:rPr>
            <w:webHidden/>
          </w:rPr>
          <w:fldChar w:fldCharType="begin"/>
        </w:r>
        <w:r w:rsidR="00F05127">
          <w:rPr>
            <w:webHidden/>
          </w:rPr>
          <w:instrText xml:space="preserve"> PAGEREF _Toc529285600 \h </w:instrText>
        </w:r>
        <w:r w:rsidR="00F05127">
          <w:rPr>
            <w:webHidden/>
          </w:rPr>
        </w:r>
        <w:r w:rsidR="00F05127">
          <w:rPr>
            <w:webHidden/>
          </w:rPr>
          <w:fldChar w:fldCharType="separate"/>
        </w:r>
        <w:r w:rsidR="00F05127">
          <w:rPr>
            <w:webHidden/>
          </w:rPr>
          <w:t>201</w:t>
        </w:r>
        <w:r w:rsidR="00F05127">
          <w:rPr>
            <w:webHidden/>
          </w:rPr>
          <w:fldChar w:fldCharType="end"/>
        </w:r>
      </w:hyperlink>
    </w:p>
    <w:p w:rsidR="00F05127" w:rsidRDefault="00BF5281">
      <w:pPr>
        <w:pStyle w:val="TOC1"/>
        <w:rPr>
          <w:rFonts w:asciiTheme="minorHAnsi" w:eastAsiaTheme="minorEastAsia" w:hAnsiTheme="minorHAnsi" w:cstheme="minorBidi"/>
          <w:szCs w:val="22"/>
          <w:lang w:val="en-US"/>
        </w:rPr>
      </w:pPr>
      <w:hyperlink w:anchor="_Toc529285601" w:history="1">
        <w:r w:rsidR="00F05127" w:rsidRPr="006376C3">
          <w:rPr>
            <w:rStyle w:val="Hyperlink"/>
          </w:rPr>
          <w:t>Приложение 7. Кризисни събития и загуби (2010–2015 г.)</w:t>
        </w:r>
        <w:r w:rsidR="00F05127">
          <w:rPr>
            <w:webHidden/>
          </w:rPr>
          <w:tab/>
        </w:r>
        <w:r w:rsidR="00F05127">
          <w:rPr>
            <w:webHidden/>
          </w:rPr>
          <w:fldChar w:fldCharType="begin"/>
        </w:r>
        <w:r w:rsidR="00F05127">
          <w:rPr>
            <w:webHidden/>
          </w:rPr>
          <w:instrText xml:space="preserve"> PAGEREF _Toc529285601 \h </w:instrText>
        </w:r>
        <w:r w:rsidR="00F05127">
          <w:rPr>
            <w:webHidden/>
          </w:rPr>
        </w:r>
        <w:r w:rsidR="00F05127">
          <w:rPr>
            <w:webHidden/>
          </w:rPr>
          <w:fldChar w:fldCharType="separate"/>
        </w:r>
        <w:r w:rsidR="00F05127">
          <w:rPr>
            <w:webHidden/>
          </w:rPr>
          <w:t>203</w:t>
        </w:r>
        <w:r w:rsidR="00F05127">
          <w:rPr>
            <w:webHidden/>
          </w:rPr>
          <w:fldChar w:fldCharType="end"/>
        </w:r>
      </w:hyperlink>
    </w:p>
    <w:p w:rsidR="00F05127" w:rsidRDefault="00BF5281">
      <w:pPr>
        <w:pStyle w:val="TOC2"/>
        <w:rPr>
          <w:rFonts w:asciiTheme="minorHAnsi" w:eastAsiaTheme="minorEastAsia" w:hAnsiTheme="minorHAnsi" w:cstheme="minorBidi"/>
          <w:noProof/>
          <w:lang w:val="en-US"/>
        </w:rPr>
      </w:pPr>
      <w:hyperlink w:anchor="_Toc529285602" w:history="1">
        <w:r w:rsidR="00F05127" w:rsidRPr="006376C3">
          <w:rPr>
            <w:rStyle w:val="Hyperlink"/>
            <w:noProof/>
          </w:rPr>
          <w:t>Наводнения</w:t>
        </w:r>
        <w:r w:rsidR="00F05127">
          <w:rPr>
            <w:noProof/>
            <w:webHidden/>
          </w:rPr>
          <w:tab/>
        </w:r>
        <w:r w:rsidR="00F05127">
          <w:rPr>
            <w:noProof/>
            <w:webHidden/>
          </w:rPr>
          <w:fldChar w:fldCharType="begin"/>
        </w:r>
        <w:r w:rsidR="00F05127">
          <w:rPr>
            <w:noProof/>
            <w:webHidden/>
          </w:rPr>
          <w:instrText xml:space="preserve"> PAGEREF _Toc529285602 \h </w:instrText>
        </w:r>
        <w:r w:rsidR="00F05127">
          <w:rPr>
            <w:noProof/>
            <w:webHidden/>
          </w:rPr>
        </w:r>
        <w:r w:rsidR="00F05127">
          <w:rPr>
            <w:noProof/>
            <w:webHidden/>
          </w:rPr>
          <w:fldChar w:fldCharType="separate"/>
        </w:r>
        <w:r w:rsidR="00F05127">
          <w:rPr>
            <w:noProof/>
            <w:webHidden/>
          </w:rPr>
          <w:t>204</w:t>
        </w:r>
        <w:r w:rsidR="00F05127">
          <w:rPr>
            <w:noProof/>
            <w:webHidden/>
          </w:rPr>
          <w:fldChar w:fldCharType="end"/>
        </w:r>
      </w:hyperlink>
    </w:p>
    <w:p w:rsidR="00F05127" w:rsidRDefault="00BF5281">
      <w:pPr>
        <w:pStyle w:val="TOC2"/>
        <w:rPr>
          <w:rFonts w:asciiTheme="minorHAnsi" w:eastAsiaTheme="minorEastAsia" w:hAnsiTheme="minorHAnsi" w:cstheme="minorBidi"/>
          <w:noProof/>
          <w:lang w:val="en-US"/>
        </w:rPr>
      </w:pPr>
      <w:hyperlink w:anchor="_Toc529285603" w:history="1">
        <w:r w:rsidR="00F05127" w:rsidRPr="006376C3">
          <w:rPr>
            <w:rStyle w:val="Hyperlink"/>
            <w:noProof/>
          </w:rPr>
          <w:t>Свлачища</w:t>
        </w:r>
        <w:r w:rsidR="00F05127">
          <w:rPr>
            <w:noProof/>
            <w:webHidden/>
          </w:rPr>
          <w:tab/>
        </w:r>
        <w:r w:rsidR="00F05127">
          <w:rPr>
            <w:noProof/>
            <w:webHidden/>
          </w:rPr>
          <w:fldChar w:fldCharType="begin"/>
        </w:r>
        <w:r w:rsidR="00F05127">
          <w:rPr>
            <w:noProof/>
            <w:webHidden/>
          </w:rPr>
          <w:instrText xml:space="preserve"> PAGEREF _Toc529285603 \h </w:instrText>
        </w:r>
        <w:r w:rsidR="00F05127">
          <w:rPr>
            <w:noProof/>
            <w:webHidden/>
          </w:rPr>
        </w:r>
        <w:r w:rsidR="00F05127">
          <w:rPr>
            <w:noProof/>
            <w:webHidden/>
          </w:rPr>
          <w:fldChar w:fldCharType="separate"/>
        </w:r>
        <w:r w:rsidR="00F05127">
          <w:rPr>
            <w:noProof/>
            <w:webHidden/>
          </w:rPr>
          <w:t>206</w:t>
        </w:r>
        <w:r w:rsidR="00F05127">
          <w:rPr>
            <w:noProof/>
            <w:webHidden/>
          </w:rPr>
          <w:fldChar w:fldCharType="end"/>
        </w:r>
      </w:hyperlink>
    </w:p>
    <w:p w:rsidR="00F05127" w:rsidRDefault="00BF5281">
      <w:pPr>
        <w:pStyle w:val="TOC2"/>
        <w:rPr>
          <w:rFonts w:asciiTheme="minorHAnsi" w:eastAsiaTheme="minorEastAsia" w:hAnsiTheme="minorHAnsi" w:cstheme="minorBidi"/>
          <w:noProof/>
          <w:lang w:val="en-US"/>
        </w:rPr>
      </w:pPr>
      <w:hyperlink w:anchor="_Toc529285604" w:history="1">
        <w:r w:rsidR="00F05127" w:rsidRPr="006376C3">
          <w:rPr>
            <w:rStyle w:val="Hyperlink"/>
            <w:noProof/>
          </w:rPr>
          <w:t>Земетресения</w:t>
        </w:r>
        <w:r w:rsidR="00F05127">
          <w:rPr>
            <w:noProof/>
            <w:webHidden/>
          </w:rPr>
          <w:tab/>
        </w:r>
        <w:r w:rsidR="00F05127">
          <w:rPr>
            <w:noProof/>
            <w:webHidden/>
          </w:rPr>
          <w:fldChar w:fldCharType="begin"/>
        </w:r>
        <w:r w:rsidR="00F05127">
          <w:rPr>
            <w:noProof/>
            <w:webHidden/>
          </w:rPr>
          <w:instrText xml:space="preserve"> PAGEREF _Toc529285604 \h </w:instrText>
        </w:r>
        <w:r w:rsidR="00F05127">
          <w:rPr>
            <w:noProof/>
            <w:webHidden/>
          </w:rPr>
        </w:r>
        <w:r w:rsidR="00F05127">
          <w:rPr>
            <w:noProof/>
            <w:webHidden/>
          </w:rPr>
          <w:fldChar w:fldCharType="separate"/>
        </w:r>
        <w:r w:rsidR="00F05127">
          <w:rPr>
            <w:noProof/>
            <w:webHidden/>
          </w:rPr>
          <w:t>209</w:t>
        </w:r>
        <w:r w:rsidR="00F05127">
          <w:rPr>
            <w:noProof/>
            <w:webHidden/>
          </w:rPr>
          <w:fldChar w:fldCharType="end"/>
        </w:r>
      </w:hyperlink>
    </w:p>
    <w:p w:rsidR="00F05127" w:rsidRDefault="00BF5281">
      <w:pPr>
        <w:pStyle w:val="TOC2"/>
        <w:rPr>
          <w:rFonts w:asciiTheme="minorHAnsi" w:eastAsiaTheme="minorEastAsia" w:hAnsiTheme="minorHAnsi" w:cstheme="minorBidi"/>
          <w:noProof/>
          <w:lang w:val="en-US"/>
        </w:rPr>
      </w:pPr>
      <w:hyperlink w:anchor="_Toc529285605" w:history="1">
        <w:r w:rsidR="00F05127" w:rsidRPr="006376C3">
          <w:rPr>
            <w:rStyle w:val="Hyperlink"/>
            <w:noProof/>
          </w:rPr>
          <w:t>Потенциален сеизмичен риск</w:t>
        </w:r>
        <w:r w:rsidR="00F05127">
          <w:rPr>
            <w:noProof/>
            <w:webHidden/>
          </w:rPr>
          <w:tab/>
        </w:r>
        <w:r w:rsidR="00F05127">
          <w:rPr>
            <w:noProof/>
            <w:webHidden/>
          </w:rPr>
          <w:fldChar w:fldCharType="begin"/>
        </w:r>
        <w:r w:rsidR="00F05127">
          <w:rPr>
            <w:noProof/>
            <w:webHidden/>
          </w:rPr>
          <w:instrText xml:space="preserve"> PAGEREF _Toc529285605 \h </w:instrText>
        </w:r>
        <w:r w:rsidR="00F05127">
          <w:rPr>
            <w:noProof/>
            <w:webHidden/>
          </w:rPr>
        </w:r>
        <w:r w:rsidR="00F05127">
          <w:rPr>
            <w:noProof/>
            <w:webHidden/>
          </w:rPr>
          <w:fldChar w:fldCharType="separate"/>
        </w:r>
        <w:r w:rsidR="00F05127">
          <w:rPr>
            <w:noProof/>
            <w:webHidden/>
          </w:rPr>
          <w:t>211</w:t>
        </w:r>
        <w:r w:rsidR="00F05127">
          <w:rPr>
            <w:noProof/>
            <w:webHidden/>
          </w:rPr>
          <w:fldChar w:fldCharType="end"/>
        </w:r>
      </w:hyperlink>
    </w:p>
    <w:p w:rsidR="00F05127" w:rsidRDefault="00BF5281">
      <w:pPr>
        <w:pStyle w:val="TOC2"/>
        <w:rPr>
          <w:rFonts w:asciiTheme="minorHAnsi" w:eastAsiaTheme="minorEastAsia" w:hAnsiTheme="minorHAnsi" w:cstheme="minorBidi"/>
          <w:noProof/>
          <w:lang w:val="en-US"/>
        </w:rPr>
      </w:pPr>
      <w:hyperlink w:anchor="_Toc529285606" w:history="1">
        <w:r w:rsidR="00F05127" w:rsidRPr="006376C3">
          <w:rPr>
            <w:rStyle w:val="Hyperlink"/>
            <w:noProof/>
          </w:rPr>
          <w:t>Пожари</w:t>
        </w:r>
        <w:r w:rsidR="00F05127">
          <w:rPr>
            <w:noProof/>
            <w:webHidden/>
          </w:rPr>
          <w:tab/>
        </w:r>
        <w:r w:rsidR="00F05127">
          <w:rPr>
            <w:noProof/>
            <w:webHidden/>
          </w:rPr>
          <w:fldChar w:fldCharType="begin"/>
        </w:r>
        <w:r w:rsidR="00F05127">
          <w:rPr>
            <w:noProof/>
            <w:webHidden/>
          </w:rPr>
          <w:instrText xml:space="preserve"> PAGEREF _Toc529285606 \h </w:instrText>
        </w:r>
        <w:r w:rsidR="00F05127">
          <w:rPr>
            <w:noProof/>
            <w:webHidden/>
          </w:rPr>
        </w:r>
        <w:r w:rsidR="00F05127">
          <w:rPr>
            <w:noProof/>
            <w:webHidden/>
          </w:rPr>
          <w:fldChar w:fldCharType="separate"/>
        </w:r>
        <w:r w:rsidR="00F05127">
          <w:rPr>
            <w:noProof/>
            <w:webHidden/>
          </w:rPr>
          <w:t>212</w:t>
        </w:r>
        <w:r w:rsidR="00F05127">
          <w:rPr>
            <w:noProof/>
            <w:webHidden/>
          </w:rPr>
          <w:fldChar w:fldCharType="end"/>
        </w:r>
      </w:hyperlink>
    </w:p>
    <w:p w:rsidR="00F05127" w:rsidRDefault="00BF5281">
      <w:pPr>
        <w:pStyle w:val="TOC1"/>
        <w:rPr>
          <w:rFonts w:asciiTheme="minorHAnsi" w:eastAsiaTheme="minorEastAsia" w:hAnsiTheme="minorHAnsi" w:cstheme="minorBidi"/>
          <w:szCs w:val="22"/>
          <w:lang w:val="en-US"/>
        </w:rPr>
      </w:pPr>
      <w:hyperlink w:anchor="_Toc529285607" w:history="1">
        <w:r w:rsidR="00F05127" w:rsidRPr="006376C3">
          <w:rPr>
            <w:rStyle w:val="Hyperlink"/>
          </w:rPr>
          <w:t>Приложение 8. Уязвимост на градската среда в зависимост от размера и местоположението на градовете</w:t>
        </w:r>
        <w:r w:rsidR="00F05127">
          <w:rPr>
            <w:webHidden/>
          </w:rPr>
          <w:tab/>
        </w:r>
        <w:r w:rsidR="00F05127">
          <w:rPr>
            <w:webHidden/>
          </w:rPr>
          <w:fldChar w:fldCharType="begin"/>
        </w:r>
        <w:r w:rsidR="00F05127">
          <w:rPr>
            <w:webHidden/>
          </w:rPr>
          <w:instrText xml:space="preserve"> PAGEREF _Toc529285607 \h </w:instrText>
        </w:r>
        <w:r w:rsidR="00F05127">
          <w:rPr>
            <w:webHidden/>
          </w:rPr>
        </w:r>
        <w:r w:rsidR="00F05127">
          <w:rPr>
            <w:webHidden/>
          </w:rPr>
          <w:fldChar w:fldCharType="separate"/>
        </w:r>
        <w:r w:rsidR="00F05127">
          <w:rPr>
            <w:webHidden/>
          </w:rPr>
          <w:t>214</w:t>
        </w:r>
        <w:r w:rsidR="00F05127">
          <w:rPr>
            <w:webHidden/>
          </w:rPr>
          <w:fldChar w:fldCharType="end"/>
        </w:r>
      </w:hyperlink>
    </w:p>
    <w:p w:rsidR="00F05127" w:rsidRDefault="00BF5281">
      <w:pPr>
        <w:pStyle w:val="TOC1"/>
        <w:rPr>
          <w:rFonts w:asciiTheme="minorHAnsi" w:eastAsiaTheme="minorEastAsia" w:hAnsiTheme="minorHAnsi" w:cstheme="minorBidi"/>
          <w:szCs w:val="22"/>
          <w:lang w:val="en-US"/>
        </w:rPr>
      </w:pPr>
      <w:hyperlink w:anchor="_Toc529285608" w:history="1">
        <w:r w:rsidR="00F05127" w:rsidRPr="006376C3">
          <w:rPr>
            <w:rStyle w:val="Hyperlink"/>
          </w:rPr>
          <w:t>Приложение 9. Австрийска стратегия за адаптация към изменението на климата</w:t>
        </w:r>
        <w:r w:rsidR="00F05127">
          <w:rPr>
            <w:webHidden/>
          </w:rPr>
          <w:tab/>
        </w:r>
        <w:r w:rsidR="00F05127">
          <w:rPr>
            <w:webHidden/>
          </w:rPr>
          <w:fldChar w:fldCharType="begin"/>
        </w:r>
        <w:r w:rsidR="00F05127">
          <w:rPr>
            <w:webHidden/>
          </w:rPr>
          <w:instrText xml:space="preserve"> PAGEREF _Toc529285608 \h </w:instrText>
        </w:r>
        <w:r w:rsidR="00F05127">
          <w:rPr>
            <w:webHidden/>
          </w:rPr>
        </w:r>
        <w:r w:rsidR="00F05127">
          <w:rPr>
            <w:webHidden/>
          </w:rPr>
          <w:fldChar w:fldCharType="separate"/>
        </w:r>
        <w:r w:rsidR="00F05127">
          <w:rPr>
            <w:webHidden/>
          </w:rPr>
          <w:t>216</w:t>
        </w:r>
        <w:r w:rsidR="00F05127">
          <w:rPr>
            <w:webHidden/>
          </w:rPr>
          <w:fldChar w:fldCharType="end"/>
        </w:r>
      </w:hyperlink>
    </w:p>
    <w:p w:rsidR="00F05127" w:rsidRDefault="00BF5281">
      <w:pPr>
        <w:pStyle w:val="TOC1"/>
        <w:rPr>
          <w:rFonts w:asciiTheme="minorHAnsi" w:eastAsiaTheme="minorEastAsia" w:hAnsiTheme="minorHAnsi" w:cstheme="minorBidi"/>
          <w:szCs w:val="22"/>
          <w:lang w:val="en-US"/>
        </w:rPr>
      </w:pPr>
      <w:hyperlink w:anchor="_Toc529285609" w:history="1">
        <w:r w:rsidR="00F05127" w:rsidRPr="006376C3">
          <w:rPr>
            <w:rStyle w:val="Hyperlink"/>
          </w:rPr>
          <w:t>Приложение 10. Платформи, мрежи и проекти, свързани с международното сътрудничество за информационен обмен</w:t>
        </w:r>
        <w:r w:rsidR="00F05127">
          <w:rPr>
            <w:webHidden/>
          </w:rPr>
          <w:tab/>
        </w:r>
        <w:r w:rsidR="00F05127">
          <w:rPr>
            <w:webHidden/>
          </w:rPr>
          <w:fldChar w:fldCharType="begin"/>
        </w:r>
        <w:r w:rsidR="00F05127">
          <w:rPr>
            <w:webHidden/>
          </w:rPr>
          <w:instrText xml:space="preserve"> PAGEREF _Toc529285609 \h </w:instrText>
        </w:r>
        <w:r w:rsidR="00F05127">
          <w:rPr>
            <w:webHidden/>
          </w:rPr>
        </w:r>
        <w:r w:rsidR="00F05127">
          <w:rPr>
            <w:webHidden/>
          </w:rPr>
          <w:fldChar w:fldCharType="separate"/>
        </w:r>
        <w:r w:rsidR="00F05127">
          <w:rPr>
            <w:webHidden/>
          </w:rPr>
          <w:t>220</w:t>
        </w:r>
        <w:r w:rsidR="00F05127">
          <w:rPr>
            <w:webHidden/>
          </w:rPr>
          <w:fldChar w:fldCharType="end"/>
        </w:r>
      </w:hyperlink>
    </w:p>
    <w:p w:rsidR="00F05127" w:rsidRDefault="00BF5281">
      <w:pPr>
        <w:pStyle w:val="TOC1"/>
        <w:rPr>
          <w:rFonts w:asciiTheme="minorHAnsi" w:eastAsiaTheme="minorEastAsia" w:hAnsiTheme="minorHAnsi" w:cstheme="minorBidi"/>
          <w:szCs w:val="22"/>
          <w:lang w:val="en-US"/>
        </w:rPr>
      </w:pPr>
      <w:hyperlink w:anchor="_Toc529285610" w:history="1">
        <w:r w:rsidR="00F05127" w:rsidRPr="006376C3">
          <w:rPr>
            <w:rStyle w:val="Hyperlink"/>
          </w:rPr>
          <w:t>Приложение 11. Въздействия на измененията на климата върху градската среда, съответни нормативни документи и дейности</w:t>
        </w:r>
        <w:r w:rsidR="00F05127">
          <w:rPr>
            <w:webHidden/>
          </w:rPr>
          <w:tab/>
        </w:r>
        <w:r w:rsidR="00F05127">
          <w:rPr>
            <w:webHidden/>
          </w:rPr>
          <w:fldChar w:fldCharType="begin"/>
        </w:r>
        <w:r w:rsidR="00F05127">
          <w:rPr>
            <w:webHidden/>
          </w:rPr>
          <w:instrText xml:space="preserve"> PAGEREF _Toc529285610 \h </w:instrText>
        </w:r>
        <w:r w:rsidR="00F05127">
          <w:rPr>
            <w:webHidden/>
          </w:rPr>
        </w:r>
        <w:r w:rsidR="00F05127">
          <w:rPr>
            <w:webHidden/>
          </w:rPr>
          <w:fldChar w:fldCharType="separate"/>
        </w:r>
        <w:r w:rsidR="00F05127">
          <w:rPr>
            <w:webHidden/>
          </w:rPr>
          <w:t>227</w:t>
        </w:r>
        <w:r w:rsidR="00F05127">
          <w:rPr>
            <w:webHidden/>
          </w:rPr>
          <w:fldChar w:fldCharType="end"/>
        </w:r>
      </w:hyperlink>
    </w:p>
    <w:p w:rsidR="00F05127" w:rsidRDefault="00BF5281">
      <w:pPr>
        <w:pStyle w:val="TOC1"/>
        <w:rPr>
          <w:rFonts w:asciiTheme="minorHAnsi" w:eastAsiaTheme="minorEastAsia" w:hAnsiTheme="minorHAnsi" w:cstheme="minorBidi"/>
          <w:szCs w:val="22"/>
          <w:lang w:val="en-US"/>
        </w:rPr>
      </w:pPr>
      <w:hyperlink w:anchor="_Toc529285611" w:history="1">
        <w:r w:rsidR="00F05127" w:rsidRPr="006376C3">
          <w:rPr>
            <w:rStyle w:val="Hyperlink"/>
          </w:rPr>
          <w:t>Приложение 12. Възможности за адаптация, свързани с градската среда и общи мерки за АИК в българските стратегически документи</w:t>
        </w:r>
        <w:r w:rsidR="00F05127">
          <w:rPr>
            <w:webHidden/>
          </w:rPr>
          <w:tab/>
        </w:r>
        <w:r w:rsidR="00F05127">
          <w:rPr>
            <w:webHidden/>
          </w:rPr>
          <w:fldChar w:fldCharType="begin"/>
        </w:r>
        <w:r w:rsidR="00F05127">
          <w:rPr>
            <w:webHidden/>
          </w:rPr>
          <w:instrText xml:space="preserve"> PAGEREF _Toc529285611 \h </w:instrText>
        </w:r>
        <w:r w:rsidR="00F05127">
          <w:rPr>
            <w:webHidden/>
          </w:rPr>
        </w:r>
        <w:r w:rsidR="00F05127">
          <w:rPr>
            <w:webHidden/>
          </w:rPr>
          <w:fldChar w:fldCharType="separate"/>
        </w:r>
        <w:r w:rsidR="00F05127">
          <w:rPr>
            <w:webHidden/>
          </w:rPr>
          <w:t>231</w:t>
        </w:r>
        <w:r w:rsidR="00F05127">
          <w:rPr>
            <w:webHidden/>
          </w:rPr>
          <w:fldChar w:fldCharType="end"/>
        </w:r>
      </w:hyperlink>
    </w:p>
    <w:p w:rsidR="000614A3" w:rsidRPr="00B73D7E" w:rsidRDefault="00A147B2" w:rsidP="00F8728A">
      <w:pPr>
        <w:pStyle w:val="TOC1"/>
        <w:rPr>
          <w:rFonts w:eastAsiaTheme="minorEastAsia" w:cs="Times New Roman"/>
          <w:szCs w:val="22"/>
        </w:rPr>
      </w:pPr>
      <w:r>
        <w:rPr>
          <w:b/>
          <w:color w:val="365F91"/>
          <w:sz w:val="32"/>
          <w:szCs w:val="32"/>
        </w:rPr>
        <w:fldChar w:fldCharType="end"/>
      </w:r>
      <w:r w:rsidR="00AA4661" w:rsidRPr="00F8728A">
        <w:rPr>
          <w:rFonts w:cs="Times New Roman"/>
          <w:b/>
          <w:noProof w:val="0"/>
          <w:color w:val="365F91"/>
          <w:sz w:val="32"/>
          <w:szCs w:val="32"/>
        </w:rPr>
        <w:fldChar w:fldCharType="begin"/>
      </w:r>
      <w:r w:rsidR="00AA4661" w:rsidRPr="00ED3916">
        <w:rPr>
          <w:rFonts w:cs="Times New Roman"/>
          <w:b/>
          <w:noProof w:val="0"/>
          <w:color w:val="365F91"/>
          <w:sz w:val="32"/>
          <w:szCs w:val="32"/>
        </w:rPr>
        <w:instrText xml:space="preserve"> TOC \o "1-3" \h \z \u </w:instrText>
      </w:r>
      <w:r w:rsidR="00AA4661" w:rsidRPr="00F8728A">
        <w:rPr>
          <w:rFonts w:cs="Times New Roman"/>
          <w:b/>
          <w:noProof w:val="0"/>
          <w:color w:val="365F91"/>
          <w:sz w:val="32"/>
          <w:szCs w:val="32"/>
        </w:rPr>
        <w:fldChar w:fldCharType="separate"/>
      </w:r>
    </w:p>
    <w:p w:rsidR="000614A3" w:rsidRPr="00B73D7E" w:rsidRDefault="000614A3">
      <w:pPr>
        <w:pStyle w:val="TOC1"/>
        <w:rPr>
          <w:rFonts w:eastAsiaTheme="minorEastAsia" w:cs="Times New Roman"/>
          <w:szCs w:val="22"/>
        </w:rPr>
      </w:pPr>
    </w:p>
    <w:p w:rsidR="00AA4661" w:rsidRPr="00B73D7E" w:rsidRDefault="00AA4661" w:rsidP="00B73D7E">
      <w:pPr>
        <w:widowControl w:val="0"/>
        <w:spacing w:before="240" w:after="120"/>
        <w:jc w:val="both"/>
        <w:rPr>
          <w:rFonts w:ascii="Calibri" w:hAnsi="Calibri"/>
          <w:b/>
          <w:color w:val="2F5496"/>
          <w:sz w:val="32"/>
          <w:szCs w:val="32"/>
        </w:rPr>
      </w:pPr>
      <w:r w:rsidRPr="00F8728A">
        <w:rPr>
          <w:rFonts w:ascii="Times New Roman" w:hAnsi="Times New Roman"/>
          <w:b/>
          <w:color w:val="365F91"/>
          <w:sz w:val="32"/>
          <w:szCs w:val="32"/>
        </w:rPr>
        <w:lastRenderedPageBreak/>
        <w:fldChar w:fldCharType="end"/>
      </w:r>
      <w:r w:rsidRPr="00B73D7E">
        <w:rPr>
          <w:rFonts w:ascii="Calibri" w:hAnsi="Calibri"/>
          <w:b/>
          <w:color w:val="2F5496"/>
          <w:sz w:val="32"/>
          <w:szCs w:val="32"/>
        </w:rPr>
        <w:t>Списък на фигури</w:t>
      </w:r>
    </w:p>
    <w:p w:rsidR="00D325A0" w:rsidRDefault="00D325A0">
      <w:pPr>
        <w:pStyle w:val="TableofFigures"/>
        <w:tabs>
          <w:tab w:val="right" w:leader="dot" w:pos="9074"/>
        </w:tabs>
        <w:rPr>
          <w:rFonts w:asciiTheme="minorHAnsi" w:eastAsiaTheme="minorEastAsia" w:hAnsiTheme="minorHAnsi" w:cstheme="minorBidi"/>
          <w:noProof/>
          <w:lang w:val="en-US"/>
        </w:rPr>
      </w:pPr>
      <w:r>
        <w:rPr>
          <w:b/>
          <w:color w:val="365F91"/>
          <w:sz w:val="32"/>
          <w:szCs w:val="32"/>
        </w:rPr>
        <w:fldChar w:fldCharType="begin"/>
      </w:r>
      <w:r>
        <w:rPr>
          <w:b/>
          <w:color w:val="365F91"/>
          <w:sz w:val="32"/>
          <w:szCs w:val="32"/>
        </w:rPr>
        <w:instrText xml:space="preserve"> TOC \h \z \c "Figure" </w:instrText>
      </w:r>
      <w:r>
        <w:rPr>
          <w:b/>
          <w:color w:val="365F91"/>
          <w:sz w:val="32"/>
          <w:szCs w:val="32"/>
        </w:rPr>
        <w:fldChar w:fldCharType="separate"/>
      </w:r>
      <w:hyperlink w:anchor="_Toc529286551" w:history="1">
        <w:r w:rsidRPr="00BF5242">
          <w:rPr>
            <w:rStyle w:val="Hyperlink"/>
            <w:noProof/>
          </w:rPr>
          <w:t>Фигура 1. Опростена илюстрация на влиянията на климатичните промени и идентифицираните адаптационни опции</w:t>
        </w:r>
        <w:r>
          <w:rPr>
            <w:noProof/>
            <w:webHidden/>
          </w:rPr>
          <w:tab/>
        </w:r>
        <w:r>
          <w:rPr>
            <w:noProof/>
            <w:webHidden/>
          </w:rPr>
          <w:fldChar w:fldCharType="begin"/>
        </w:r>
        <w:r>
          <w:rPr>
            <w:noProof/>
            <w:webHidden/>
          </w:rPr>
          <w:instrText xml:space="preserve"> PAGEREF _Toc529286551 \h </w:instrText>
        </w:r>
        <w:r>
          <w:rPr>
            <w:noProof/>
            <w:webHidden/>
          </w:rPr>
        </w:r>
        <w:r>
          <w:rPr>
            <w:noProof/>
            <w:webHidden/>
          </w:rPr>
          <w:fldChar w:fldCharType="separate"/>
        </w:r>
        <w:r>
          <w:rPr>
            <w:noProof/>
            <w:webHidden/>
          </w:rPr>
          <w:t>6</w:t>
        </w:r>
        <w:r>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r:id="rId9" w:anchor="_Toc529286552" w:history="1">
        <w:r w:rsidR="00D325A0" w:rsidRPr="00BF5242">
          <w:rPr>
            <w:rStyle w:val="Hyperlink"/>
            <w:noProof/>
          </w:rPr>
          <w:t>Фигура 2. Средна годишна температура през 1961–1990 г. (A); Песимистичен климатичен сценарий за средна годишна температура за 2080 г. (Б)</w:t>
        </w:r>
        <w:r w:rsidR="00D325A0">
          <w:rPr>
            <w:noProof/>
            <w:webHidden/>
          </w:rPr>
          <w:tab/>
        </w:r>
        <w:r w:rsidR="00D325A0">
          <w:rPr>
            <w:noProof/>
            <w:webHidden/>
          </w:rPr>
          <w:fldChar w:fldCharType="begin"/>
        </w:r>
        <w:r w:rsidR="00D325A0">
          <w:rPr>
            <w:noProof/>
            <w:webHidden/>
          </w:rPr>
          <w:instrText xml:space="preserve"> PAGEREF _Toc529286552 \h </w:instrText>
        </w:r>
        <w:r w:rsidR="00D325A0">
          <w:rPr>
            <w:noProof/>
            <w:webHidden/>
          </w:rPr>
        </w:r>
        <w:r w:rsidR="00D325A0">
          <w:rPr>
            <w:noProof/>
            <w:webHidden/>
          </w:rPr>
          <w:fldChar w:fldCharType="separate"/>
        </w:r>
        <w:r w:rsidR="00D325A0">
          <w:rPr>
            <w:noProof/>
            <w:webHidden/>
          </w:rPr>
          <w:t>7</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r:id="rId10" w:anchor="_Toc529286553" w:history="1">
        <w:r w:rsidR="00D325A0" w:rsidRPr="00BF5242">
          <w:rPr>
            <w:rStyle w:val="Hyperlink"/>
            <w:noProof/>
          </w:rPr>
          <w:t>Фигура 3. Средна годишна сума на валежите за периода 1961–1990 г. (А); Очаквана сума към 2080 г., съгласно песимистичния сценарий (Б)</w:t>
        </w:r>
        <w:r w:rsidR="00D325A0">
          <w:rPr>
            <w:noProof/>
            <w:webHidden/>
          </w:rPr>
          <w:tab/>
        </w:r>
        <w:r w:rsidR="00D325A0">
          <w:rPr>
            <w:noProof/>
            <w:webHidden/>
          </w:rPr>
          <w:fldChar w:fldCharType="begin"/>
        </w:r>
        <w:r w:rsidR="00D325A0">
          <w:rPr>
            <w:noProof/>
            <w:webHidden/>
          </w:rPr>
          <w:instrText xml:space="preserve"> PAGEREF _Toc529286553 \h </w:instrText>
        </w:r>
        <w:r w:rsidR="00D325A0">
          <w:rPr>
            <w:noProof/>
            <w:webHidden/>
          </w:rPr>
        </w:r>
        <w:r w:rsidR="00D325A0">
          <w:rPr>
            <w:noProof/>
            <w:webHidden/>
          </w:rPr>
          <w:fldChar w:fldCharType="separate"/>
        </w:r>
        <w:r w:rsidR="00D325A0">
          <w:rPr>
            <w:noProof/>
            <w:webHidden/>
          </w:rPr>
          <w:t>8</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554" w:history="1">
        <w:r w:rsidR="00D325A0" w:rsidRPr="00BF5242">
          <w:rPr>
            <w:rStyle w:val="Hyperlink"/>
            <w:noProof/>
          </w:rPr>
          <w:t>Фигура 4. Обща концепция за AR5 на WGII</w:t>
        </w:r>
        <w:r w:rsidR="00D325A0">
          <w:rPr>
            <w:noProof/>
            <w:webHidden/>
          </w:rPr>
          <w:tab/>
        </w:r>
        <w:r w:rsidR="00D325A0">
          <w:rPr>
            <w:noProof/>
            <w:webHidden/>
          </w:rPr>
          <w:fldChar w:fldCharType="begin"/>
        </w:r>
        <w:r w:rsidR="00D325A0">
          <w:rPr>
            <w:noProof/>
            <w:webHidden/>
          </w:rPr>
          <w:instrText xml:space="preserve"> PAGEREF _Toc529286554 \h </w:instrText>
        </w:r>
        <w:r w:rsidR="00D325A0">
          <w:rPr>
            <w:noProof/>
            <w:webHidden/>
          </w:rPr>
        </w:r>
        <w:r w:rsidR="00D325A0">
          <w:rPr>
            <w:noProof/>
            <w:webHidden/>
          </w:rPr>
          <w:fldChar w:fldCharType="separate"/>
        </w:r>
        <w:r w:rsidR="00D325A0">
          <w:rPr>
            <w:noProof/>
            <w:webHidden/>
          </w:rPr>
          <w:t>9</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555" w:history="1">
        <w:r w:rsidR="00D325A0" w:rsidRPr="00BF5242">
          <w:rPr>
            <w:rStyle w:val="Hyperlink"/>
            <w:noProof/>
          </w:rPr>
          <w:t>Фигура 5.  Общо население, градско население, застаряващо население</w:t>
        </w:r>
        <w:r w:rsidR="00D325A0">
          <w:rPr>
            <w:noProof/>
            <w:webHidden/>
          </w:rPr>
          <w:tab/>
        </w:r>
        <w:r w:rsidR="00D325A0">
          <w:rPr>
            <w:noProof/>
            <w:webHidden/>
          </w:rPr>
          <w:fldChar w:fldCharType="begin"/>
        </w:r>
        <w:r w:rsidR="00D325A0">
          <w:rPr>
            <w:noProof/>
            <w:webHidden/>
          </w:rPr>
          <w:instrText xml:space="preserve"> PAGEREF _Toc529286555 \h </w:instrText>
        </w:r>
        <w:r w:rsidR="00D325A0">
          <w:rPr>
            <w:noProof/>
            <w:webHidden/>
          </w:rPr>
        </w:r>
        <w:r w:rsidR="00D325A0">
          <w:rPr>
            <w:noProof/>
            <w:webHidden/>
          </w:rPr>
          <w:fldChar w:fldCharType="separate"/>
        </w:r>
        <w:r w:rsidR="00D325A0">
          <w:rPr>
            <w:noProof/>
            <w:webHidden/>
          </w:rPr>
          <w:t>10</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556" w:history="1">
        <w:r w:rsidR="00D325A0" w:rsidRPr="00BF5242">
          <w:rPr>
            <w:rStyle w:val="Hyperlink"/>
            <w:noProof/>
          </w:rPr>
          <w:t>Фигура 6. Относителен дял на градското население на възраст над 65 години (2011–2016 г.)</w:t>
        </w:r>
        <w:r w:rsidR="00D325A0">
          <w:rPr>
            <w:noProof/>
            <w:webHidden/>
          </w:rPr>
          <w:tab/>
        </w:r>
        <w:r w:rsidR="00D325A0">
          <w:rPr>
            <w:noProof/>
            <w:webHidden/>
          </w:rPr>
          <w:fldChar w:fldCharType="begin"/>
        </w:r>
        <w:r w:rsidR="00D325A0">
          <w:rPr>
            <w:noProof/>
            <w:webHidden/>
          </w:rPr>
          <w:instrText xml:space="preserve"> PAGEREF _Toc529286556 \h </w:instrText>
        </w:r>
        <w:r w:rsidR="00D325A0">
          <w:rPr>
            <w:noProof/>
            <w:webHidden/>
          </w:rPr>
        </w:r>
        <w:r w:rsidR="00D325A0">
          <w:rPr>
            <w:noProof/>
            <w:webHidden/>
          </w:rPr>
          <w:fldChar w:fldCharType="separate"/>
        </w:r>
        <w:r w:rsidR="00D325A0">
          <w:rPr>
            <w:noProof/>
            <w:webHidden/>
          </w:rPr>
          <w:t>11</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557" w:history="1">
        <w:r w:rsidR="00D325A0" w:rsidRPr="00BF5242">
          <w:rPr>
            <w:rStyle w:val="Hyperlink"/>
            <w:noProof/>
          </w:rPr>
          <w:t>Фигура 7. Градове по размер и местоположение</w:t>
        </w:r>
        <w:r w:rsidR="00D325A0">
          <w:rPr>
            <w:noProof/>
            <w:webHidden/>
          </w:rPr>
          <w:tab/>
        </w:r>
        <w:r w:rsidR="00D325A0">
          <w:rPr>
            <w:noProof/>
            <w:webHidden/>
          </w:rPr>
          <w:fldChar w:fldCharType="begin"/>
        </w:r>
        <w:r w:rsidR="00D325A0">
          <w:rPr>
            <w:noProof/>
            <w:webHidden/>
          </w:rPr>
          <w:instrText xml:space="preserve"> PAGEREF _Toc529286557 \h </w:instrText>
        </w:r>
        <w:r w:rsidR="00D325A0">
          <w:rPr>
            <w:noProof/>
            <w:webHidden/>
          </w:rPr>
        </w:r>
        <w:r w:rsidR="00D325A0">
          <w:rPr>
            <w:noProof/>
            <w:webHidden/>
          </w:rPr>
          <w:fldChar w:fldCharType="separate"/>
        </w:r>
        <w:r w:rsidR="00D325A0">
          <w:rPr>
            <w:noProof/>
            <w:webHidden/>
          </w:rPr>
          <w:t>12</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558" w:history="1">
        <w:r w:rsidR="00D325A0" w:rsidRPr="00BF5242">
          <w:rPr>
            <w:rStyle w:val="Hyperlink"/>
            <w:noProof/>
          </w:rPr>
          <w:t>Фигура 8. Модел на умерен полицентризъм, НКПР (2013–2025 г.)</w:t>
        </w:r>
        <w:r w:rsidR="00D325A0">
          <w:rPr>
            <w:noProof/>
            <w:webHidden/>
          </w:rPr>
          <w:tab/>
        </w:r>
        <w:r w:rsidR="00D325A0">
          <w:rPr>
            <w:noProof/>
            <w:webHidden/>
          </w:rPr>
          <w:fldChar w:fldCharType="begin"/>
        </w:r>
        <w:r w:rsidR="00D325A0">
          <w:rPr>
            <w:noProof/>
            <w:webHidden/>
          </w:rPr>
          <w:instrText xml:space="preserve"> PAGEREF _Toc529286558 \h </w:instrText>
        </w:r>
        <w:r w:rsidR="00D325A0">
          <w:rPr>
            <w:noProof/>
            <w:webHidden/>
          </w:rPr>
        </w:r>
        <w:r w:rsidR="00D325A0">
          <w:rPr>
            <w:noProof/>
            <w:webHidden/>
          </w:rPr>
          <w:fldChar w:fldCharType="separate"/>
        </w:r>
        <w:r w:rsidR="00D325A0">
          <w:rPr>
            <w:noProof/>
            <w:webHidden/>
          </w:rPr>
          <w:t>15</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559" w:history="1">
        <w:r w:rsidR="00D325A0" w:rsidRPr="00BF5242">
          <w:rPr>
            <w:rStyle w:val="Hyperlink"/>
            <w:noProof/>
          </w:rPr>
          <w:t>Фигура 9. Средни годишни колебания в температурата на въздуха (</w:t>
        </w:r>
        <w:r w:rsidR="00D325A0" w:rsidRPr="00BF5242">
          <w:rPr>
            <w:rStyle w:val="Hyperlink"/>
            <w:noProof/>
            <w:vertAlign w:val="superscript"/>
          </w:rPr>
          <w:t>о</w:t>
        </w:r>
        <w:r w:rsidR="00D325A0" w:rsidRPr="00BF5242">
          <w:rPr>
            <w:rStyle w:val="Hyperlink"/>
            <w:noProof/>
          </w:rPr>
          <w:t>С) за периода  1988–2015 г.</w:t>
        </w:r>
        <w:r w:rsidR="00D325A0">
          <w:rPr>
            <w:noProof/>
            <w:webHidden/>
          </w:rPr>
          <w:tab/>
        </w:r>
        <w:r w:rsidR="00D325A0">
          <w:rPr>
            <w:noProof/>
            <w:webHidden/>
          </w:rPr>
          <w:fldChar w:fldCharType="begin"/>
        </w:r>
        <w:r w:rsidR="00D325A0">
          <w:rPr>
            <w:noProof/>
            <w:webHidden/>
          </w:rPr>
          <w:instrText xml:space="preserve"> PAGEREF _Toc529286559 \h </w:instrText>
        </w:r>
        <w:r w:rsidR="00D325A0">
          <w:rPr>
            <w:noProof/>
            <w:webHidden/>
          </w:rPr>
        </w:r>
        <w:r w:rsidR="00D325A0">
          <w:rPr>
            <w:noProof/>
            <w:webHidden/>
          </w:rPr>
          <w:fldChar w:fldCharType="separate"/>
        </w:r>
        <w:r w:rsidR="00D325A0">
          <w:rPr>
            <w:noProof/>
            <w:webHidden/>
          </w:rPr>
          <w:t>25</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560" w:history="1">
        <w:r w:rsidR="00D325A0" w:rsidRPr="00BF5242">
          <w:rPr>
            <w:rStyle w:val="Hyperlink"/>
            <w:noProof/>
          </w:rPr>
          <w:t>Фигура 10. Колебания в сумата на средните годишни валежи (в мм) за периода  1988–2015 г.</w:t>
        </w:r>
        <w:r w:rsidR="00D325A0">
          <w:rPr>
            <w:noProof/>
            <w:webHidden/>
          </w:rPr>
          <w:tab/>
        </w:r>
        <w:r w:rsidR="00D325A0">
          <w:rPr>
            <w:noProof/>
            <w:webHidden/>
          </w:rPr>
          <w:fldChar w:fldCharType="begin"/>
        </w:r>
        <w:r w:rsidR="00D325A0">
          <w:rPr>
            <w:noProof/>
            <w:webHidden/>
          </w:rPr>
          <w:instrText xml:space="preserve"> PAGEREF _Toc529286560 \h </w:instrText>
        </w:r>
        <w:r w:rsidR="00D325A0">
          <w:rPr>
            <w:noProof/>
            <w:webHidden/>
          </w:rPr>
        </w:r>
        <w:r w:rsidR="00D325A0">
          <w:rPr>
            <w:noProof/>
            <w:webHidden/>
          </w:rPr>
          <w:fldChar w:fldCharType="separate"/>
        </w:r>
        <w:r w:rsidR="00D325A0">
          <w:rPr>
            <w:noProof/>
            <w:webHidden/>
          </w:rPr>
          <w:t>27</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561" w:history="1">
        <w:r w:rsidR="00D325A0" w:rsidRPr="00BF5242">
          <w:rPr>
            <w:rStyle w:val="Hyperlink"/>
            <w:noProof/>
          </w:rPr>
          <w:t>Фигура 11. Структура и основни участници в прилагането на българската политика за градската среда</w:t>
        </w:r>
        <w:r w:rsidR="00D325A0">
          <w:rPr>
            <w:noProof/>
            <w:webHidden/>
          </w:rPr>
          <w:tab/>
        </w:r>
        <w:r w:rsidR="00D325A0">
          <w:rPr>
            <w:noProof/>
            <w:webHidden/>
          </w:rPr>
          <w:fldChar w:fldCharType="begin"/>
        </w:r>
        <w:r w:rsidR="00D325A0">
          <w:rPr>
            <w:noProof/>
            <w:webHidden/>
          </w:rPr>
          <w:instrText xml:space="preserve"> PAGEREF _Toc529286561 \h </w:instrText>
        </w:r>
        <w:r w:rsidR="00D325A0">
          <w:rPr>
            <w:noProof/>
            <w:webHidden/>
          </w:rPr>
        </w:r>
        <w:r w:rsidR="00D325A0">
          <w:rPr>
            <w:noProof/>
            <w:webHidden/>
          </w:rPr>
          <w:fldChar w:fldCharType="separate"/>
        </w:r>
        <w:r w:rsidR="00D325A0">
          <w:rPr>
            <w:noProof/>
            <w:webHidden/>
          </w:rPr>
          <w:t>64</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562" w:history="1">
        <w:r w:rsidR="00D325A0" w:rsidRPr="00BF5242">
          <w:rPr>
            <w:rStyle w:val="Hyperlink"/>
            <w:noProof/>
          </w:rPr>
          <w:t>Фигура 12. ОВОС на Общия устройствен план на град София и Столична община (2002)</w:t>
        </w:r>
        <w:r w:rsidR="00D325A0">
          <w:rPr>
            <w:noProof/>
            <w:webHidden/>
          </w:rPr>
          <w:tab/>
        </w:r>
        <w:r w:rsidR="00D325A0">
          <w:rPr>
            <w:noProof/>
            <w:webHidden/>
          </w:rPr>
          <w:fldChar w:fldCharType="begin"/>
        </w:r>
        <w:r w:rsidR="00D325A0">
          <w:rPr>
            <w:noProof/>
            <w:webHidden/>
          </w:rPr>
          <w:instrText xml:space="preserve"> PAGEREF _Toc529286562 \h </w:instrText>
        </w:r>
        <w:r w:rsidR="00D325A0">
          <w:rPr>
            <w:noProof/>
            <w:webHidden/>
          </w:rPr>
        </w:r>
        <w:r w:rsidR="00D325A0">
          <w:rPr>
            <w:noProof/>
            <w:webHidden/>
          </w:rPr>
          <w:fldChar w:fldCharType="separate"/>
        </w:r>
        <w:r w:rsidR="00D325A0">
          <w:rPr>
            <w:noProof/>
            <w:webHidden/>
          </w:rPr>
          <w:t>69</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563" w:history="1">
        <w:r w:rsidR="00D325A0" w:rsidRPr="00BF5242">
          <w:rPr>
            <w:rStyle w:val="Hyperlink"/>
            <w:noProof/>
          </w:rPr>
          <w:t>Фигура 13. ЕО на Измененията на Общия устройствен план на град София и Столична община (приети през 2009 г.)</w:t>
        </w:r>
        <w:r w:rsidR="00D325A0">
          <w:rPr>
            <w:noProof/>
            <w:webHidden/>
          </w:rPr>
          <w:tab/>
        </w:r>
        <w:r w:rsidR="00D325A0">
          <w:rPr>
            <w:noProof/>
            <w:webHidden/>
          </w:rPr>
          <w:fldChar w:fldCharType="begin"/>
        </w:r>
        <w:r w:rsidR="00D325A0">
          <w:rPr>
            <w:noProof/>
            <w:webHidden/>
          </w:rPr>
          <w:instrText xml:space="preserve"> PAGEREF _Toc529286563 \h </w:instrText>
        </w:r>
        <w:r w:rsidR="00D325A0">
          <w:rPr>
            <w:noProof/>
            <w:webHidden/>
          </w:rPr>
        </w:r>
        <w:r w:rsidR="00D325A0">
          <w:rPr>
            <w:noProof/>
            <w:webHidden/>
          </w:rPr>
          <w:fldChar w:fldCharType="separate"/>
        </w:r>
        <w:r w:rsidR="00D325A0">
          <w:rPr>
            <w:noProof/>
            <w:webHidden/>
          </w:rPr>
          <w:t>69</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564" w:history="1">
        <w:r w:rsidR="00D325A0" w:rsidRPr="00BF5242">
          <w:rPr>
            <w:rStyle w:val="Hyperlink"/>
            <w:noProof/>
          </w:rPr>
          <w:t>Фигура 14. Йерархична система за регионално и пространствено планиране в България</w:t>
        </w:r>
        <w:r w:rsidR="00D325A0">
          <w:rPr>
            <w:noProof/>
            <w:webHidden/>
          </w:rPr>
          <w:tab/>
        </w:r>
        <w:r w:rsidR="00D325A0">
          <w:rPr>
            <w:noProof/>
            <w:webHidden/>
          </w:rPr>
          <w:fldChar w:fldCharType="begin"/>
        </w:r>
        <w:r w:rsidR="00D325A0">
          <w:rPr>
            <w:noProof/>
            <w:webHidden/>
          </w:rPr>
          <w:instrText xml:space="preserve"> PAGEREF _Toc529286564 \h </w:instrText>
        </w:r>
        <w:r w:rsidR="00D325A0">
          <w:rPr>
            <w:noProof/>
            <w:webHidden/>
          </w:rPr>
        </w:r>
        <w:r w:rsidR="00D325A0">
          <w:rPr>
            <w:noProof/>
            <w:webHidden/>
          </w:rPr>
          <w:fldChar w:fldCharType="separate"/>
        </w:r>
        <w:r w:rsidR="00D325A0">
          <w:rPr>
            <w:noProof/>
            <w:webHidden/>
          </w:rPr>
          <w:t>70</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565" w:history="1">
        <w:r w:rsidR="00D325A0" w:rsidRPr="00BF5242">
          <w:rPr>
            <w:rStyle w:val="Hyperlink"/>
            <w:noProof/>
          </w:rPr>
          <w:t>Фигура 15. Структура и основни действащи лица в прилагането на българската политика по изменение на климата</w:t>
        </w:r>
        <w:r w:rsidR="00D325A0">
          <w:rPr>
            <w:noProof/>
            <w:webHidden/>
          </w:rPr>
          <w:tab/>
        </w:r>
        <w:r w:rsidR="00D325A0">
          <w:rPr>
            <w:noProof/>
            <w:webHidden/>
          </w:rPr>
          <w:fldChar w:fldCharType="begin"/>
        </w:r>
        <w:r w:rsidR="00D325A0">
          <w:rPr>
            <w:noProof/>
            <w:webHidden/>
          </w:rPr>
          <w:instrText xml:space="preserve"> PAGEREF _Toc529286565 \h </w:instrText>
        </w:r>
        <w:r w:rsidR="00D325A0">
          <w:rPr>
            <w:noProof/>
            <w:webHidden/>
          </w:rPr>
        </w:r>
        <w:r w:rsidR="00D325A0">
          <w:rPr>
            <w:noProof/>
            <w:webHidden/>
          </w:rPr>
          <w:fldChar w:fldCharType="separate"/>
        </w:r>
        <w:r w:rsidR="00D325A0">
          <w:rPr>
            <w:noProof/>
            <w:webHidden/>
          </w:rPr>
          <w:t>78</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566" w:history="1">
        <w:r w:rsidR="00D325A0" w:rsidRPr="00BF5242">
          <w:rPr>
            <w:rStyle w:val="Hyperlink"/>
            <w:noProof/>
          </w:rPr>
          <w:t>Фигура 16. Български градове, легитимни за финансиране по ОП "Региони в растеж" 2014–2020 г.</w:t>
        </w:r>
        <w:r w:rsidR="00D325A0">
          <w:rPr>
            <w:noProof/>
            <w:webHidden/>
          </w:rPr>
          <w:tab/>
        </w:r>
        <w:r w:rsidR="00D325A0">
          <w:rPr>
            <w:noProof/>
            <w:webHidden/>
          </w:rPr>
          <w:fldChar w:fldCharType="begin"/>
        </w:r>
        <w:r w:rsidR="00D325A0">
          <w:rPr>
            <w:noProof/>
            <w:webHidden/>
          </w:rPr>
          <w:instrText xml:space="preserve"> PAGEREF _Toc529286566 \h </w:instrText>
        </w:r>
        <w:r w:rsidR="00D325A0">
          <w:rPr>
            <w:noProof/>
            <w:webHidden/>
          </w:rPr>
        </w:r>
        <w:r w:rsidR="00D325A0">
          <w:rPr>
            <w:noProof/>
            <w:webHidden/>
          </w:rPr>
          <w:fldChar w:fldCharType="separate"/>
        </w:r>
        <w:r w:rsidR="00D325A0">
          <w:rPr>
            <w:noProof/>
            <w:webHidden/>
          </w:rPr>
          <w:t>85</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567" w:history="1">
        <w:r w:rsidR="00D325A0" w:rsidRPr="00BF5242">
          <w:rPr>
            <w:rStyle w:val="Hyperlink"/>
            <w:noProof/>
          </w:rPr>
          <w:t>Фигура 17. Екстензивно развитие на столицата София</w:t>
        </w:r>
        <w:r w:rsidR="00D325A0">
          <w:rPr>
            <w:noProof/>
            <w:webHidden/>
          </w:rPr>
          <w:tab/>
        </w:r>
        <w:r w:rsidR="00D325A0">
          <w:rPr>
            <w:noProof/>
            <w:webHidden/>
          </w:rPr>
          <w:fldChar w:fldCharType="begin"/>
        </w:r>
        <w:r w:rsidR="00D325A0">
          <w:rPr>
            <w:noProof/>
            <w:webHidden/>
          </w:rPr>
          <w:instrText xml:space="preserve"> PAGEREF _Toc529286567 \h </w:instrText>
        </w:r>
        <w:r w:rsidR="00D325A0">
          <w:rPr>
            <w:noProof/>
            <w:webHidden/>
          </w:rPr>
        </w:r>
        <w:r w:rsidR="00D325A0">
          <w:rPr>
            <w:noProof/>
            <w:webHidden/>
          </w:rPr>
          <w:fldChar w:fldCharType="separate"/>
        </w:r>
        <w:r w:rsidR="00D325A0">
          <w:rPr>
            <w:noProof/>
            <w:webHidden/>
          </w:rPr>
          <w:t>130</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568" w:history="1">
        <w:r w:rsidR="00D325A0" w:rsidRPr="00BF5242">
          <w:rPr>
            <w:rStyle w:val="Hyperlink"/>
            <w:noProof/>
          </w:rPr>
          <w:t>Фигура 18. Типове градска тъкан в столицата София</w:t>
        </w:r>
        <w:r w:rsidR="00D325A0">
          <w:rPr>
            <w:noProof/>
            <w:webHidden/>
          </w:rPr>
          <w:tab/>
        </w:r>
        <w:r w:rsidR="00D325A0">
          <w:rPr>
            <w:noProof/>
            <w:webHidden/>
          </w:rPr>
          <w:fldChar w:fldCharType="begin"/>
        </w:r>
        <w:r w:rsidR="00D325A0">
          <w:rPr>
            <w:noProof/>
            <w:webHidden/>
          </w:rPr>
          <w:instrText xml:space="preserve"> PAGEREF _Toc529286568 \h </w:instrText>
        </w:r>
        <w:r w:rsidR="00D325A0">
          <w:rPr>
            <w:noProof/>
            <w:webHidden/>
          </w:rPr>
        </w:r>
        <w:r w:rsidR="00D325A0">
          <w:rPr>
            <w:noProof/>
            <w:webHidden/>
          </w:rPr>
          <w:fldChar w:fldCharType="separate"/>
        </w:r>
        <w:r w:rsidR="00D325A0">
          <w:rPr>
            <w:noProof/>
            <w:webHidden/>
          </w:rPr>
          <w:t>130</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569" w:history="1">
        <w:r w:rsidR="00D325A0" w:rsidRPr="00BF5242">
          <w:rPr>
            <w:rStyle w:val="Hyperlink"/>
            <w:noProof/>
          </w:rPr>
          <w:t>Фигура 19. Приоритизиране на мерките за адаптиране в сектор градска среда (общ НС ефект в млн. евро)</w:t>
        </w:r>
        <w:r w:rsidR="00D325A0">
          <w:rPr>
            <w:noProof/>
            <w:webHidden/>
          </w:rPr>
          <w:tab/>
        </w:r>
        <w:r w:rsidR="00D325A0">
          <w:rPr>
            <w:noProof/>
            <w:webHidden/>
          </w:rPr>
          <w:fldChar w:fldCharType="begin"/>
        </w:r>
        <w:r w:rsidR="00D325A0">
          <w:rPr>
            <w:noProof/>
            <w:webHidden/>
          </w:rPr>
          <w:instrText xml:space="preserve"> PAGEREF _Toc529286569 \h </w:instrText>
        </w:r>
        <w:r w:rsidR="00D325A0">
          <w:rPr>
            <w:noProof/>
            <w:webHidden/>
          </w:rPr>
        </w:r>
        <w:r w:rsidR="00D325A0">
          <w:rPr>
            <w:noProof/>
            <w:webHidden/>
          </w:rPr>
          <w:fldChar w:fldCharType="separate"/>
        </w:r>
        <w:r w:rsidR="00D325A0">
          <w:rPr>
            <w:noProof/>
            <w:webHidden/>
          </w:rPr>
          <w:t>146</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570" w:history="1">
        <w:r w:rsidR="00D325A0" w:rsidRPr="00BF5242">
          <w:rPr>
            <w:rStyle w:val="Hyperlink"/>
            <w:noProof/>
          </w:rPr>
          <w:t>Фигура  20. Приоритизиране на мерките за адаптиране в сектор „Градска среда“  (Общ ННС ефект в млн. евро)</w:t>
        </w:r>
        <w:r w:rsidR="00D325A0">
          <w:rPr>
            <w:noProof/>
            <w:webHidden/>
          </w:rPr>
          <w:tab/>
        </w:r>
        <w:r w:rsidR="00D325A0">
          <w:rPr>
            <w:noProof/>
            <w:webHidden/>
          </w:rPr>
          <w:fldChar w:fldCharType="begin"/>
        </w:r>
        <w:r w:rsidR="00D325A0">
          <w:rPr>
            <w:noProof/>
            <w:webHidden/>
          </w:rPr>
          <w:instrText xml:space="preserve"> PAGEREF _Toc529286570 \h </w:instrText>
        </w:r>
        <w:r w:rsidR="00D325A0">
          <w:rPr>
            <w:noProof/>
            <w:webHidden/>
          </w:rPr>
        </w:r>
        <w:r w:rsidR="00D325A0">
          <w:rPr>
            <w:noProof/>
            <w:webHidden/>
          </w:rPr>
          <w:fldChar w:fldCharType="separate"/>
        </w:r>
        <w:r w:rsidR="00D325A0">
          <w:rPr>
            <w:noProof/>
            <w:webHidden/>
          </w:rPr>
          <w:t>186</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571" w:history="1">
        <w:r w:rsidR="00D325A0" w:rsidRPr="00BF5242">
          <w:rPr>
            <w:rStyle w:val="Hyperlink"/>
            <w:noProof/>
          </w:rPr>
          <w:t>Фигура 21. Местоположение на градове, групирани по големина</w:t>
        </w:r>
        <w:r w:rsidR="00D325A0">
          <w:rPr>
            <w:noProof/>
            <w:webHidden/>
          </w:rPr>
          <w:tab/>
        </w:r>
        <w:r w:rsidR="00D325A0">
          <w:rPr>
            <w:noProof/>
            <w:webHidden/>
          </w:rPr>
          <w:fldChar w:fldCharType="begin"/>
        </w:r>
        <w:r w:rsidR="00D325A0">
          <w:rPr>
            <w:noProof/>
            <w:webHidden/>
          </w:rPr>
          <w:instrText xml:space="preserve"> PAGEREF _Toc529286571 \h </w:instrText>
        </w:r>
        <w:r w:rsidR="00D325A0">
          <w:rPr>
            <w:noProof/>
            <w:webHidden/>
          </w:rPr>
        </w:r>
        <w:r w:rsidR="00D325A0">
          <w:rPr>
            <w:noProof/>
            <w:webHidden/>
          </w:rPr>
          <w:fldChar w:fldCharType="separate"/>
        </w:r>
        <w:r w:rsidR="00D325A0">
          <w:rPr>
            <w:noProof/>
            <w:webHidden/>
          </w:rPr>
          <w:t>187</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572" w:history="1">
        <w:r w:rsidR="00D325A0" w:rsidRPr="00BF5242">
          <w:rPr>
            <w:rStyle w:val="Hyperlink"/>
            <w:noProof/>
          </w:rPr>
          <w:t>Фигура 22. Местоположение на болници. Райони на обслужване</w:t>
        </w:r>
        <w:r w:rsidR="00D325A0">
          <w:rPr>
            <w:noProof/>
            <w:webHidden/>
          </w:rPr>
          <w:tab/>
        </w:r>
        <w:r w:rsidR="00D325A0">
          <w:rPr>
            <w:noProof/>
            <w:webHidden/>
          </w:rPr>
          <w:fldChar w:fldCharType="begin"/>
        </w:r>
        <w:r w:rsidR="00D325A0">
          <w:rPr>
            <w:noProof/>
            <w:webHidden/>
          </w:rPr>
          <w:instrText xml:space="preserve"> PAGEREF _Toc529286572 \h </w:instrText>
        </w:r>
        <w:r w:rsidR="00D325A0">
          <w:rPr>
            <w:noProof/>
            <w:webHidden/>
          </w:rPr>
        </w:r>
        <w:r w:rsidR="00D325A0">
          <w:rPr>
            <w:noProof/>
            <w:webHidden/>
          </w:rPr>
          <w:fldChar w:fldCharType="separate"/>
        </w:r>
        <w:r w:rsidR="00D325A0">
          <w:rPr>
            <w:noProof/>
            <w:webHidden/>
          </w:rPr>
          <w:t>188</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573" w:history="1">
        <w:r w:rsidR="00D325A0" w:rsidRPr="00BF5242">
          <w:rPr>
            <w:rStyle w:val="Hyperlink"/>
            <w:noProof/>
          </w:rPr>
          <w:t>Фигура 23. Местоположение на центрове за спешна медицинска помощ. Райони на обслужване</w:t>
        </w:r>
        <w:r w:rsidR="00D325A0">
          <w:rPr>
            <w:noProof/>
            <w:webHidden/>
          </w:rPr>
          <w:tab/>
        </w:r>
        <w:r w:rsidR="00D325A0">
          <w:rPr>
            <w:noProof/>
            <w:webHidden/>
          </w:rPr>
          <w:fldChar w:fldCharType="begin"/>
        </w:r>
        <w:r w:rsidR="00D325A0">
          <w:rPr>
            <w:noProof/>
            <w:webHidden/>
          </w:rPr>
          <w:instrText xml:space="preserve"> PAGEREF _Toc529286573 \h </w:instrText>
        </w:r>
        <w:r w:rsidR="00D325A0">
          <w:rPr>
            <w:noProof/>
            <w:webHidden/>
          </w:rPr>
        </w:r>
        <w:r w:rsidR="00D325A0">
          <w:rPr>
            <w:noProof/>
            <w:webHidden/>
          </w:rPr>
          <w:fldChar w:fldCharType="separate"/>
        </w:r>
        <w:r w:rsidR="00D325A0">
          <w:rPr>
            <w:noProof/>
            <w:webHidden/>
          </w:rPr>
          <w:t>189</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574" w:history="1">
        <w:r w:rsidR="00D325A0" w:rsidRPr="00BF5242">
          <w:rPr>
            <w:rStyle w:val="Hyperlink"/>
            <w:noProof/>
          </w:rPr>
          <w:t>Фигура 24. Местоположение на полицейски управления. Райони на обслужване</w:t>
        </w:r>
        <w:r w:rsidR="00D325A0">
          <w:rPr>
            <w:noProof/>
            <w:webHidden/>
          </w:rPr>
          <w:tab/>
        </w:r>
        <w:r w:rsidR="00D325A0">
          <w:rPr>
            <w:noProof/>
            <w:webHidden/>
          </w:rPr>
          <w:fldChar w:fldCharType="begin"/>
        </w:r>
        <w:r w:rsidR="00D325A0">
          <w:rPr>
            <w:noProof/>
            <w:webHidden/>
          </w:rPr>
          <w:instrText xml:space="preserve"> PAGEREF _Toc529286574 \h </w:instrText>
        </w:r>
        <w:r w:rsidR="00D325A0">
          <w:rPr>
            <w:noProof/>
            <w:webHidden/>
          </w:rPr>
        </w:r>
        <w:r w:rsidR="00D325A0">
          <w:rPr>
            <w:noProof/>
            <w:webHidden/>
          </w:rPr>
          <w:fldChar w:fldCharType="separate"/>
        </w:r>
        <w:r w:rsidR="00D325A0">
          <w:rPr>
            <w:noProof/>
            <w:webHidden/>
          </w:rPr>
          <w:t>190</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575" w:history="1">
        <w:r w:rsidR="00D325A0" w:rsidRPr="00BF5242">
          <w:rPr>
            <w:rStyle w:val="Hyperlink"/>
            <w:noProof/>
          </w:rPr>
          <w:t>Фигура 25. Местоположение на пожарни. Райони на обслужване</w:t>
        </w:r>
        <w:r w:rsidR="00D325A0">
          <w:rPr>
            <w:noProof/>
            <w:webHidden/>
          </w:rPr>
          <w:tab/>
        </w:r>
        <w:r w:rsidR="00D325A0">
          <w:rPr>
            <w:noProof/>
            <w:webHidden/>
          </w:rPr>
          <w:fldChar w:fldCharType="begin"/>
        </w:r>
        <w:r w:rsidR="00D325A0">
          <w:rPr>
            <w:noProof/>
            <w:webHidden/>
          </w:rPr>
          <w:instrText xml:space="preserve"> PAGEREF _Toc529286575 \h </w:instrText>
        </w:r>
        <w:r w:rsidR="00D325A0">
          <w:rPr>
            <w:noProof/>
            <w:webHidden/>
          </w:rPr>
        </w:r>
        <w:r w:rsidR="00D325A0">
          <w:rPr>
            <w:noProof/>
            <w:webHidden/>
          </w:rPr>
          <w:fldChar w:fldCharType="separate"/>
        </w:r>
        <w:r w:rsidR="00D325A0">
          <w:rPr>
            <w:noProof/>
            <w:webHidden/>
          </w:rPr>
          <w:t>191</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576" w:history="1">
        <w:r w:rsidR="00D325A0" w:rsidRPr="00BF5242">
          <w:rPr>
            <w:rStyle w:val="Hyperlink"/>
            <w:noProof/>
          </w:rPr>
          <w:t>Фигура 26. Местоположения на служби и услуги по типове градове</w:t>
        </w:r>
        <w:r w:rsidR="00D325A0">
          <w:rPr>
            <w:noProof/>
            <w:webHidden/>
          </w:rPr>
          <w:tab/>
        </w:r>
        <w:r w:rsidR="00D325A0">
          <w:rPr>
            <w:noProof/>
            <w:webHidden/>
          </w:rPr>
          <w:fldChar w:fldCharType="begin"/>
        </w:r>
        <w:r w:rsidR="00D325A0">
          <w:rPr>
            <w:noProof/>
            <w:webHidden/>
          </w:rPr>
          <w:instrText xml:space="preserve"> PAGEREF _Toc529286576 \h </w:instrText>
        </w:r>
        <w:r w:rsidR="00D325A0">
          <w:rPr>
            <w:noProof/>
            <w:webHidden/>
          </w:rPr>
        </w:r>
        <w:r w:rsidR="00D325A0">
          <w:rPr>
            <w:noProof/>
            <w:webHidden/>
          </w:rPr>
          <w:fldChar w:fldCharType="separate"/>
        </w:r>
        <w:r w:rsidR="00D325A0">
          <w:rPr>
            <w:noProof/>
            <w:webHidden/>
          </w:rPr>
          <w:t>199</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577" w:history="1">
        <w:r w:rsidR="00D325A0" w:rsidRPr="00BF5242">
          <w:rPr>
            <w:rStyle w:val="Hyperlink"/>
            <w:noProof/>
          </w:rPr>
          <w:t>Фигура 27. Общини с населени места с недостиг на вода през последните 3 години</w:t>
        </w:r>
        <w:r w:rsidR="00D325A0">
          <w:rPr>
            <w:noProof/>
            <w:webHidden/>
          </w:rPr>
          <w:tab/>
        </w:r>
        <w:r w:rsidR="00D325A0">
          <w:rPr>
            <w:noProof/>
            <w:webHidden/>
          </w:rPr>
          <w:fldChar w:fldCharType="begin"/>
        </w:r>
        <w:r w:rsidR="00D325A0">
          <w:rPr>
            <w:noProof/>
            <w:webHidden/>
          </w:rPr>
          <w:instrText xml:space="preserve"> PAGEREF _Toc529286577 \h </w:instrText>
        </w:r>
        <w:r w:rsidR="00D325A0">
          <w:rPr>
            <w:noProof/>
            <w:webHidden/>
          </w:rPr>
        </w:r>
        <w:r w:rsidR="00D325A0">
          <w:rPr>
            <w:noProof/>
            <w:webHidden/>
          </w:rPr>
          <w:fldChar w:fldCharType="separate"/>
        </w:r>
        <w:r w:rsidR="00D325A0">
          <w:rPr>
            <w:noProof/>
            <w:webHidden/>
          </w:rPr>
          <w:t>200</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578" w:history="1">
        <w:r w:rsidR="00D325A0" w:rsidRPr="00BF5242">
          <w:rPr>
            <w:rStyle w:val="Hyperlink"/>
            <w:noProof/>
          </w:rPr>
          <w:t>Фигура 28. Произведена продукция в строителния сектор  – данни за тримесечие, индекс на производството по обем, производствен индекс, 2010 г. = 100</w:t>
        </w:r>
        <w:r w:rsidR="00D325A0">
          <w:rPr>
            <w:noProof/>
            <w:webHidden/>
          </w:rPr>
          <w:tab/>
        </w:r>
        <w:r w:rsidR="00D325A0">
          <w:rPr>
            <w:noProof/>
            <w:webHidden/>
          </w:rPr>
          <w:fldChar w:fldCharType="begin"/>
        </w:r>
        <w:r w:rsidR="00D325A0">
          <w:rPr>
            <w:noProof/>
            <w:webHidden/>
          </w:rPr>
          <w:instrText xml:space="preserve"> PAGEREF _Toc529286578 \h </w:instrText>
        </w:r>
        <w:r w:rsidR="00D325A0">
          <w:rPr>
            <w:noProof/>
            <w:webHidden/>
          </w:rPr>
        </w:r>
        <w:r w:rsidR="00D325A0">
          <w:rPr>
            <w:noProof/>
            <w:webHidden/>
          </w:rPr>
          <w:fldChar w:fldCharType="separate"/>
        </w:r>
        <w:r w:rsidR="00D325A0">
          <w:rPr>
            <w:noProof/>
            <w:webHidden/>
          </w:rPr>
          <w:t>201</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579" w:history="1">
        <w:r w:rsidR="00D325A0" w:rsidRPr="00BF5242">
          <w:rPr>
            <w:rStyle w:val="Hyperlink"/>
            <w:noProof/>
          </w:rPr>
          <w:t>Фигура 29. Производство Произведена продукция в строителния сектор – годишни данни, индекс на производството по обем, производствен индекс, 2010 г. = 100</w:t>
        </w:r>
        <w:r w:rsidR="00D325A0">
          <w:rPr>
            <w:noProof/>
            <w:webHidden/>
          </w:rPr>
          <w:tab/>
        </w:r>
        <w:r w:rsidR="00D325A0">
          <w:rPr>
            <w:noProof/>
            <w:webHidden/>
          </w:rPr>
          <w:fldChar w:fldCharType="begin"/>
        </w:r>
        <w:r w:rsidR="00D325A0">
          <w:rPr>
            <w:noProof/>
            <w:webHidden/>
          </w:rPr>
          <w:instrText xml:space="preserve"> PAGEREF _Toc529286579 \h </w:instrText>
        </w:r>
        <w:r w:rsidR="00D325A0">
          <w:rPr>
            <w:noProof/>
            <w:webHidden/>
          </w:rPr>
        </w:r>
        <w:r w:rsidR="00D325A0">
          <w:rPr>
            <w:noProof/>
            <w:webHidden/>
          </w:rPr>
          <w:fldChar w:fldCharType="separate"/>
        </w:r>
        <w:r w:rsidR="00D325A0">
          <w:rPr>
            <w:noProof/>
            <w:webHidden/>
          </w:rPr>
          <w:t>201</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580" w:history="1">
        <w:r w:rsidR="00D325A0" w:rsidRPr="00BF5242">
          <w:rPr>
            <w:rStyle w:val="Hyperlink"/>
            <w:noProof/>
          </w:rPr>
          <w:t>Фигура 30. Произведена продукция  в строителния сектор (общо, сгради, строителство на съоръжения) – годишни данни, индекс на производството по обем, производствен индекс, 2010 г. = 100</w:t>
        </w:r>
        <w:r w:rsidR="00D325A0">
          <w:rPr>
            <w:noProof/>
            <w:webHidden/>
          </w:rPr>
          <w:tab/>
        </w:r>
        <w:r w:rsidR="00D325A0">
          <w:rPr>
            <w:noProof/>
            <w:webHidden/>
          </w:rPr>
          <w:fldChar w:fldCharType="begin"/>
        </w:r>
        <w:r w:rsidR="00D325A0">
          <w:rPr>
            <w:noProof/>
            <w:webHidden/>
          </w:rPr>
          <w:instrText xml:space="preserve"> PAGEREF _Toc529286580 \h </w:instrText>
        </w:r>
        <w:r w:rsidR="00D325A0">
          <w:rPr>
            <w:noProof/>
            <w:webHidden/>
          </w:rPr>
        </w:r>
        <w:r w:rsidR="00D325A0">
          <w:rPr>
            <w:noProof/>
            <w:webHidden/>
          </w:rPr>
          <w:fldChar w:fldCharType="separate"/>
        </w:r>
        <w:r w:rsidR="00D325A0">
          <w:rPr>
            <w:noProof/>
            <w:webHidden/>
          </w:rPr>
          <w:t>202</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581" w:history="1">
        <w:r w:rsidR="00D325A0" w:rsidRPr="00BF5242">
          <w:rPr>
            <w:rStyle w:val="Hyperlink"/>
            <w:noProof/>
          </w:rPr>
          <w:t>Фигура 31. Произведена продукция  в строителния сектор в България (общо, сгради, строителство на съоръжения) – годишни данни, индекс на производството по обем, производствен индекс, 2010 г. = 100</w:t>
        </w:r>
        <w:r w:rsidR="00D325A0">
          <w:rPr>
            <w:noProof/>
            <w:webHidden/>
          </w:rPr>
          <w:tab/>
        </w:r>
        <w:r w:rsidR="00D325A0">
          <w:rPr>
            <w:noProof/>
            <w:webHidden/>
          </w:rPr>
          <w:fldChar w:fldCharType="begin"/>
        </w:r>
        <w:r w:rsidR="00D325A0">
          <w:rPr>
            <w:noProof/>
            <w:webHidden/>
          </w:rPr>
          <w:instrText xml:space="preserve"> PAGEREF _Toc529286581 \h </w:instrText>
        </w:r>
        <w:r w:rsidR="00D325A0">
          <w:rPr>
            <w:noProof/>
            <w:webHidden/>
          </w:rPr>
        </w:r>
        <w:r w:rsidR="00D325A0">
          <w:rPr>
            <w:noProof/>
            <w:webHidden/>
          </w:rPr>
          <w:fldChar w:fldCharType="separate"/>
        </w:r>
        <w:r w:rsidR="00D325A0">
          <w:rPr>
            <w:noProof/>
            <w:webHidden/>
          </w:rPr>
          <w:t>202</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582" w:history="1">
        <w:r w:rsidR="00D325A0" w:rsidRPr="00BF5242">
          <w:rPr>
            <w:rStyle w:val="Hyperlink"/>
            <w:noProof/>
          </w:rPr>
          <w:t>Фигура 32. Кризисни събития и загуби през периода 2010–2015 г. – общо за държавата</w:t>
        </w:r>
        <w:r w:rsidR="00D325A0">
          <w:rPr>
            <w:noProof/>
            <w:webHidden/>
          </w:rPr>
          <w:tab/>
        </w:r>
        <w:r w:rsidR="00D325A0">
          <w:rPr>
            <w:noProof/>
            <w:webHidden/>
          </w:rPr>
          <w:fldChar w:fldCharType="begin"/>
        </w:r>
        <w:r w:rsidR="00D325A0">
          <w:rPr>
            <w:noProof/>
            <w:webHidden/>
          </w:rPr>
          <w:instrText xml:space="preserve"> PAGEREF _Toc529286582 \h </w:instrText>
        </w:r>
        <w:r w:rsidR="00D325A0">
          <w:rPr>
            <w:noProof/>
            <w:webHidden/>
          </w:rPr>
        </w:r>
        <w:r w:rsidR="00D325A0">
          <w:rPr>
            <w:noProof/>
            <w:webHidden/>
          </w:rPr>
          <w:fldChar w:fldCharType="separate"/>
        </w:r>
        <w:r w:rsidR="00D325A0">
          <w:rPr>
            <w:noProof/>
            <w:webHidden/>
          </w:rPr>
          <w:t>203</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583" w:history="1">
        <w:r w:rsidR="00D325A0" w:rsidRPr="00BF5242">
          <w:rPr>
            <w:rStyle w:val="Hyperlink"/>
            <w:noProof/>
          </w:rPr>
          <w:t>Фигура 33. Характеристики на наводненията – общо за страната за периода 2010–2015 г.</w:t>
        </w:r>
        <w:r w:rsidR="00D325A0">
          <w:rPr>
            <w:noProof/>
            <w:webHidden/>
          </w:rPr>
          <w:tab/>
        </w:r>
        <w:r w:rsidR="00D325A0">
          <w:rPr>
            <w:noProof/>
            <w:webHidden/>
          </w:rPr>
          <w:fldChar w:fldCharType="begin"/>
        </w:r>
        <w:r w:rsidR="00D325A0">
          <w:rPr>
            <w:noProof/>
            <w:webHidden/>
          </w:rPr>
          <w:instrText xml:space="preserve"> PAGEREF _Toc529286583 \h </w:instrText>
        </w:r>
        <w:r w:rsidR="00D325A0">
          <w:rPr>
            <w:noProof/>
            <w:webHidden/>
          </w:rPr>
        </w:r>
        <w:r w:rsidR="00D325A0">
          <w:rPr>
            <w:noProof/>
            <w:webHidden/>
          </w:rPr>
          <w:fldChar w:fldCharType="separate"/>
        </w:r>
        <w:r w:rsidR="00D325A0">
          <w:rPr>
            <w:noProof/>
            <w:webHidden/>
          </w:rPr>
          <w:t>205</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584" w:history="1">
        <w:r w:rsidR="00D325A0" w:rsidRPr="00BF5242">
          <w:rPr>
            <w:rStyle w:val="Hyperlink"/>
            <w:noProof/>
          </w:rPr>
          <w:t>Фигура 34. Характеристики на наводненията – по области:  обобщение за периода 2010– 2015 г.</w:t>
        </w:r>
        <w:r w:rsidR="00D325A0">
          <w:rPr>
            <w:noProof/>
            <w:webHidden/>
          </w:rPr>
          <w:tab/>
        </w:r>
        <w:r w:rsidR="00D325A0">
          <w:rPr>
            <w:noProof/>
            <w:webHidden/>
          </w:rPr>
          <w:fldChar w:fldCharType="begin"/>
        </w:r>
        <w:r w:rsidR="00D325A0">
          <w:rPr>
            <w:noProof/>
            <w:webHidden/>
          </w:rPr>
          <w:instrText xml:space="preserve"> PAGEREF _Toc529286584 \h </w:instrText>
        </w:r>
        <w:r w:rsidR="00D325A0">
          <w:rPr>
            <w:noProof/>
            <w:webHidden/>
          </w:rPr>
        </w:r>
        <w:r w:rsidR="00D325A0">
          <w:rPr>
            <w:noProof/>
            <w:webHidden/>
          </w:rPr>
          <w:fldChar w:fldCharType="separate"/>
        </w:r>
        <w:r w:rsidR="00D325A0">
          <w:rPr>
            <w:noProof/>
            <w:webHidden/>
          </w:rPr>
          <w:t>205</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585" w:history="1">
        <w:r w:rsidR="00D325A0" w:rsidRPr="00BF5242">
          <w:rPr>
            <w:rStyle w:val="Hyperlink"/>
            <w:noProof/>
          </w:rPr>
          <w:t>Фигура 35. Характеристики на свлачищата – общо за страната за периода 2010–2015 г.</w:t>
        </w:r>
        <w:r w:rsidR="00D325A0">
          <w:rPr>
            <w:noProof/>
            <w:webHidden/>
          </w:rPr>
          <w:tab/>
        </w:r>
        <w:r w:rsidR="00D325A0">
          <w:rPr>
            <w:noProof/>
            <w:webHidden/>
          </w:rPr>
          <w:fldChar w:fldCharType="begin"/>
        </w:r>
        <w:r w:rsidR="00D325A0">
          <w:rPr>
            <w:noProof/>
            <w:webHidden/>
          </w:rPr>
          <w:instrText xml:space="preserve"> PAGEREF _Toc529286585 \h </w:instrText>
        </w:r>
        <w:r w:rsidR="00D325A0">
          <w:rPr>
            <w:noProof/>
            <w:webHidden/>
          </w:rPr>
        </w:r>
        <w:r w:rsidR="00D325A0">
          <w:rPr>
            <w:noProof/>
            <w:webHidden/>
          </w:rPr>
          <w:fldChar w:fldCharType="separate"/>
        </w:r>
        <w:r w:rsidR="00D325A0">
          <w:rPr>
            <w:noProof/>
            <w:webHidden/>
          </w:rPr>
          <w:t>207</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586" w:history="1">
        <w:r w:rsidR="00D325A0" w:rsidRPr="00BF5242">
          <w:rPr>
            <w:rStyle w:val="Hyperlink"/>
            <w:noProof/>
          </w:rPr>
          <w:t>Фигура 36. Характеристики на свлачищата – по области:  обобщение за периода 2010–2015 г.</w:t>
        </w:r>
        <w:r w:rsidR="00D325A0">
          <w:rPr>
            <w:noProof/>
            <w:webHidden/>
          </w:rPr>
          <w:tab/>
        </w:r>
        <w:r w:rsidR="00D325A0">
          <w:rPr>
            <w:noProof/>
            <w:webHidden/>
          </w:rPr>
          <w:fldChar w:fldCharType="begin"/>
        </w:r>
        <w:r w:rsidR="00D325A0">
          <w:rPr>
            <w:noProof/>
            <w:webHidden/>
          </w:rPr>
          <w:instrText xml:space="preserve"> PAGEREF _Toc529286586 \h </w:instrText>
        </w:r>
        <w:r w:rsidR="00D325A0">
          <w:rPr>
            <w:noProof/>
            <w:webHidden/>
          </w:rPr>
        </w:r>
        <w:r w:rsidR="00D325A0">
          <w:rPr>
            <w:noProof/>
            <w:webHidden/>
          </w:rPr>
          <w:fldChar w:fldCharType="separate"/>
        </w:r>
        <w:r w:rsidR="00D325A0">
          <w:rPr>
            <w:noProof/>
            <w:webHidden/>
          </w:rPr>
          <w:t>207</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587" w:history="1">
        <w:r w:rsidR="00D325A0" w:rsidRPr="00BF5242">
          <w:rPr>
            <w:rStyle w:val="Hyperlink"/>
            <w:noProof/>
          </w:rPr>
          <w:t>Фигура 37. Характеристики на земетресенията –  общо за страната за периода 2010–2015 г.</w:t>
        </w:r>
        <w:r w:rsidR="00D325A0">
          <w:rPr>
            <w:noProof/>
            <w:webHidden/>
          </w:rPr>
          <w:tab/>
        </w:r>
        <w:r w:rsidR="00D325A0">
          <w:rPr>
            <w:noProof/>
            <w:webHidden/>
          </w:rPr>
          <w:fldChar w:fldCharType="begin"/>
        </w:r>
        <w:r w:rsidR="00D325A0">
          <w:rPr>
            <w:noProof/>
            <w:webHidden/>
          </w:rPr>
          <w:instrText xml:space="preserve"> PAGEREF _Toc529286587 \h </w:instrText>
        </w:r>
        <w:r w:rsidR="00D325A0">
          <w:rPr>
            <w:noProof/>
            <w:webHidden/>
          </w:rPr>
        </w:r>
        <w:r w:rsidR="00D325A0">
          <w:rPr>
            <w:noProof/>
            <w:webHidden/>
          </w:rPr>
          <w:fldChar w:fldCharType="separate"/>
        </w:r>
        <w:r w:rsidR="00D325A0">
          <w:rPr>
            <w:noProof/>
            <w:webHidden/>
          </w:rPr>
          <w:t>210</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588" w:history="1">
        <w:r w:rsidR="00D325A0" w:rsidRPr="00BF5242">
          <w:rPr>
            <w:rStyle w:val="Hyperlink"/>
            <w:noProof/>
          </w:rPr>
          <w:t>Фигура 38. Характеристики на земетресенията – по области:  обобщение за периода 2010–2015 г.</w:t>
        </w:r>
        <w:r w:rsidR="00D325A0">
          <w:rPr>
            <w:noProof/>
            <w:webHidden/>
          </w:rPr>
          <w:tab/>
        </w:r>
        <w:r w:rsidR="00D325A0">
          <w:rPr>
            <w:noProof/>
            <w:webHidden/>
          </w:rPr>
          <w:fldChar w:fldCharType="begin"/>
        </w:r>
        <w:r w:rsidR="00D325A0">
          <w:rPr>
            <w:noProof/>
            <w:webHidden/>
          </w:rPr>
          <w:instrText xml:space="preserve"> PAGEREF _Toc529286588 \h </w:instrText>
        </w:r>
        <w:r w:rsidR="00D325A0">
          <w:rPr>
            <w:noProof/>
            <w:webHidden/>
          </w:rPr>
        </w:r>
        <w:r w:rsidR="00D325A0">
          <w:rPr>
            <w:noProof/>
            <w:webHidden/>
          </w:rPr>
          <w:fldChar w:fldCharType="separate"/>
        </w:r>
        <w:r w:rsidR="00D325A0">
          <w:rPr>
            <w:noProof/>
            <w:webHidden/>
          </w:rPr>
          <w:t>210</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589" w:history="1">
        <w:r w:rsidR="00D325A0" w:rsidRPr="00BF5242">
          <w:rPr>
            <w:rStyle w:val="Hyperlink"/>
            <w:noProof/>
          </w:rPr>
          <w:t>Фигура 39. Сеизмични рискове/характеристики за страната</w:t>
        </w:r>
        <w:r w:rsidR="00D325A0">
          <w:rPr>
            <w:noProof/>
            <w:webHidden/>
          </w:rPr>
          <w:tab/>
        </w:r>
        <w:r w:rsidR="00D325A0">
          <w:rPr>
            <w:noProof/>
            <w:webHidden/>
          </w:rPr>
          <w:fldChar w:fldCharType="begin"/>
        </w:r>
        <w:r w:rsidR="00D325A0">
          <w:rPr>
            <w:noProof/>
            <w:webHidden/>
          </w:rPr>
          <w:instrText xml:space="preserve"> PAGEREF _Toc529286589 \h </w:instrText>
        </w:r>
        <w:r w:rsidR="00D325A0">
          <w:rPr>
            <w:noProof/>
            <w:webHidden/>
          </w:rPr>
        </w:r>
        <w:r w:rsidR="00D325A0">
          <w:rPr>
            <w:noProof/>
            <w:webHidden/>
          </w:rPr>
          <w:fldChar w:fldCharType="separate"/>
        </w:r>
        <w:r w:rsidR="00D325A0">
          <w:rPr>
            <w:noProof/>
            <w:webHidden/>
          </w:rPr>
          <w:t>211</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590" w:history="1">
        <w:r w:rsidR="00D325A0" w:rsidRPr="00BF5242">
          <w:rPr>
            <w:rStyle w:val="Hyperlink"/>
            <w:noProof/>
          </w:rPr>
          <w:t>Фигура 40. Характеристики на пожарите – общо за страната за периода 2010–2015 г.</w:t>
        </w:r>
        <w:r w:rsidR="00D325A0">
          <w:rPr>
            <w:noProof/>
            <w:webHidden/>
          </w:rPr>
          <w:tab/>
        </w:r>
        <w:r w:rsidR="00D325A0">
          <w:rPr>
            <w:noProof/>
            <w:webHidden/>
          </w:rPr>
          <w:fldChar w:fldCharType="begin"/>
        </w:r>
        <w:r w:rsidR="00D325A0">
          <w:rPr>
            <w:noProof/>
            <w:webHidden/>
          </w:rPr>
          <w:instrText xml:space="preserve"> PAGEREF _Toc529286590 \h </w:instrText>
        </w:r>
        <w:r w:rsidR="00D325A0">
          <w:rPr>
            <w:noProof/>
            <w:webHidden/>
          </w:rPr>
        </w:r>
        <w:r w:rsidR="00D325A0">
          <w:rPr>
            <w:noProof/>
            <w:webHidden/>
          </w:rPr>
          <w:fldChar w:fldCharType="separate"/>
        </w:r>
        <w:r w:rsidR="00D325A0">
          <w:rPr>
            <w:noProof/>
            <w:webHidden/>
          </w:rPr>
          <w:t>213</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591" w:history="1">
        <w:r w:rsidR="00D325A0" w:rsidRPr="00BF5242">
          <w:rPr>
            <w:rStyle w:val="Hyperlink"/>
            <w:noProof/>
          </w:rPr>
          <w:t>Фигура 41. Характеристики на пожарите – по области:  обобщение за периода 2010–2015 г.</w:t>
        </w:r>
        <w:r w:rsidR="00D325A0">
          <w:rPr>
            <w:noProof/>
            <w:webHidden/>
          </w:rPr>
          <w:tab/>
        </w:r>
        <w:r w:rsidR="00D325A0">
          <w:rPr>
            <w:noProof/>
            <w:webHidden/>
          </w:rPr>
          <w:fldChar w:fldCharType="begin"/>
        </w:r>
        <w:r w:rsidR="00D325A0">
          <w:rPr>
            <w:noProof/>
            <w:webHidden/>
          </w:rPr>
          <w:instrText xml:space="preserve"> PAGEREF _Toc529286591 \h </w:instrText>
        </w:r>
        <w:r w:rsidR="00D325A0">
          <w:rPr>
            <w:noProof/>
            <w:webHidden/>
          </w:rPr>
        </w:r>
        <w:r w:rsidR="00D325A0">
          <w:rPr>
            <w:noProof/>
            <w:webHidden/>
          </w:rPr>
          <w:fldChar w:fldCharType="separate"/>
        </w:r>
        <w:r w:rsidR="00D325A0">
          <w:rPr>
            <w:noProof/>
            <w:webHidden/>
          </w:rPr>
          <w:t>213</w:t>
        </w:r>
        <w:r w:rsidR="00D325A0">
          <w:rPr>
            <w:noProof/>
            <w:webHidden/>
          </w:rPr>
          <w:fldChar w:fldCharType="end"/>
        </w:r>
      </w:hyperlink>
    </w:p>
    <w:p w:rsidR="00D325A0" w:rsidRDefault="00D325A0" w:rsidP="00B73D7E">
      <w:pPr>
        <w:spacing w:after="0"/>
        <w:rPr>
          <w:b/>
          <w:color w:val="365F91"/>
          <w:sz w:val="32"/>
          <w:szCs w:val="32"/>
        </w:rPr>
      </w:pPr>
      <w:r>
        <w:rPr>
          <w:b/>
          <w:color w:val="365F91"/>
          <w:sz w:val="32"/>
          <w:szCs w:val="32"/>
        </w:rPr>
        <w:fldChar w:fldCharType="end"/>
      </w:r>
    </w:p>
    <w:p w:rsidR="00AA4661" w:rsidRPr="00B73D7E" w:rsidRDefault="00AA4661" w:rsidP="00B73D7E">
      <w:pPr>
        <w:pStyle w:val="TableofFigures"/>
        <w:tabs>
          <w:tab w:val="right" w:leader="dot" w:pos="9074"/>
        </w:tabs>
        <w:rPr>
          <w:rFonts w:ascii="Calibri" w:hAnsi="Calibri"/>
          <w:b/>
          <w:color w:val="2F5496"/>
          <w:sz w:val="32"/>
          <w:szCs w:val="32"/>
        </w:rPr>
      </w:pPr>
      <w:r w:rsidRPr="00B73D7E">
        <w:rPr>
          <w:rFonts w:ascii="Calibri" w:hAnsi="Calibri"/>
          <w:b/>
          <w:color w:val="2F5496"/>
          <w:sz w:val="32"/>
          <w:szCs w:val="32"/>
        </w:rPr>
        <w:t>Списък на таблици</w:t>
      </w:r>
    </w:p>
    <w:p w:rsidR="00D325A0" w:rsidRDefault="00AA4661">
      <w:pPr>
        <w:pStyle w:val="TableofFigures"/>
        <w:tabs>
          <w:tab w:val="right" w:leader="dot" w:pos="9074"/>
        </w:tabs>
        <w:rPr>
          <w:rFonts w:asciiTheme="minorHAnsi" w:eastAsiaTheme="minorEastAsia" w:hAnsiTheme="minorHAnsi" w:cstheme="minorBidi"/>
          <w:noProof/>
          <w:lang w:val="en-US"/>
        </w:rPr>
      </w:pPr>
      <w:r w:rsidRPr="00F8728A">
        <w:rPr>
          <w:b/>
          <w:color w:val="365F91"/>
          <w:sz w:val="32"/>
          <w:szCs w:val="32"/>
        </w:rPr>
        <w:fldChar w:fldCharType="begin"/>
      </w:r>
      <w:r w:rsidRPr="00F8728A">
        <w:rPr>
          <w:b/>
          <w:color w:val="365F91"/>
          <w:sz w:val="32"/>
          <w:szCs w:val="32"/>
        </w:rPr>
        <w:instrText xml:space="preserve"> TOC \h \z \c "Table" </w:instrText>
      </w:r>
      <w:r w:rsidRPr="00F8728A">
        <w:rPr>
          <w:b/>
          <w:color w:val="365F91"/>
          <w:sz w:val="32"/>
          <w:szCs w:val="32"/>
        </w:rPr>
        <w:fldChar w:fldCharType="separate"/>
      </w:r>
      <w:hyperlink w:anchor="_Toc529286628" w:history="1">
        <w:r w:rsidR="00D325A0" w:rsidRPr="00F93DFB">
          <w:rPr>
            <w:rStyle w:val="Hyperlink"/>
            <w:noProof/>
          </w:rPr>
          <w:t>Таблица 1. Размер на градовете според населението (2016 г.)</w:t>
        </w:r>
        <w:r w:rsidR="00D325A0">
          <w:rPr>
            <w:noProof/>
            <w:webHidden/>
          </w:rPr>
          <w:tab/>
        </w:r>
        <w:r w:rsidR="00D325A0">
          <w:rPr>
            <w:noProof/>
            <w:webHidden/>
          </w:rPr>
          <w:fldChar w:fldCharType="begin"/>
        </w:r>
        <w:r w:rsidR="00D325A0">
          <w:rPr>
            <w:noProof/>
            <w:webHidden/>
          </w:rPr>
          <w:instrText xml:space="preserve"> PAGEREF _Toc529286628 \h </w:instrText>
        </w:r>
        <w:r w:rsidR="00D325A0">
          <w:rPr>
            <w:noProof/>
            <w:webHidden/>
          </w:rPr>
        </w:r>
        <w:r w:rsidR="00D325A0">
          <w:rPr>
            <w:noProof/>
            <w:webHidden/>
          </w:rPr>
          <w:fldChar w:fldCharType="separate"/>
        </w:r>
        <w:r w:rsidR="00D325A0">
          <w:rPr>
            <w:noProof/>
            <w:webHidden/>
          </w:rPr>
          <w:t>11</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629" w:history="1">
        <w:r w:rsidR="00D325A0" w:rsidRPr="00F93DFB">
          <w:rPr>
            <w:rStyle w:val="Hyperlink"/>
            <w:noProof/>
          </w:rPr>
          <w:t>Таблица 2. Промяна в населението в шестте големи града (2001–2016 г.)</w:t>
        </w:r>
        <w:r w:rsidR="00D325A0">
          <w:rPr>
            <w:noProof/>
            <w:webHidden/>
          </w:rPr>
          <w:tab/>
        </w:r>
        <w:r w:rsidR="00D325A0">
          <w:rPr>
            <w:noProof/>
            <w:webHidden/>
          </w:rPr>
          <w:fldChar w:fldCharType="begin"/>
        </w:r>
        <w:r w:rsidR="00D325A0">
          <w:rPr>
            <w:noProof/>
            <w:webHidden/>
          </w:rPr>
          <w:instrText xml:space="preserve"> PAGEREF _Toc529286629 \h </w:instrText>
        </w:r>
        <w:r w:rsidR="00D325A0">
          <w:rPr>
            <w:noProof/>
            <w:webHidden/>
          </w:rPr>
        </w:r>
        <w:r w:rsidR="00D325A0">
          <w:rPr>
            <w:noProof/>
            <w:webHidden/>
          </w:rPr>
          <w:fldChar w:fldCharType="separate"/>
        </w:r>
        <w:r w:rsidR="00D325A0">
          <w:rPr>
            <w:noProof/>
            <w:webHidden/>
          </w:rPr>
          <w:t>12</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630" w:history="1">
        <w:r w:rsidR="00D325A0" w:rsidRPr="00F93DFB">
          <w:rPr>
            <w:rStyle w:val="Hyperlink"/>
            <w:noProof/>
          </w:rPr>
          <w:t>Таблица 3. Прогнози за населението</w:t>
        </w:r>
        <w:r w:rsidR="00D325A0">
          <w:rPr>
            <w:noProof/>
            <w:webHidden/>
          </w:rPr>
          <w:tab/>
        </w:r>
        <w:r w:rsidR="00D325A0">
          <w:rPr>
            <w:noProof/>
            <w:webHidden/>
          </w:rPr>
          <w:fldChar w:fldCharType="begin"/>
        </w:r>
        <w:r w:rsidR="00D325A0">
          <w:rPr>
            <w:noProof/>
            <w:webHidden/>
          </w:rPr>
          <w:instrText xml:space="preserve"> PAGEREF _Toc529286630 \h </w:instrText>
        </w:r>
        <w:r w:rsidR="00D325A0">
          <w:rPr>
            <w:noProof/>
            <w:webHidden/>
          </w:rPr>
        </w:r>
        <w:r w:rsidR="00D325A0">
          <w:rPr>
            <w:noProof/>
            <w:webHidden/>
          </w:rPr>
          <w:fldChar w:fldCharType="separate"/>
        </w:r>
        <w:r w:rsidR="00D325A0">
          <w:rPr>
            <w:noProof/>
            <w:webHidden/>
          </w:rPr>
          <w:t>13</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631" w:history="1">
        <w:r w:rsidR="00D325A0" w:rsidRPr="00F93DFB">
          <w:rPr>
            <w:rStyle w:val="Hyperlink"/>
            <w:noProof/>
          </w:rPr>
          <w:t>Таблица 4. Градове по вид местоположение и население</w:t>
        </w:r>
        <w:r w:rsidR="00D325A0">
          <w:rPr>
            <w:noProof/>
            <w:webHidden/>
          </w:rPr>
          <w:tab/>
        </w:r>
        <w:r w:rsidR="00D325A0">
          <w:rPr>
            <w:noProof/>
            <w:webHidden/>
          </w:rPr>
          <w:fldChar w:fldCharType="begin"/>
        </w:r>
        <w:r w:rsidR="00D325A0">
          <w:rPr>
            <w:noProof/>
            <w:webHidden/>
          </w:rPr>
          <w:instrText xml:space="preserve"> PAGEREF _Toc529286631 \h </w:instrText>
        </w:r>
        <w:r w:rsidR="00D325A0">
          <w:rPr>
            <w:noProof/>
            <w:webHidden/>
          </w:rPr>
        </w:r>
        <w:r w:rsidR="00D325A0">
          <w:rPr>
            <w:noProof/>
            <w:webHidden/>
          </w:rPr>
          <w:fldChar w:fldCharType="separate"/>
        </w:r>
        <w:r w:rsidR="00D325A0">
          <w:rPr>
            <w:noProof/>
            <w:webHidden/>
          </w:rPr>
          <w:t>14</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632" w:history="1">
        <w:r w:rsidR="00D325A0" w:rsidRPr="00F93DFB">
          <w:rPr>
            <w:rStyle w:val="Hyperlink"/>
            <w:noProof/>
          </w:rPr>
          <w:t>Таблица 5. Щети в България в резултат на кризисни събития в периода 2010–2015 г.</w:t>
        </w:r>
        <w:r w:rsidR="00D325A0">
          <w:rPr>
            <w:noProof/>
            <w:webHidden/>
          </w:rPr>
          <w:tab/>
        </w:r>
        <w:r w:rsidR="00D325A0">
          <w:rPr>
            <w:noProof/>
            <w:webHidden/>
          </w:rPr>
          <w:fldChar w:fldCharType="begin"/>
        </w:r>
        <w:r w:rsidR="00D325A0">
          <w:rPr>
            <w:noProof/>
            <w:webHidden/>
          </w:rPr>
          <w:instrText xml:space="preserve"> PAGEREF _Toc529286632 \h </w:instrText>
        </w:r>
        <w:r w:rsidR="00D325A0">
          <w:rPr>
            <w:noProof/>
            <w:webHidden/>
          </w:rPr>
        </w:r>
        <w:r w:rsidR="00D325A0">
          <w:rPr>
            <w:noProof/>
            <w:webHidden/>
          </w:rPr>
          <w:fldChar w:fldCharType="separate"/>
        </w:r>
        <w:r w:rsidR="00D325A0">
          <w:rPr>
            <w:noProof/>
            <w:webHidden/>
          </w:rPr>
          <w:t>32</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633" w:history="1">
        <w:r w:rsidR="00D325A0" w:rsidRPr="00F93DFB">
          <w:rPr>
            <w:rStyle w:val="Hyperlink"/>
            <w:noProof/>
          </w:rPr>
          <w:t>Таблица 6. Потенциални преки рискове и възможности за сектора на градската среда</w:t>
        </w:r>
        <w:r w:rsidR="00D325A0">
          <w:rPr>
            <w:noProof/>
            <w:webHidden/>
          </w:rPr>
          <w:tab/>
        </w:r>
        <w:r w:rsidR="00D325A0">
          <w:rPr>
            <w:noProof/>
            <w:webHidden/>
          </w:rPr>
          <w:fldChar w:fldCharType="begin"/>
        </w:r>
        <w:r w:rsidR="00D325A0">
          <w:rPr>
            <w:noProof/>
            <w:webHidden/>
          </w:rPr>
          <w:instrText xml:space="preserve"> PAGEREF _Toc529286633 \h </w:instrText>
        </w:r>
        <w:r w:rsidR="00D325A0">
          <w:rPr>
            <w:noProof/>
            <w:webHidden/>
          </w:rPr>
        </w:r>
        <w:r w:rsidR="00D325A0">
          <w:rPr>
            <w:noProof/>
            <w:webHidden/>
          </w:rPr>
          <w:fldChar w:fldCharType="separate"/>
        </w:r>
        <w:r w:rsidR="00D325A0">
          <w:rPr>
            <w:noProof/>
            <w:webHidden/>
          </w:rPr>
          <w:t>42</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634" w:history="1">
        <w:r w:rsidR="00D325A0" w:rsidRPr="00F93DFB">
          <w:rPr>
            <w:rStyle w:val="Hyperlink"/>
            <w:noProof/>
          </w:rPr>
          <w:t>Таблица 7. Сектор „Градска среда“</w:t>
        </w:r>
        <w:r w:rsidR="00D325A0">
          <w:rPr>
            <w:noProof/>
            <w:webHidden/>
          </w:rPr>
          <w:tab/>
        </w:r>
        <w:r w:rsidR="00D325A0">
          <w:rPr>
            <w:noProof/>
            <w:webHidden/>
          </w:rPr>
          <w:fldChar w:fldCharType="begin"/>
        </w:r>
        <w:r w:rsidR="00D325A0">
          <w:rPr>
            <w:noProof/>
            <w:webHidden/>
          </w:rPr>
          <w:instrText xml:space="preserve"> PAGEREF _Toc529286634 \h </w:instrText>
        </w:r>
        <w:r w:rsidR="00D325A0">
          <w:rPr>
            <w:noProof/>
            <w:webHidden/>
          </w:rPr>
        </w:r>
        <w:r w:rsidR="00D325A0">
          <w:rPr>
            <w:noProof/>
            <w:webHidden/>
          </w:rPr>
          <w:fldChar w:fldCharType="separate"/>
        </w:r>
        <w:r w:rsidR="00D325A0">
          <w:rPr>
            <w:noProof/>
            <w:webHidden/>
          </w:rPr>
          <w:t>55</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635" w:history="1">
        <w:r w:rsidR="00D325A0" w:rsidRPr="00F93DFB">
          <w:rPr>
            <w:rStyle w:val="Hyperlink"/>
            <w:noProof/>
          </w:rPr>
          <w:t>Таблица 8. Обновени обществени и държавни сгради (2015–2020 г.)</w:t>
        </w:r>
        <w:r w:rsidR="00D325A0">
          <w:rPr>
            <w:noProof/>
            <w:webHidden/>
          </w:rPr>
          <w:tab/>
        </w:r>
        <w:r w:rsidR="00D325A0">
          <w:rPr>
            <w:noProof/>
            <w:webHidden/>
          </w:rPr>
          <w:fldChar w:fldCharType="begin"/>
        </w:r>
        <w:r w:rsidR="00D325A0">
          <w:rPr>
            <w:noProof/>
            <w:webHidden/>
          </w:rPr>
          <w:instrText xml:space="preserve"> PAGEREF _Toc529286635 \h </w:instrText>
        </w:r>
        <w:r w:rsidR="00D325A0">
          <w:rPr>
            <w:noProof/>
            <w:webHidden/>
          </w:rPr>
        </w:r>
        <w:r w:rsidR="00D325A0">
          <w:rPr>
            <w:noProof/>
            <w:webHidden/>
          </w:rPr>
          <w:fldChar w:fldCharType="separate"/>
        </w:r>
        <w:r w:rsidR="00D325A0">
          <w:rPr>
            <w:noProof/>
            <w:webHidden/>
          </w:rPr>
          <w:t>89</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636" w:history="1">
        <w:r w:rsidR="00D325A0" w:rsidRPr="00F93DFB">
          <w:rPr>
            <w:rStyle w:val="Hyperlink"/>
            <w:noProof/>
          </w:rPr>
          <w:t>Таблица 9. Нови градски и крайградски зелени площи (2014–2020 г.)</w:t>
        </w:r>
        <w:r w:rsidR="00D325A0">
          <w:rPr>
            <w:noProof/>
            <w:webHidden/>
          </w:rPr>
          <w:tab/>
        </w:r>
        <w:r w:rsidR="00D325A0">
          <w:rPr>
            <w:noProof/>
            <w:webHidden/>
          </w:rPr>
          <w:fldChar w:fldCharType="begin"/>
        </w:r>
        <w:r w:rsidR="00D325A0">
          <w:rPr>
            <w:noProof/>
            <w:webHidden/>
          </w:rPr>
          <w:instrText xml:space="preserve"> PAGEREF _Toc529286636 \h </w:instrText>
        </w:r>
        <w:r w:rsidR="00D325A0">
          <w:rPr>
            <w:noProof/>
            <w:webHidden/>
          </w:rPr>
        </w:r>
        <w:r w:rsidR="00D325A0">
          <w:rPr>
            <w:noProof/>
            <w:webHidden/>
          </w:rPr>
          <w:fldChar w:fldCharType="separate"/>
        </w:r>
        <w:r w:rsidR="00D325A0">
          <w:rPr>
            <w:noProof/>
            <w:webHidden/>
          </w:rPr>
          <w:t>89</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637" w:history="1">
        <w:r w:rsidR="00D325A0" w:rsidRPr="00F93DFB">
          <w:rPr>
            <w:rStyle w:val="Hyperlink"/>
            <w:noProof/>
          </w:rPr>
          <w:t>Таблица 10. Възможни варианти за адаптация към екстремни температури, горещи/студени вълни</w:t>
        </w:r>
        <w:r w:rsidR="00D325A0">
          <w:rPr>
            <w:noProof/>
            <w:webHidden/>
          </w:rPr>
          <w:tab/>
        </w:r>
        <w:r w:rsidR="00D325A0">
          <w:rPr>
            <w:noProof/>
            <w:webHidden/>
          </w:rPr>
          <w:fldChar w:fldCharType="begin"/>
        </w:r>
        <w:r w:rsidR="00D325A0">
          <w:rPr>
            <w:noProof/>
            <w:webHidden/>
          </w:rPr>
          <w:instrText xml:space="preserve"> PAGEREF _Toc529286637 \h </w:instrText>
        </w:r>
        <w:r w:rsidR="00D325A0">
          <w:rPr>
            <w:noProof/>
            <w:webHidden/>
          </w:rPr>
        </w:r>
        <w:r w:rsidR="00D325A0">
          <w:rPr>
            <w:noProof/>
            <w:webHidden/>
          </w:rPr>
          <w:fldChar w:fldCharType="separate"/>
        </w:r>
        <w:r w:rsidR="00D325A0">
          <w:rPr>
            <w:noProof/>
            <w:webHidden/>
          </w:rPr>
          <w:t>105</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638" w:history="1">
        <w:r w:rsidR="00D325A0" w:rsidRPr="00F93DFB">
          <w:rPr>
            <w:rStyle w:val="Hyperlink"/>
            <w:noProof/>
          </w:rPr>
          <w:t>Таблица 11. Възможни варианти за адаптация, свързани с интензивните валежи</w:t>
        </w:r>
        <w:r w:rsidR="00D325A0">
          <w:rPr>
            <w:noProof/>
            <w:webHidden/>
          </w:rPr>
          <w:tab/>
        </w:r>
        <w:r w:rsidR="00D325A0">
          <w:rPr>
            <w:noProof/>
            <w:webHidden/>
          </w:rPr>
          <w:fldChar w:fldCharType="begin"/>
        </w:r>
        <w:r w:rsidR="00D325A0">
          <w:rPr>
            <w:noProof/>
            <w:webHidden/>
          </w:rPr>
          <w:instrText xml:space="preserve"> PAGEREF _Toc529286638 \h </w:instrText>
        </w:r>
        <w:r w:rsidR="00D325A0">
          <w:rPr>
            <w:noProof/>
            <w:webHidden/>
          </w:rPr>
        </w:r>
        <w:r w:rsidR="00D325A0">
          <w:rPr>
            <w:noProof/>
            <w:webHidden/>
          </w:rPr>
          <w:fldChar w:fldCharType="separate"/>
        </w:r>
        <w:r w:rsidR="00D325A0">
          <w:rPr>
            <w:noProof/>
            <w:webHidden/>
          </w:rPr>
          <w:t>108</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639" w:history="1">
        <w:r w:rsidR="00D325A0" w:rsidRPr="00F93DFB">
          <w:rPr>
            <w:rStyle w:val="Hyperlink"/>
            <w:noProof/>
          </w:rPr>
          <w:t>Таблица 12. Възможни варианти за адаптация, свързани с наводненията</w:t>
        </w:r>
        <w:r w:rsidR="00D325A0">
          <w:rPr>
            <w:noProof/>
            <w:webHidden/>
          </w:rPr>
          <w:tab/>
        </w:r>
        <w:r w:rsidR="00D325A0">
          <w:rPr>
            <w:noProof/>
            <w:webHidden/>
          </w:rPr>
          <w:fldChar w:fldCharType="begin"/>
        </w:r>
        <w:r w:rsidR="00D325A0">
          <w:rPr>
            <w:noProof/>
            <w:webHidden/>
          </w:rPr>
          <w:instrText xml:space="preserve"> PAGEREF _Toc529286639 \h </w:instrText>
        </w:r>
        <w:r w:rsidR="00D325A0">
          <w:rPr>
            <w:noProof/>
            <w:webHidden/>
          </w:rPr>
        </w:r>
        <w:r w:rsidR="00D325A0">
          <w:rPr>
            <w:noProof/>
            <w:webHidden/>
          </w:rPr>
          <w:fldChar w:fldCharType="separate"/>
        </w:r>
        <w:r w:rsidR="00D325A0">
          <w:rPr>
            <w:noProof/>
            <w:webHidden/>
          </w:rPr>
          <w:t>111</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640" w:history="1">
        <w:r w:rsidR="00D325A0" w:rsidRPr="00F93DFB">
          <w:rPr>
            <w:rStyle w:val="Hyperlink"/>
            <w:noProof/>
          </w:rPr>
          <w:t>Таблица 13. Възможни варианти за адаптация, свързани със свлачищата</w:t>
        </w:r>
        <w:r w:rsidR="00D325A0">
          <w:rPr>
            <w:noProof/>
            <w:webHidden/>
          </w:rPr>
          <w:tab/>
        </w:r>
        <w:r w:rsidR="00D325A0">
          <w:rPr>
            <w:noProof/>
            <w:webHidden/>
          </w:rPr>
          <w:fldChar w:fldCharType="begin"/>
        </w:r>
        <w:r w:rsidR="00D325A0">
          <w:rPr>
            <w:noProof/>
            <w:webHidden/>
          </w:rPr>
          <w:instrText xml:space="preserve"> PAGEREF _Toc529286640 \h </w:instrText>
        </w:r>
        <w:r w:rsidR="00D325A0">
          <w:rPr>
            <w:noProof/>
            <w:webHidden/>
          </w:rPr>
        </w:r>
        <w:r w:rsidR="00D325A0">
          <w:rPr>
            <w:noProof/>
            <w:webHidden/>
          </w:rPr>
          <w:fldChar w:fldCharType="separate"/>
        </w:r>
        <w:r w:rsidR="00D325A0">
          <w:rPr>
            <w:noProof/>
            <w:webHidden/>
          </w:rPr>
          <w:t>113</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641" w:history="1">
        <w:r w:rsidR="00D325A0" w:rsidRPr="00F93DFB">
          <w:rPr>
            <w:rStyle w:val="Hyperlink"/>
            <w:noProof/>
          </w:rPr>
          <w:t>Таблица 14. Възможни варианти за адаптация - ограничения и възможности</w:t>
        </w:r>
        <w:r w:rsidR="00D325A0">
          <w:rPr>
            <w:noProof/>
            <w:webHidden/>
          </w:rPr>
          <w:tab/>
        </w:r>
        <w:r w:rsidR="00D325A0">
          <w:rPr>
            <w:noProof/>
            <w:webHidden/>
          </w:rPr>
          <w:fldChar w:fldCharType="begin"/>
        </w:r>
        <w:r w:rsidR="00D325A0">
          <w:rPr>
            <w:noProof/>
            <w:webHidden/>
          </w:rPr>
          <w:instrText xml:space="preserve"> PAGEREF _Toc529286641 \h </w:instrText>
        </w:r>
        <w:r w:rsidR="00D325A0">
          <w:rPr>
            <w:noProof/>
            <w:webHidden/>
          </w:rPr>
        </w:r>
        <w:r w:rsidR="00D325A0">
          <w:rPr>
            <w:noProof/>
            <w:webHidden/>
          </w:rPr>
          <w:fldChar w:fldCharType="separate"/>
        </w:r>
        <w:r w:rsidR="00D325A0">
          <w:rPr>
            <w:noProof/>
            <w:webHidden/>
          </w:rPr>
          <w:t>121</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642" w:history="1">
        <w:r w:rsidR="00D325A0" w:rsidRPr="00F93DFB">
          <w:rPr>
            <w:rStyle w:val="Hyperlink"/>
            <w:noProof/>
          </w:rPr>
          <w:t>Таблица 15. Ползите от мерките за адаптиране в сектора на градската среда при различни климатични сценарии до 2050 г. (в млн. евро)</w:t>
        </w:r>
        <w:r w:rsidR="00D325A0">
          <w:rPr>
            <w:noProof/>
            <w:webHidden/>
          </w:rPr>
          <w:tab/>
        </w:r>
        <w:r w:rsidR="00D325A0">
          <w:rPr>
            <w:noProof/>
            <w:webHidden/>
          </w:rPr>
          <w:fldChar w:fldCharType="begin"/>
        </w:r>
        <w:r w:rsidR="00D325A0">
          <w:rPr>
            <w:noProof/>
            <w:webHidden/>
          </w:rPr>
          <w:instrText xml:space="preserve"> PAGEREF _Toc529286642 \h </w:instrText>
        </w:r>
        <w:r w:rsidR="00D325A0">
          <w:rPr>
            <w:noProof/>
            <w:webHidden/>
          </w:rPr>
        </w:r>
        <w:r w:rsidR="00D325A0">
          <w:rPr>
            <w:noProof/>
            <w:webHidden/>
          </w:rPr>
          <w:fldChar w:fldCharType="separate"/>
        </w:r>
        <w:r w:rsidR="00D325A0">
          <w:rPr>
            <w:noProof/>
            <w:webHidden/>
          </w:rPr>
          <w:t>126</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643" w:history="1">
        <w:r w:rsidR="00D325A0" w:rsidRPr="00F93DFB">
          <w:rPr>
            <w:rStyle w:val="Hyperlink"/>
            <w:noProof/>
          </w:rPr>
          <w:t>Таблица 16. Пространствени, демографски и социално-икономически индикатори</w:t>
        </w:r>
        <w:r w:rsidR="00D325A0">
          <w:rPr>
            <w:noProof/>
            <w:webHidden/>
          </w:rPr>
          <w:tab/>
        </w:r>
        <w:r w:rsidR="00D325A0">
          <w:rPr>
            <w:noProof/>
            <w:webHidden/>
          </w:rPr>
          <w:fldChar w:fldCharType="begin"/>
        </w:r>
        <w:r w:rsidR="00D325A0">
          <w:rPr>
            <w:noProof/>
            <w:webHidden/>
          </w:rPr>
          <w:instrText xml:space="preserve"> PAGEREF _Toc529286643 \h </w:instrText>
        </w:r>
        <w:r w:rsidR="00D325A0">
          <w:rPr>
            <w:noProof/>
            <w:webHidden/>
          </w:rPr>
        </w:r>
        <w:r w:rsidR="00D325A0">
          <w:rPr>
            <w:noProof/>
            <w:webHidden/>
          </w:rPr>
          <w:fldChar w:fldCharType="separate"/>
        </w:r>
        <w:r w:rsidR="00D325A0">
          <w:rPr>
            <w:noProof/>
            <w:webHidden/>
          </w:rPr>
          <w:t>127</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644" w:history="1">
        <w:r w:rsidR="00D325A0" w:rsidRPr="00F93DFB">
          <w:rPr>
            <w:rStyle w:val="Hyperlink"/>
            <w:noProof/>
          </w:rPr>
          <w:t>Таблица 17. Межусекторни зависимости</w:t>
        </w:r>
        <w:r w:rsidR="00D325A0">
          <w:rPr>
            <w:noProof/>
            <w:webHidden/>
          </w:rPr>
          <w:tab/>
        </w:r>
        <w:r w:rsidR="00D325A0">
          <w:rPr>
            <w:noProof/>
            <w:webHidden/>
          </w:rPr>
          <w:fldChar w:fldCharType="begin"/>
        </w:r>
        <w:r w:rsidR="00D325A0">
          <w:rPr>
            <w:noProof/>
            <w:webHidden/>
          </w:rPr>
          <w:instrText xml:space="preserve"> PAGEREF _Toc529286644 \h </w:instrText>
        </w:r>
        <w:r w:rsidR="00D325A0">
          <w:rPr>
            <w:noProof/>
            <w:webHidden/>
          </w:rPr>
        </w:r>
        <w:r w:rsidR="00D325A0">
          <w:rPr>
            <w:noProof/>
            <w:webHidden/>
          </w:rPr>
          <w:fldChar w:fldCharType="separate"/>
        </w:r>
        <w:r w:rsidR="00D325A0">
          <w:rPr>
            <w:noProof/>
            <w:webHidden/>
          </w:rPr>
          <w:t>138</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645" w:history="1">
        <w:r w:rsidR="00D325A0" w:rsidRPr="00F93DFB">
          <w:rPr>
            <w:rStyle w:val="Hyperlink"/>
            <w:noProof/>
          </w:rPr>
          <w:t>Таблица 18. Потенциално влияние на изменението на климата върху сектор „Градска среда“ в България  по размер и местоположение на градовете</w:t>
        </w:r>
        <w:r w:rsidR="00D325A0">
          <w:rPr>
            <w:noProof/>
            <w:webHidden/>
          </w:rPr>
          <w:tab/>
        </w:r>
        <w:r w:rsidR="00D325A0">
          <w:rPr>
            <w:noProof/>
            <w:webHidden/>
          </w:rPr>
          <w:fldChar w:fldCharType="begin"/>
        </w:r>
        <w:r w:rsidR="00D325A0">
          <w:rPr>
            <w:noProof/>
            <w:webHidden/>
          </w:rPr>
          <w:instrText xml:space="preserve"> PAGEREF _Toc529286645 \h </w:instrText>
        </w:r>
        <w:r w:rsidR="00D325A0">
          <w:rPr>
            <w:noProof/>
            <w:webHidden/>
          </w:rPr>
        </w:r>
        <w:r w:rsidR="00D325A0">
          <w:rPr>
            <w:noProof/>
            <w:webHidden/>
          </w:rPr>
          <w:fldChar w:fldCharType="separate"/>
        </w:r>
        <w:r w:rsidR="00D325A0">
          <w:rPr>
            <w:noProof/>
            <w:webHidden/>
          </w:rPr>
          <w:t>157</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646" w:history="1">
        <w:r w:rsidR="00D325A0" w:rsidRPr="00F93DFB">
          <w:rPr>
            <w:rStyle w:val="Hyperlink"/>
            <w:noProof/>
          </w:rPr>
          <w:t>Таблица 19. Потенциално влияние на изменението на климата върху сектор „Градска среда“ в България</w:t>
        </w:r>
        <w:r w:rsidR="00D325A0">
          <w:rPr>
            <w:noProof/>
            <w:webHidden/>
          </w:rPr>
          <w:tab/>
        </w:r>
        <w:r w:rsidR="00D325A0">
          <w:rPr>
            <w:noProof/>
            <w:webHidden/>
          </w:rPr>
          <w:fldChar w:fldCharType="begin"/>
        </w:r>
        <w:r w:rsidR="00D325A0">
          <w:rPr>
            <w:noProof/>
            <w:webHidden/>
          </w:rPr>
          <w:instrText xml:space="preserve"> PAGEREF _Toc529286646 \h </w:instrText>
        </w:r>
        <w:r w:rsidR="00D325A0">
          <w:rPr>
            <w:noProof/>
            <w:webHidden/>
          </w:rPr>
        </w:r>
        <w:r w:rsidR="00D325A0">
          <w:rPr>
            <w:noProof/>
            <w:webHidden/>
          </w:rPr>
          <w:fldChar w:fldCharType="separate"/>
        </w:r>
        <w:r w:rsidR="00D325A0">
          <w:rPr>
            <w:noProof/>
            <w:webHidden/>
          </w:rPr>
          <w:t>158</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647" w:history="1">
        <w:r w:rsidR="00D325A0" w:rsidRPr="00F93DFB">
          <w:rPr>
            <w:rStyle w:val="Hyperlink"/>
            <w:noProof/>
          </w:rPr>
          <w:t>Таблица 20. Подробно представяне на опциите за адаптация</w:t>
        </w:r>
        <w:r w:rsidR="00D325A0">
          <w:rPr>
            <w:noProof/>
            <w:webHidden/>
          </w:rPr>
          <w:tab/>
        </w:r>
        <w:r w:rsidR="00D325A0">
          <w:rPr>
            <w:noProof/>
            <w:webHidden/>
          </w:rPr>
          <w:fldChar w:fldCharType="begin"/>
        </w:r>
        <w:r w:rsidR="00D325A0">
          <w:rPr>
            <w:noProof/>
            <w:webHidden/>
          </w:rPr>
          <w:instrText xml:space="preserve"> PAGEREF _Toc529286647 \h </w:instrText>
        </w:r>
        <w:r w:rsidR="00D325A0">
          <w:rPr>
            <w:noProof/>
            <w:webHidden/>
          </w:rPr>
        </w:r>
        <w:r w:rsidR="00D325A0">
          <w:rPr>
            <w:noProof/>
            <w:webHidden/>
          </w:rPr>
          <w:fldChar w:fldCharType="separate"/>
        </w:r>
        <w:r w:rsidR="00D325A0">
          <w:rPr>
            <w:noProof/>
            <w:webHidden/>
          </w:rPr>
          <w:t>160</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648" w:history="1">
        <w:r w:rsidR="00D325A0" w:rsidRPr="00F93DFB">
          <w:rPr>
            <w:rStyle w:val="Hyperlink"/>
            <w:noProof/>
          </w:rPr>
          <w:t>Таблица 21. Очаквани кумулативни секторни ефекти от изменението на климата въэрху  сектор градска следа до 2050 г. без мерки за адаптиране (базов сценарий)</w:t>
        </w:r>
        <w:r w:rsidR="00D325A0">
          <w:rPr>
            <w:noProof/>
            <w:webHidden/>
          </w:rPr>
          <w:tab/>
        </w:r>
        <w:r w:rsidR="00D325A0">
          <w:rPr>
            <w:noProof/>
            <w:webHidden/>
          </w:rPr>
          <w:fldChar w:fldCharType="begin"/>
        </w:r>
        <w:r w:rsidR="00D325A0">
          <w:rPr>
            <w:noProof/>
            <w:webHidden/>
          </w:rPr>
          <w:instrText xml:space="preserve"> PAGEREF _Toc529286648 \h </w:instrText>
        </w:r>
        <w:r w:rsidR="00D325A0">
          <w:rPr>
            <w:noProof/>
            <w:webHidden/>
          </w:rPr>
        </w:r>
        <w:r w:rsidR="00D325A0">
          <w:rPr>
            <w:noProof/>
            <w:webHidden/>
          </w:rPr>
          <w:fldChar w:fldCharType="separate"/>
        </w:r>
        <w:r w:rsidR="00D325A0">
          <w:rPr>
            <w:noProof/>
            <w:webHidden/>
          </w:rPr>
          <w:t>184</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649" w:history="1">
        <w:r w:rsidR="00D325A0" w:rsidRPr="00F93DFB">
          <w:rPr>
            <w:rStyle w:val="Hyperlink"/>
            <w:noProof/>
          </w:rPr>
          <w:t>Таблица 22. Ползи от мерки за адаптиране в сектор градска среда до 2050 г. (в млн. евро)</w:t>
        </w:r>
        <w:r w:rsidR="00D325A0">
          <w:rPr>
            <w:noProof/>
            <w:webHidden/>
          </w:rPr>
          <w:tab/>
        </w:r>
        <w:r w:rsidR="00D325A0">
          <w:rPr>
            <w:noProof/>
            <w:webHidden/>
          </w:rPr>
          <w:fldChar w:fldCharType="begin"/>
        </w:r>
        <w:r w:rsidR="00D325A0">
          <w:rPr>
            <w:noProof/>
            <w:webHidden/>
          </w:rPr>
          <w:instrText xml:space="preserve"> PAGEREF _Toc529286649 \h </w:instrText>
        </w:r>
        <w:r w:rsidR="00D325A0">
          <w:rPr>
            <w:noProof/>
            <w:webHidden/>
          </w:rPr>
        </w:r>
        <w:r w:rsidR="00D325A0">
          <w:rPr>
            <w:noProof/>
            <w:webHidden/>
          </w:rPr>
          <w:fldChar w:fldCharType="separate"/>
        </w:r>
        <w:r w:rsidR="00D325A0">
          <w:rPr>
            <w:noProof/>
            <w:webHidden/>
          </w:rPr>
          <w:t>185</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650" w:history="1">
        <w:r w:rsidR="00D325A0" w:rsidRPr="00F93DFB">
          <w:rPr>
            <w:rStyle w:val="Hyperlink"/>
            <w:noProof/>
          </w:rPr>
          <w:t>Таблица 23. Местоположения на служби и услуги по градове</w:t>
        </w:r>
        <w:r w:rsidR="00D325A0">
          <w:rPr>
            <w:noProof/>
            <w:webHidden/>
          </w:rPr>
          <w:tab/>
        </w:r>
        <w:r w:rsidR="00D325A0">
          <w:rPr>
            <w:noProof/>
            <w:webHidden/>
          </w:rPr>
          <w:fldChar w:fldCharType="begin"/>
        </w:r>
        <w:r w:rsidR="00D325A0">
          <w:rPr>
            <w:noProof/>
            <w:webHidden/>
          </w:rPr>
          <w:instrText xml:space="preserve"> PAGEREF _Toc529286650 \h </w:instrText>
        </w:r>
        <w:r w:rsidR="00D325A0">
          <w:rPr>
            <w:noProof/>
            <w:webHidden/>
          </w:rPr>
        </w:r>
        <w:r w:rsidR="00D325A0">
          <w:rPr>
            <w:noProof/>
            <w:webHidden/>
          </w:rPr>
          <w:fldChar w:fldCharType="separate"/>
        </w:r>
        <w:r w:rsidR="00D325A0">
          <w:rPr>
            <w:noProof/>
            <w:webHidden/>
          </w:rPr>
          <w:t>192</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651" w:history="1">
        <w:r w:rsidR="00D325A0" w:rsidRPr="00F93DFB">
          <w:rPr>
            <w:rStyle w:val="Hyperlink"/>
            <w:noProof/>
          </w:rPr>
          <w:t>Таблица 24. Местоположения на служби и услуги по типове градове</w:t>
        </w:r>
        <w:r w:rsidR="00D325A0">
          <w:rPr>
            <w:noProof/>
            <w:webHidden/>
          </w:rPr>
          <w:tab/>
        </w:r>
        <w:r w:rsidR="00D325A0">
          <w:rPr>
            <w:noProof/>
            <w:webHidden/>
          </w:rPr>
          <w:fldChar w:fldCharType="begin"/>
        </w:r>
        <w:r w:rsidR="00D325A0">
          <w:rPr>
            <w:noProof/>
            <w:webHidden/>
          </w:rPr>
          <w:instrText xml:space="preserve"> PAGEREF _Toc529286651 \h </w:instrText>
        </w:r>
        <w:r w:rsidR="00D325A0">
          <w:rPr>
            <w:noProof/>
            <w:webHidden/>
          </w:rPr>
        </w:r>
        <w:r w:rsidR="00D325A0">
          <w:rPr>
            <w:noProof/>
            <w:webHidden/>
          </w:rPr>
          <w:fldChar w:fldCharType="separate"/>
        </w:r>
        <w:r w:rsidR="00D325A0">
          <w:rPr>
            <w:noProof/>
            <w:webHidden/>
          </w:rPr>
          <w:t>199</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652" w:history="1">
        <w:r w:rsidR="00D325A0" w:rsidRPr="00F93DFB">
          <w:rPr>
            <w:rStyle w:val="Hyperlink"/>
            <w:noProof/>
          </w:rPr>
          <w:t>Таблица 25. Характеристики на наводненията – по области:  обобщение за периода 2010–2015 г.</w:t>
        </w:r>
        <w:r w:rsidR="00D325A0">
          <w:rPr>
            <w:noProof/>
            <w:webHidden/>
          </w:rPr>
          <w:tab/>
        </w:r>
        <w:r w:rsidR="00D325A0">
          <w:rPr>
            <w:noProof/>
            <w:webHidden/>
          </w:rPr>
          <w:fldChar w:fldCharType="begin"/>
        </w:r>
        <w:r w:rsidR="00D325A0">
          <w:rPr>
            <w:noProof/>
            <w:webHidden/>
          </w:rPr>
          <w:instrText xml:space="preserve"> PAGEREF _Toc529286652 \h </w:instrText>
        </w:r>
        <w:r w:rsidR="00D325A0">
          <w:rPr>
            <w:noProof/>
            <w:webHidden/>
          </w:rPr>
        </w:r>
        <w:r w:rsidR="00D325A0">
          <w:rPr>
            <w:noProof/>
            <w:webHidden/>
          </w:rPr>
          <w:fldChar w:fldCharType="separate"/>
        </w:r>
        <w:r w:rsidR="00D325A0">
          <w:rPr>
            <w:noProof/>
            <w:webHidden/>
          </w:rPr>
          <w:t>204</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653" w:history="1">
        <w:r w:rsidR="00D325A0" w:rsidRPr="00F93DFB">
          <w:rPr>
            <w:rStyle w:val="Hyperlink"/>
            <w:noProof/>
          </w:rPr>
          <w:t>Таблица 26. Характеристики на свлачищата – по области:  обобщение за периода 2010–2015 г.</w:t>
        </w:r>
        <w:r w:rsidR="00D325A0">
          <w:rPr>
            <w:noProof/>
            <w:webHidden/>
          </w:rPr>
          <w:tab/>
        </w:r>
        <w:r w:rsidR="00D325A0">
          <w:rPr>
            <w:noProof/>
            <w:webHidden/>
          </w:rPr>
          <w:fldChar w:fldCharType="begin"/>
        </w:r>
        <w:r w:rsidR="00D325A0">
          <w:rPr>
            <w:noProof/>
            <w:webHidden/>
          </w:rPr>
          <w:instrText xml:space="preserve"> PAGEREF _Toc529286653 \h </w:instrText>
        </w:r>
        <w:r w:rsidR="00D325A0">
          <w:rPr>
            <w:noProof/>
            <w:webHidden/>
          </w:rPr>
        </w:r>
        <w:r w:rsidR="00D325A0">
          <w:rPr>
            <w:noProof/>
            <w:webHidden/>
          </w:rPr>
          <w:fldChar w:fldCharType="separate"/>
        </w:r>
        <w:r w:rsidR="00D325A0">
          <w:rPr>
            <w:noProof/>
            <w:webHidden/>
          </w:rPr>
          <w:t>206</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654" w:history="1">
        <w:r w:rsidR="00D325A0" w:rsidRPr="00F93DFB">
          <w:rPr>
            <w:rStyle w:val="Hyperlink"/>
            <w:noProof/>
          </w:rPr>
          <w:t>Таблица 27. Характеристики на свлачищата (към 31.12.2017 г.)</w:t>
        </w:r>
        <w:r w:rsidR="00D325A0">
          <w:rPr>
            <w:noProof/>
            <w:webHidden/>
          </w:rPr>
          <w:tab/>
        </w:r>
        <w:r w:rsidR="00D325A0">
          <w:rPr>
            <w:noProof/>
            <w:webHidden/>
          </w:rPr>
          <w:fldChar w:fldCharType="begin"/>
        </w:r>
        <w:r w:rsidR="00D325A0">
          <w:rPr>
            <w:noProof/>
            <w:webHidden/>
          </w:rPr>
          <w:instrText xml:space="preserve"> PAGEREF _Toc529286654 \h </w:instrText>
        </w:r>
        <w:r w:rsidR="00D325A0">
          <w:rPr>
            <w:noProof/>
            <w:webHidden/>
          </w:rPr>
        </w:r>
        <w:r w:rsidR="00D325A0">
          <w:rPr>
            <w:noProof/>
            <w:webHidden/>
          </w:rPr>
          <w:fldChar w:fldCharType="separate"/>
        </w:r>
        <w:r w:rsidR="00D325A0">
          <w:rPr>
            <w:noProof/>
            <w:webHidden/>
          </w:rPr>
          <w:t>208</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655" w:history="1">
        <w:r w:rsidR="00D325A0" w:rsidRPr="00F93DFB">
          <w:rPr>
            <w:rStyle w:val="Hyperlink"/>
            <w:noProof/>
          </w:rPr>
          <w:t>Таблица 28. Земетресения – по области: обобщение за периода 2010–2015 г.</w:t>
        </w:r>
        <w:r w:rsidR="00D325A0">
          <w:rPr>
            <w:noProof/>
            <w:webHidden/>
          </w:rPr>
          <w:tab/>
        </w:r>
        <w:r w:rsidR="00D325A0">
          <w:rPr>
            <w:noProof/>
            <w:webHidden/>
          </w:rPr>
          <w:fldChar w:fldCharType="begin"/>
        </w:r>
        <w:r w:rsidR="00D325A0">
          <w:rPr>
            <w:noProof/>
            <w:webHidden/>
          </w:rPr>
          <w:instrText xml:space="preserve"> PAGEREF _Toc529286655 \h </w:instrText>
        </w:r>
        <w:r w:rsidR="00D325A0">
          <w:rPr>
            <w:noProof/>
            <w:webHidden/>
          </w:rPr>
        </w:r>
        <w:r w:rsidR="00D325A0">
          <w:rPr>
            <w:noProof/>
            <w:webHidden/>
          </w:rPr>
          <w:fldChar w:fldCharType="separate"/>
        </w:r>
        <w:r w:rsidR="00D325A0">
          <w:rPr>
            <w:noProof/>
            <w:webHidden/>
          </w:rPr>
          <w:t>209</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656" w:history="1">
        <w:r w:rsidR="00D325A0" w:rsidRPr="00F93DFB">
          <w:rPr>
            <w:rStyle w:val="Hyperlink"/>
            <w:noProof/>
          </w:rPr>
          <w:t>Таблица 29. Пожари  – по области: общо  за периода 2010–2015 г.</w:t>
        </w:r>
        <w:r w:rsidR="00D325A0">
          <w:rPr>
            <w:noProof/>
            <w:webHidden/>
          </w:rPr>
          <w:tab/>
        </w:r>
        <w:r w:rsidR="00D325A0">
          <w:rPr>
            <w:noProof/>
            <w:webHidden/>
          </w:rPr>
          <w:fldChar w:fldCharType="begin"/>
        </w:r>
        <w:r w:rsidR="00D325A0">
          <w:rPr>
            <w:noProof/>
            <w:webHidden/>
          </w:rPr>
          <w:instrText xml:space="preserve"> PAGEREF _Toc529286656 \h </w:instrText>
        </w:r>
        <w:r w:rsidR="00D325A0">
          <w:rPr>
            <w:noProof/>
            <w:webHidden/>
          </w:rPr>
        </w:r>
        <w:r w:rsidR="00D325A0">
          <w:rPr>
            <w:noProof/>
            <w:webHidden/>
          </w:rPr>
          <w:fldChar w:fldCharType="separate"/>
        </w:r>
        <w:r w:rsidR="00D325A0">
          <w:rPr>
            <w:noProof/>
            <w:webHidden/>
          </w:rPr>
          <w:t>212</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657" w:history="1">
        <w:r w:rsidR="00D325A0" w:rsidRPr="00F93DFB">
          <w:rPr>
            <w:rStyle w:val="Hyperlink"/>
            <w:noProof/>
          </w:rPr>
          <w:t>Таблица 30. Оценка на уязвимостта и капацитета</w:t>
        </w:r>
        <w:r w:rsidR="00D325A0">
          <w:rPr>
            <w:noProof/>
            <w:webHidden/>
          </w:rPr>
          <w:tab/>
        </w:r>
        <w:r w:rsidR="00D325A0">
          <w:rPr>
            <w:noProof/>
            <w:webHidden/>
          </w:rPr>
          <w:fldChar w:fldCharType="begin"/>
        </w:r>
        <w:r w:rsidR="00D325A0">
          <w:rPr>
            <w:noProof/>
            <w:webHidden/>
          </w:rPr>
          <w:instrText xml:space="preserve"> PAGEREF _Toc529286657 \h </w:instrText>
        </w:r>
        <w:r w:rsidR="00D325A0">
          <w:rPr>
            <w:noProof/>
            <w:webHidden/>
          </w:rPr>
        </w:r>
        <w:r w:rsidR="00D325A0">
          <w:rPr>
            <w:noProof/>
            <w:webHidden/>
          </w:rPr>
          <w:fldChar w:fldCharType="separate"/>
        </w:r>
        <w:r w:rsidR="00D325A0">
          <w:rPr>
            <w:noProof/>
            <w:webHidden/>
          </w:rPr>
          <w:t>214</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658" w:history="1">
        <w:r w:rsidR="00D325A0" w:rsidRPr="00F93DFB">
          <w:rPr>
            <w:rStyle w:val="Hyperlink"/>
            <w:noProof/>
          </w:rPr>
          <w:t>Таблица 31. Австрийска стратегия за адаптация към изменението на климата – цели и препоръчителни действия за сектора на градската среда</w:t>
        </w:r>
        <w:r w:rsidR="00D325A0">
          <w:rPr>
            <w:noProof/>
            <w:webHidden/>
          </w:rPr>
          <w:tab/>
        </w:r>
        <w:r w:rsidR="00D325A0">
          <w:rPr>
            <w:noProof/>
            <w:webHidden/>
          </w:rPr>
          <w:fldChar w:fldCharType="begin"/>
        </w:r>
        <w:r w:rsidR="00D325A0">
          <w:rPr>
            <w:noProof/>
            <w:webHidden/>
          </w:rPr>
          <w:instrText xml:space="preserve"> PAGEREF _Toc529286658 \h </w:instrText>
        </w:r>
        <w:r w:rsidR="00D325A0">
          <w:rPr>
            <w:noProof/>
            <w:webHidden/>
          </w:rPr>
        </w:r>
        <w:r w:rsidR="00D325A0">
          <w:rPr>
            <w:noProof/>
            <w:webHidden/>
          </w:rPr>
          <w:fldChar w:fldCharType="separate"/>
        </w:r>
        <w:r w:rsidR="00D325A0">
          <w:rPr>
            <w:noProof/>
            <w:webHidden/>
          </w:rPr>
          <w:t>216</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659" w:history="1">
        <w:r w:rsidR="00D325A0" w:rsidRPr="00F93DFB">
          <w:rPr>
            <w:rStyle w:val="Hyperlink"/>
            <w:noProof/>
          </w:rPr>
          <w:t>Таблица 32. Въздействия на измененията на климата върху градската среда, съответни нормативни документи и дейности</w:t>
        </w:r>
        <w:r w:rsidR="00D325A0">
          <w:rPr>
            <w:noProof/>
            <w:webHidden/>
          </w:rPr>
          <w:tab/>
        </w:r>
        <w:r w:rsidR="00D325A0">
          <w:rPr>
            <w:noProof/>
            <w:webHidden/>
          </w:rPr>
          <w:fldChar w:fldCharType="begin"/>
        </w:r>
        <w:r w:rsidR="00D325A0">
          <w:rPr>
            <w:noProof/>
            <w:webHidden/>
          </w:rPr>
          <w:instrText xml:space="preserve"> PAGEREF _Toc529286659 \h </w:instrText>
        </w:r>
        <w:r w:rsidR="00D325A0">
          <w:rPr>
            <w:noProof/>
            <w:webHidden/>
          </w:rPr>
        </w:r>
        <w:r w:rsidR="00D325A0">
          <w:rPr>
            <w:noProof/>
            <w:webHidden/>
          </w:rPr>
          <w:fldChar w:fldCharType="separate"/>
        </w:r>
        <w:r w:rsidR="00D325A0">
          <w:rPr>
            <w:noProof/>
            <w:webHidden/>
          </w:rPr>
          <w:t>227</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660" w:history="1">
        <w:r w:rsidR="00D325A0" w:rsidRPr="00F93DFB">
          <w:rPr>
            <w:rStyle w:val="Hyperlink"/>
            <w:noProof/>
          </w:rPr>
          <w:t>Таблица 33. Възможности за адаптация, свързани с градската среда, в българските стратегически документи</w:t>
        </w:r>
        <w:r w:rsidR="00D325A0">
          <w:rPr>
            <w:noProof/>
            <w:webHidden/>
          </w:rPr>
          <w:tab/>
        </w:r>
        <w:r w:rsidR="00D325A0">
          <w:rPr>
            <w:noProof/>
            <w:webHidden/>
          </w:rPr>
          <w:fldChar w:fldCharType="begin"/>
        </w:r>
        <w:r w:rsidR="00D325A0">
          <w:rPr>
            <w:noProof/>
            <w:webHidden/>
          </w:rPr>
          <w:instrText xml:space="preserve"> PAGEREF _Toc529286660 \h </w:instrText>
        </w:r>
        <w:r w:rsidR="00D325A0">
          <w:rPr>
            <w:noProof/>
            <w:webHidden/>
          </w:rPr>
        </w:r>
        <w:r w:rsidR="00D325A0">
          <w:rPr>
            <w:noProof/>
            <w:webHidden/>
          </w:rPr>
          <w:fldChar w:fldCharType="separate"/>
        </w:r>
        <w:r w:rsidR="00D325A0">
          <w:rPr>
            <w:noProof/>
            <w:webHidden/>
          </w:rPr>
          <w:t>231</w:t>
        </w:r>
        <w:r w:rsidR="00D325A0">
          <w:rPr>
            <w:noProof/>
            <w:webHidden/>
          </w:rPr>
          <w:fldChar w:fldCharType="end"/>
        </w:r>
      </w:hyperlink>
    </w:p>
    <w:p w:rsidR="00D325A0" w:rsidRDefault="00BF5281">
      <w:pPr>
        <w:pStyle w:val="TableofFigures"/>
        <w:tabs>
          <w:tab w:val="right" w:leader="dot" w:pos="9074"/>
        </w:tabs>
        <w:rPr>
          <w:rFonts w:asciiTheme="minorHAnsi" w:eastAsiaTheme="minorEastAsia" w:hAnsiTheme="minorHAnsi" w:cstheme="minorBidi"/>
          <w:noProof/>
          <w:lang w:val="en-US"/>
        </w:rPr>
      </w:pPr>
      <w:hyperlink w:anchor="_Toc529286661" w:history="1">
        <w:r w:rsidR="00D325A0" w:rsidRPr="00F93DFB">
          <w:rPr>
            <w:rStyle w:val="Hyperlink"/>
            <w:noProof/>
          </w:rPr>
          <w:t>Таблица 34. Общи мерки за адаптиране към промените в климата в българските стратегически документи</w:t>
        </w:r>
        <w:r w:rsidR="00D325A0">
          <w:rPr>
            <w:noProof/>
            <w:webHidden/>
          </w:rPr>
          <w:tab/>
        </w:r>
        <w:r w:rsidR="00D325A0">
          <w:rPr>
            <w:noProof/>
            <w:webHidden/>
          </w:rPr>
          <w:fldChar w:fldCharType="begin"/>
        </w:r>
        <w:r w:rsidR="00D325A0">
          <w:rPr>
            <w:noProof/>
            <w:webHidden/>
          </w:rPr>
          <w:instrText xml:space="preserve"> PAGEREF _Toc529286661 \h </w:instrText>
        </w:r>
        <w:r w:rsidR="00D325A0">
          <w:rPr>
            <w:noProof/>
            <w:webHidden/>
          </w:rPr>
        </w:r>
        <w:r w:rsidR="00D325A0">
          <w:rPr>
            <w:noProof/>
            <w:webHidden/>
          </w:rPr>
          <w:fldChar w:fldCharType="separate"/>
        </w:r>
        <w:r w:rsidR="00D325A0">
          <w:rPr>
            <w:noProof/>
            <w:webHidden/>
          </w:rPr>
          <w:t>235</w:t>
        </w:r>
        <w:r w:rsidR="00D325A0">
          <w:rPr>
            <w:noProof/>
            <w:webHidden/>
          </w:rPr>
          <w:fldChar w:fldCharType="end"/>
        </w:r>
      </w:hyperlink>
    </w:p>
    <w:p w:rsidR="00AA4661" w:rsidRPr="00B73D7E" w:rsidRDefault="00AA4661" w:rsidP="000614A3">
      <w:pPr>
        <w:widowControl w:val="0"/>
        <w:spacing w:before="240" w:after="120"/>
        <w:jc w:val="both"/>
        <w:rPr>
          <w:rFonts w:ascii="Calibri" w:hAnsi="Calibri"/>
          <w:b/>
          <w:color w:val="2F5496"/>
          <w:sz w:val="32"/>
          <w:szCs w:val="32"/>
        </w:rPr>
      </w:pPr>
      <w:r w:rsidRPr="00F8728A">
        <w:rPr>
          <w:rFonts w:ascii="Times New Roman" w:hAnsi="Times New Roman"/>
          <w:b/>
          <w:color w:val="365F91"/>
          <w:sz w:val="32"/>
          <w:szCs w:val="32"/>
        </w:rPr>
        <w:fldChar w:fldCharType="end"/>
      </w:r>
      <w:r w:rsidRPr="00B73D7E">
        <w:rPr>
          <w:rFonts w:ascii="Calibri" w:hAnsi="Calibri"/>
          <w:b/>
          <w:color w:val="2F5496"/>
          <w:sz w:val="32"/>
          <w:szCs w:val="32"/>
        </w:rPr>
        <w:t>Списък на карета</w:t>
      </w:r>
    </w:p>
    <w:p w:rsidR="000614A3" w:rsidRPr="00B73D7E" w:rsidRDefault="00AA4661">
      <w:pPr>
        <w:pStyle w:val="TableofFigures"/>
        <w:tabs>
          <w:tab w:val="right" w:leader="dot" w:pos="9074"/>
        </w:tabs>
        <w:rPr>
          <w:rFonts w:eastAsiaTheme="minorEastAsia"/>
        </w:rPr>
      </w:pPr>
      <w:r w:rsidRPr="00F8728A">
        <w:rPr>
          <w:b/>
          <w:color w:val="365F91"/>
          <w:sz w:val="32"/>
          <w:szCs w:val="32"/>
        </w:rPr>
        <w:fldChar w:fldCharType="begin"/>
      </w:r>
      <w:r w:rsidRPr="00F8728A">
        <w:rPr>
          <w:b/>
          <w:color w:val="365F91"/>
          <w:sz w:val="32"/>
          <w:szCs w:val="32"/>
        </w:rPr>
        <w:instrText xml:space="preserve"> TOC \h \z \c "Box" </w:instrText>
      </w:r>
      <w:r w:rsidRPr="00F8728A">
        <w:rPr>
          <w:b/>
          <w:color w:val="365F91"/>
          <w:sz w:val="32"/>
          <w:szCs w:val="32"/>
        </w:rPr>
        <w:fldChar w:fldCharType="separate"/>
      </w:r>
      <w:hyperlink w:anchor="_Toc522030702" w:history="1">
        <w:r w:rsidR="000614A3" w:rsidRPr="00B73D7E">
          <w:rPr>
            <w:rStyle w:val="Hyperlink"/>
          </w:rPr>
          <w:t>Каре 1. Дял жилища, отопляващи се на твърди горива в различните групи градове</w:t>
        </w:r>
        <w:r w:rsidR="000614A3" w:rsidRPr="00B73D7E">
          <w:rPr>
            <w:webHidden/>
          </w:rPr>
          <w:tab/>
        </w:r>
        <w:r w:rsidR="000614A3" w:rsidRPr="00B73D7E">
          <w:rPr>
            <w:webHidden/>
          </w:rPr>
          <w:fldChar w:fldCharType="begin"/>
        </w:r>
        <w:r w:rsidR="000614A3" w:rsidRPr="00B73D7E">
          <w:rPr>
            <w:webHidden/>
          </w:rPr>
          <w:instrText xml:space="preserve"> PAGEREF _Toc522030702 \h </w:instrText>
        </w:r>
        <w:r w:rsidR="000614A3" w:rsidRPr="00B73D7E">
          <w:rPr>
            <w:webHidden/>
          </w:rPr>
        </w:r>
        <w:r w:rsidR="000614A3" w:rsidRPr="00B73D7E">
          <w:rPr>
            <w:webHidden/>
          </w:rPr>
          <w:fldChar w:fldCharType="separate"/>
        </w:r>
        <w:r w:rsidR="000614A3" w:rsidRPr="00B73D7E">
          <w:rPr>
            <w:webHidden/>
          </w:rPr>
          <w:t>22</w:t>
        </w:r>
        <w:r w:rsidR="000614A3" w:rsidRPr="00B73D7E">
          <w:rPr>
            <w:webHidden/>
          </w:rPr>
          <w:fldChar w:fldCharType="end"/>
        </w:r>
      </w:hyperlink>
    </w:p>
    <w:p w:rsidR="000614A3" w:rsidRPr="00B73D7E" w:rsidRDefault="00BF5281">
      <w:pPr>
        <w:pStyle w:val="TableofFigures"/>
        <w:tabs>
          <w:tab w:val="right" w:leader="dot" w:pos="9074"/>
        </w:tabs>
        <w:rPr>
          <w:rFonts w:eastAsiaTheme="minorEastAsia"/>
        </w:rPr>
      </w:pPr>
      <w:hyperlink w:anchor="_Toc522030703" w:history="1">
        <w:r w:rsidR="000614A3" w:rsidRPr="00B73D7E">
          <w:rPr>
            <w:rStyle w:val="Hyperlink"/>
          </w:rPr>
          <w:t>Каре 2. Стратегия за адаптация към изменението на климата на Столична община, 2016 г.</w:t>
        </w:r>
        <w:r w:rsidR="000614A3" w:rsidRPr="00B73D7E">
          <w:rPr>
            <w:webHidden/>
          </w:rPr>
          <w:tab/>
        </w:r>
        <w:r w:rsidR="000614A3" w:rsidRPr="00B73D7E">
          <w:rPr>
            <w:webHidden/>
          </w:rPr>
          <w:fldChar w:fldCharType="begin"/>
        </w:r>
        <w:r w:rsidR="000614A3" w:rsidRPr="00B73D7E">
          <w:rPr>
            <w:webHidden/>
          </w:rPr>
          <w:instrText xml:space="preserve"> PAGEREF _Toc522030703 \h </w:instrText>
        </w:r>
        <w:r w:rsidR="000614A3" w:rsidRPr="00B73D7E">
          <w:rPr>
            <w:webHidden/>
          </w:rPr>
        </w:r>
        <w:r w:rsidR="000614A3" w:rsidRPr="00B73D7E">
          <w:rPr>
            <w:webHidden/>
          </w:rPr>
          <w:fldChar w:fldCharType="separate"/>
        </w:r>
        <w:r w:rsidR="000614A3" w:rsidRPr="00B73D7E">
          <w:rPr>
            <w:webHidden/>
          </w:rPr>
          <w:t>93</w:t>
        </w:r>
        <w:r w:rsidR="000614A3" w:rsidRPr="00B73D7E">
          <w:rPr>
            <w:webHidden/>
          </w:rPr>
          <w:fldChar w:fldCharType="end"/>
        </w:r>
      </w:hyperlink>
    </w:p>
    <w:p w:rsidR="000614A3" w:rsidRPr="00B73D7E" w:rsidRDefault="00BF5281">
      <w:pPr>
        <w:pStyle w:val="TableofFigures"/>
        <w:tabs>
          <w:tab w:val="right" w:leader="dot" w:pos="9074"/>
        </w:tabs>
        <w:rPr>
          <w:rFonts w:eastAsiaTheme="minorEastAsia"/>
        </w:rPr>
      </w:pPr>
      <w:hyperlink w:anchor="_Toc522030704" w:history="1">
        <w:r w:rsidR="000614A3" w:rsidRPr="00B73D7E">
          <w:rPr>
            <w:rStyle w:val="Hyperlink"/>
          </w:rPr>
          <w:t>Каре 3. Ръководни принципи за адаптация</w:t>
        </w:r>
        <w:r w:rsidR="000614A3" w:rsidRPr="00B73D7E">
          <w:rPr>
            <w:webHidden/>
          </w:rPr>
          <w:tab/>
        </w:r>
        <w:r w:rsidR="000614A3" w:rsidRPr="00B73D7E">
          <w:rPr>
            <w:webHidden/>
          </w:rPr>
          <w:fldChar w:fldCharType="begin"/>
        </w:r>
        <w:r w:rsidR="000614A3" w:rsidRPr="00B73D7E">
          <w:rPr>
            <w:webHidden/>
          </w:rPr>
          <w:instrText xml:space="preserve"> PAGEREF _Toc522030704 \h </w:instrText>
        </w:r>
        <w:r w:rsidR="000614A3" w:rsidRPr="00B73D7E">
          <w:rPr>
            <w:webHidden/>
          </w:rPr>
        </w:r>
        <w:r w:rsidR="000614A3" w:rsidRPr="00B73D7E">
          <w:rPr>
            <w:webHidden/>
          </w:rPr>
          <w:fldChar w:fldCharType="separate"/>
        </w:r>
        <w:r w:rsidR="000614A3" w:rsidRPr="00B73D7E">
          <w:rPr>
            <w:webHidden/>
          </w:rPr>
          <w:t>118</w:t>
        </w:r>
        <w:r w:rsidR="000614A3" w:rsidRPr="00B73D7E">
          <w:rPr>
            <w:webHidden/>
          </w:rPr>
          <w:fldChar w:fldCharType="end"/>
        </w:r>
      </w:hyperlink>
    </w:p>
    <w:p w:rsidR="00AA4661" w:rsidRPr="00B73D7E" w:rsidRDefault="00AA4661" w:rsidP="00B73D7E">
      <w:pPr>
        <w:pStyle w:val="Heading1"/>
        <w:spacing w:before="300" w:after="120"/>
        <w:jc w:val="both"/>
        <w:rPr>
          <w:rFonts w:eastAsia="Times New Roman"/>
          <w:bCs w:val="0"/>
          <w:color w:val="2F5496"/>
          <w:sz w:val="32"/>
          <w:szCs w:val="32"/>
          <w:lang w:val="bg-BG" w:eastAsia="en-US"/>
        </w:rPr>
      </w:pPr>
      <w:r w:rsidRPr="00F8728A">
        <w:rPr>
          <w:rFonts w:ascii="Times New Roman" w:hAnsi="Times New Roman"/>
          <w:b w:val="0"/>
          <w:bCs w:val="0"/>
          <w:sz w:val="32"/>
          <w:szCs w:val="32"/>
        </w:rPr>
        <w:lastRenderedPageBreak/>
        <w:fldChar w:fldCharType="end"/>
      </w:r>
      <w:bookmarkStart w:id="4" w:name="_Toc522030525"/>
      <w:bookmarkStart w:id="5" w:name="_Toc529285510"/>
      <w:bookmarkStart w:id="6" w:name="_Toc501454824"/>
      <w:bookmarkStart w:id="7" w:name="_Toc486942150"/>
      <w:r w:rsidRPr="00B73D7E">
        <w:rPr>
          <w:rFonts w:eastAsia="Times New Roman"/>
          <w:bCs w:val="0"/>
          <w:color w:val="2F5496"/>
          <w:sz w:val="32"/>
          <w:szCs w:val="32"/>
          <w:lang w:val="bg-BG" w:eastAsia="en-US"/>
        </w:rPr>
        <w:t>Съкращения и акроними</w:t>
      </w:r>
      <w:bookmarkEnd w:id="4"/>
      <w:bookmarkEnd w:id="5"/>
      <w:r w:rsidRPr="00B73D7E">
        <w:rPr>
          <w:rFonts w:eastAsia="Times New Roman"/>
          <w:bCs w:val="0"/>
          <w:color w:val="2F5496"/>
          <w:sz w:val="32"/>
          <w:szCs w:val="32"/>
          <w:lang w:val="bg-BG" w:eastAsia="en-US"/>
        </w:rPr>
        <w:t xml:space="preserve"> </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ACE</w:t>
      </w:r>
      <w:r w:rsidRPr="00F8728A">
        <w:rPr>
          <w:rFonts w:ascii="Times New Roman" w:hAnsi="Times New Roman"/>
          <w:sz w:val="24"/>
          <w:szCs w:val="24"/>
        </w:rPr>
        <w:tab/>
      </w:r>
      <w:r w:rsidRPr="00F8728A">
        <w:rPr>
          <w:rFonts w:ascii="Times New Roman" w:hAnsi="Times New Roman"/>
          <w:sz w:val="24"/>
          <w:szCs w:val="24"/>
        </w:rPr>
        <w:tab/>
        <w:t>Съвет на архитектите в Европа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AESOP</w:t>
      </w:r>
      <w:r w:rsidRPr="00F8728A">
        <w:rPr>
          <w:rFonts w:ascii="Times New Roman" w:hAnsi="Times New Roman"/>
          <w:sz w:val="24"/>
          <w:szCs w:val="24"/>
        </w:rPr>
        <w:tab/>
        <w:t>Асоциация на европейските училища по планиране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AR5</w:t>
      </w:r>
      <w:r w:rsidRPr="00F8728A">
        <w:rPr>
          <w:rFonts w:ascii="Times New Roman" w:hAnsi="Times New Roman"/>
          <w:sz w:val="24"/>
          <w:szCs w:val="24"/>
        </w:rPr>
        <w:tab/>
      </w:r>
      <w:r w:rsidRPr="00F8728A">
        <w:rPr>
          <w:rFonts w:ascii="Times New Roman" w:hAnsi="Times New Roman"/>
          <w:sz w:val="24"/>
          <w:szCs w:val="24"/>
        </w:rPr>
        <w:tab/>
        <w:t>Пети доклад за оценка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ARC</w:t>
      </w:r>
      <w:r w:rsidRPr="00F8728A">
        <w:rPr>
          <w:rFonts w:ascii="Times New Roman" w:hAnsi="Times New Roman"/>
          <w:sz w:val="24"/>
          <w:szCs w:val="24"/>
        </w:rPr>
        <w:tab/>
      </w:r>
      <w:r w:rsidRPr="00F8728A">
        <w:rPr>
          <w:rFonts w:ascii="Times New Roman" w:hAnsi="Times New Roman"/>
          <w:sz w:val="24"/>
          <w:szCs w:val="24"/>
        </w:rPr>
        <w:tab/>
        <w:t>Доклад за оценка на изменението на климата и градовете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BGBC</w:t>
      </w:r>
      <w:r w:rsidRPr="00F8728A">
        <w:rPr>
          <w:rFonts w:ascii="Times New Roman" w:hAnsi="Times New Roman"/>
          <w:sz w:val="24"/>
          <w:szCs w:val="24"/>
        </w:rPr>
        <w:tab/>
      </w:r>
      <w:r w:rsidRPr="00F8728A">
        <w:rPr>
          <w:rFonts w:ascii="Times New Roman" w:hAnsi="Times New Roman"/>
          <w:sz w:val="24"/>
          <w:szCs w:val="24"/>
        </w:rPr>
        <w:tab/>
        <w:t>Български съвет за устойчиво развитие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CCC</w:t>
      </w:r>
      <w:r w:rsidRPr="00F8728A">
        <w:rPr>
          <w:rFonts w:ascii="Times New Roman" w:hAnsi="Times New Roman"/>
          <w:sz w:val="24"/>
          <w:szCs w:val="24"/>
        </w:rPr>
        <w:tab/>
      </w:r>
      <w:r w:rsidRPr="00F8728A">
        <w:rPr>
          <w:rFonts w:ascii="Times New Roman" w:hAnsi="Times New Roman"/>
          <w:sz w:val="24"/>
          <w:szCs w:val="24"/>
        </w:rPr>
        <w:tab/>
        <w:t>Комитет по изменението на климата, Обединеното кралство</w:t>
      </w:r>
    </w:p>
    <w:p w:rsidR="00AA4661" w:rsidRPr="00F8728A" w:rsidRDefault="00AA4661" w:rsidP="000D39D8">
      <w:pPr>
        <w:spacing w:before="60" w:after="80" w:line="276" w:lineRule="auto"/>
        <w:ind w:left="1416" w:hanging="1416"/>
        <w:jc w:val="both"/>
        <w:rPr>
          <w:rFonts w:ascii="Times New Roman" w:hAnsi="Times New Roman"/>
          <w:sz w:val="24"/>
          <w:szCs w:val="24"/>
        </w:rPr>
      </w:pPr>
      <w:r w:rsidRPr="00F8728A">
        <w:rPr>
          <w:rFonts w:ascii="Times New Roman" w:hAnsi="Times New Roman"/>
          <w:sz w:val="24"/>
          <w:szCs w:val="24"/>
        </w:rPr>
        <w:t>CEMAT</w:t>
      </w:r>
      <w:r w:rsidRPr="00F8728A">
        <w:rPr>
          <w:rFonts w:ascii="Times New Roman" w:hAnsi="Times New Roman"/>
          <w:sz w:val="24"/>
          <w:szCs w:val="24"/>
        </w:rPr>
        <w:tab/>
        <w:t>Конференция на министрите, отговорни за пространственото/ регионалното планиране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COP 21</w:t>
      </w:r>
      <w:r w:rsidRPr="00F8728A">
        <w:rPr>
          <w:rFonts w:ascii="Times New Roman" w:hAnsi="Times New Roman"/>
          <w:sz w:val="24"/>
          <w:szCs w:val="24"/>
        </w:rPr>
        <w:tab/>
        <w:t>Конференция на страните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DEFRA</w:t>
      </w:r>
      <w:r w:rsidRPr="00F8728A">
        <w:rPr>
          <w:rFonts w:ascii="Times New Roman" w:hAnsi="Times New Roman"/>
          <w:sz w:val="24"/>
          <w:szCs w:val="24"/>
        </w:rPr>
        <w:tab/>
        <w:t>Отдел по въпросите на околната среда, храните и селските райони</w:t>
      </w:r>
    </w:p>
    <w:p w:rsidR="00AA4661" w:rsidRPr="00F8728A" w:rsidRDefault="00AA4661" w:rsidP="000D39D8">
      <w:pPr>
        <w:spacing w:before="60" w:after="80" w:line="276" w:lineRule="auto"/>
        <w:ind w:left="1416" w:hanging="1416"/>
        <w:jc w:val="both"/>
        <w:rPr>
          <w:rFonts w:ascii="Times New Roman" w:hAnsi="Times New Roman"/>
          <w:sz w:val="24"/>
          <w:szCs w:val="24"/>
        </w:rPr>
      </w:pPr>
      <w:r w:rsidRPr="00F8728A">
        <w:rPr>
          <w:rFonts w:ascii="Times New Roman" w:hAnsi="Times New Roman"/>
          <w:sz w:val="24"/>
          <w:szCs w:val="24"/>
        </w:rPr>
        <w:t>DGNB</w:t>
      </w:r>
      <w:r w:rsidRPr="00F8728A">
        <w:rPr>
          <w:rFonts w:ascii="Times New Roman" w:hAnsi="Times New Roman"/>
          <w:sz w:val="24"/>
          <w:szCs w:val="24"/>
        </w:rPr>
        <w:tab/>
        <w:t xml:space="preserve">Deutsche Gesellschaft für Nachhaltiges Bauen (Съвет по устойчиво развитие на Германия) </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ECLAS</w:t>
      </w:r>
      <w:r w:rsidRPr="00F8728A">
        <w:rPr>
          <w:rFonts w:ascii="Times New Roman" w:hAnsi="Times New Roman"/>
          <w:sz w:val="24"/>
          <w:szCs w:val="24"/>
        </w:rPr>
        <w:tab/>
        <w:t>Европейски съвет на училищата по ландшафтна архитектура</w:t>
      </w:r>
    </w:p>
    <w:p w:rsidR="00AA4661" w:rsidRPr="00F8728A" w:rsidRDefault="00AA4661" w:rsidP="000D39D8">
      <w:pPr>
        <w:spacing w:before="60" w:after="80" w:line="276" w:lineRule="auto"/>
        <w:ind w:left="1416" w:hanging="1416"/>
        <w:jc w:val="both"/>
        <w:rPr>
          <w:rFonts w:ascii="Times New Roman" w:hAnsi="Times New Roman"/>
          <w:sz w:val="24"/>
          <w:szCs w:val="24"/>
        </w:rPr>
      </w:pPr>
      <w:r w:rsidRPr="00F8728A">
        <w:rPr>
          <w:rFonts w:ascii="Times New Roman" w:hAnsi="Times New Roman"/>
          <w:sz w:val="24"/>
          <w:szCs w:val="24"/>
        </w:rPr>
        <w:t>ECTP</w:t>
      </w:r>
      <w:r w:rsidRPr="00F8728A">
        <w:rPr>
          <w:rFonts w:ascii="Times New Roman" w:hAnsi="Times New Roman"/>
          <w:sz w:val="24"/>
          <w:szCs w:val="24"/>
        </w:rPr>
        <w:tab/>
        <w:t>Европейски съвет на специалистите по градоустройство/пространствено планиране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ESPON</w:t>
      </w:r>
      <w:r w:rsidRPr="00F8728A">
        <w:rPr>
          <w:rFonts w:ascii="Times New Roman" w:hAnsi="Times New Roman"/>
          <w:sz w:val="24"/>
          <w:szCs w:val="24"/>
        </w:rPr>
        <w:tab/>
        <w:t>Европейска мрежа за наблюдение на териториалното планиране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EUDSR</w:t>
      </w:r>
      <w:r w:rsidRPr="00F8728A">
        <w:rPr>
          <w:rFonts w:ascii="Times New Roman" w:hAnsi="Times New Roman"/>
          <w:sz w:val="24"/>
          <w:szCs w:val="24"/>
        </w:rPr>
        <w:tab/>
        <w:t>Стратегия на ЕС за региона на река Дунав</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FCERM</w:t>
      </w:r>
      <w:r w:rsidRPr="00F8728A">
        <w:rPr>
          <w:rFonts w:ascii="Times New Roman" w:hAnsi="Times New Roman"/>
          <w:sz w:val="24"/>
          <w:szCs w:val="24"/>
        </w:rPr>
        <w:tab/>
        <w:t>Управление на риска от наводнения и ерозия на бреговете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FIEC</w:t>
      </w:r>
      <w:r w:rsidRPr="00F8728A">
        <w:rPr>
          <w:rFonts w:ascii="Times New Roman" w:hAnsi="Times New Roman"/>
          <w:sz w:val="24"/>
          <w:szCs w:val="24"/>
        </w:rPr>
        <w:tab/>
      </w:r>
      <w:r w:rsidRPr="00F8728A">
        <w:rPr>
          <w:rFonts w:ascii="Times New Roman" w:hAnsi="Times New Roman"/>
          <w:sz w:val="24"/>
          <w:szCs w:val="24"/>
        </w:rPr>
        <w:tab/>
        <w:t xml:space="preserve">Европейска федерация на строителната  индустрия </w:t>
      </w:r>
    </w:p>
    <w:p w:rsidR="00AA4661" w:rsidRPr="00F8728A" w:rsidRDefault="00AA4661" w:rsidP="000D39D8">
      <w:pPr>
        <w:spacing w:before="60" w:after="80" w:line="276" w:lineRule="auto"/>
        <w:ind w:left="1416" w:hanging="1416"/>
        <w:jc w:val="both"/>
        <w:rPr>
          <w:rFonts w:ascii="Times New Roman" w:hAnsi="Times New Roman"/>
          <w:sz w:val="24"/>
          <w:szCs w:val="24"/>
        </w:rPr>
      </w:pPr>
      <w:r w:rsidRPr="00F8728A">
        <w:rPr>
          <w:rFonts w:ascii="Times New Roman" w:hAnsi="Times New Roman"/>
          <w:sz w:val="24"/>
          <w:szCs w:val="24"/>
        </w:rPr>
        <w:t>FR7</w:t>
      </w:r>
      <w:r w:rsidRPr="00F8728A">
        <w:rPr>
          <w:rFonts w:ascii="Times New Roman" w:hAnsi="Times New Roman"/>
          <w:sz w:val="24"/>
          <w:szCs w:val="24"/>
        </w:rPr>
        <w:tab/>
        <w:t>7-ма рамкова програма на Европейската комисия под ръководството на ГД „Научни изследвания и иновации“</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GIP</w:t>
      </w:r>
      <w:r w:rsidRPr="00F8728A">
        <w:rPr>
          <w:rFonts w:ascii="Times New Roman" w:hAnsi="Times New Roman"/>
          <w:sz w:val="24"/>
          <w:szCs w:val="24"/>
        </w:rPr>
        <w:tab/>
      </w:r>
      <w:r w:rsidRPr="00F8728A">
        <w:rPr>
          <w:rFonts w:ascii="Times New Roman" w:hAnsi="Times New Roman"/>
          <w:sz w:val="24"/>
          <w:szCs w:val="24"/>
        </w:rPr>
        <w:tab/>
        <w:t>Партньорство за зелена инфраструктура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GLA</w:t>
      </w:r>
      <w:r w:rsidRPr="00F8728A">
        <w:rPr>
          <w:rFonts w:ascii="Times New Roman" w:hAnsi="Times New Roman"/>
          <w:sz w:val="24"/>
          <w:szCs w:val="24"/>
        </w:rPr>
        <w:tab/>
      </w:r>
      <w:r w:rsidRPr="00F8728A">
        <w:rPr>
          <w:rFonts w:ascii="Times New Roman" w:hAnsi="Times New Roman"/>
          <w:sz w:val="24"/>
          <w:szCs w:val="24"/>
        </w:rPr>
        <w:tab/>
        <w:t>Регион Голям Лондон</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GML</w:t>
      </w:r>
      <w:r w:rsidRPr="00F8728A">
        <w:rPr>
          <w:rFonts w:ascii="Times New Roman" w:hAnsi="Times New Roman"/>
          <w:sz w:val="24"/>
          <w:szCs w:val="24"/>
        </w:rPr>
        <w:tab/>
      </w:r>
      <w:r w:rsidRPr="00F8728A">
        <w:rPr>
          <w:rFonts w:ascii="Times New Roman" w:hAnsi="Times New Roman"/>
          <w:sz w:val="24"/>
          <w:szCs w:val="24"/>
        </w:rPr>
        <w:tab/>
        <w:t>Стандарт за кодиране на географско картографиране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GVA</w:t>
      </w:r>
      <w:r w:rsidRPr="00F8728A">
        <w:rPr>
          <w:rFonts w:ascii="Times New Roman" w:hAnsi="Times New Roman"/>
          <w:sz w:val="24"/>
          <w:szCs w:val="24"/>
        </w:rPr>
        <w:tab/>
      </w:r>
      <w:r w:rsidRPr="00F8728A">
        <w:rPr>
          <w:rFonts w:ascii="Times New Roman" w:hAnsi="Times New Roman"/>
          <w:sz w:val="24"/>
          <w:szCs w:val="24"/>
        </w:rPr>
        <w:tab/>
        <w:t>Брутна добавена стойност</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HEAL</w:t>
      </w:r>
      <w:r w:rsidRPr="00F8728A">
        <w:rPr>
          <w:rFonts w:ascii="Times New Roman" w:hAnsi="Times New Roman"/>
          <w:sz w:val="24"/>
          <w:szCs w:val="24"/>
        </w:rPr>
        <w:tab/>
      </w:r>
      <w:r w:rsidRPr="00F8728A">
        <w:rPr>
          <w:rFonts w:ascii="Times New Roman" w:hAnsi="Times New Roman"/>
          <w:sz w:val="24"/>
          <w:szCs w:val="24"/>
        </w:rPr>
        <w:tab/>
        <w:t>Алианс за здраве и околна среда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ICPDR</w:t>
      </w:r>
      <w:r w:rsidRPr="00F8728A">
        <w:rPr>
          <w:rFonts w:ascii="Times New Roman" w:hAnsi="Times New Roman"/>
          <w:sz w:val="24"/>
          <w:szCs w:val="24"/>
        </w:rPr>
        <w:tab/>
      </w:r>
      <w:r w:rsidRPr="00F8728A">
        <w:rPr>
          <w:rFonts w:ascii="Times New Roman" w:hAnsi="Times New Roman"/>
          <w:sz w:val="24"/>
          <w:szCs w:val="24"/>
        </w:rPr>
        <w:tab/>
        <w:t>Международна комисия за защита на река Дунав</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IFLA</w:t>
      </w:r>
      <w:r w:rsidRPr="00F8728A">
        <w:rPr>
          <w:rFonts w:ascii="Times New Roman" w:hAnsi="Times New Roman"/>
          <w:sz w:val="24"/>
          <w:szCs w:val="24"/>
        </w:rPr>
        <w:tab/>
      </w:r>
      <w:r w:rsidRPr="00F8728A">
        <w:rPr>
          <w:rFonts w:ascii="Times New Roman" w:hAnsi="Times New Roman"/>
          <w:sz w:val="24"/>
          <w:szCs w:val="24"/>
        </w:rPr>
        <w:tab/>
        <w:t>Международна федерация на ландшафтните архитекти</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IIED</w:t>
      </w:r>
      <w:r w:rsidRPr="00F8728A">
        <w:rPr>
          <w:rFonts w:ascii="Times New Roman" w:hAnsi="Times New Roman"/>
          <w:sz w:val="24"/>
          <w:szCs w:val="24"/>
        </w:rPr>
        <w:tab/>
      </w:r>
      <w:r w:rsidRPr="00F8728A">
        <w:rPr>
          <w:rFonts w:ascii="Times New Roman" w:hAnsi="Times New Roman"/>
          <w:sz w:val="24"/>
          <w:szCs w:val="24"/>
        </w:rPr>
        <w:tab/>
        <w:t>Международен институт за околна среда и развитие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IPCC</w:t>
      </w:r>
      <w:r w:rsidRPr="00F8728A">
        <w:rPr>
          <w:rFonts w:ascii="Times New Roman" w:hAnsi="Times New Roman"/>
          <w:sz w:val="24"/>
          <w:szCs w:val="24"/>
        </w:rPr>
        <w:tab/>
      </w:r>
      <w:r w:rsidRPr="00F8728A">
        <w:rPr>
          <w:rFonts w:ascii="Times New Roman" w:hAnsi="Times New Roman"/>
          <w:sz w:val="24"/>
          <w:szCs w:val="24"/>
        </w:rPr>
        <w:tab/>
        <w:t>Междуправителствен комитет по изменение на климата</w:t>
      </w:r>
    </w:p>
    <w:p w:rsidR="00AA4661" w:rsidRPr="00F8728A" w:rsidRDefault="00AA4661" w:rsidP="000D39D8">
      <w:pPr>
        <w:spacing w:before="60" w:after="80" w:line="276" w:lineRule="auto"/>
        <w:ind w:left="1416" w:hanging="1416"/>
        <w:jc w:val="both"/>
        <w:rPr>
          <w:rFonts w:ascii="Times New Roman" w:hAnsi="Times New Roman"/>
          <w:sz w:val="24"/>
          <w:szCs w:val="24"/>
        </w:rPr>
      </w:pPr>
      <w:r w:rsidRPr="00F8728A">
        <w:rPr>
          <w:rFonts w:ascii="Times New Roman" w:hAnsi="Times New Roman"/>
          <w:sz w:val="24"/>
          <w:szCs w:val="24"/>
        </w:rPr>
        <w:t>ISoCaRP</w:t>
      </w:r>
      <w:r w:rsidRPr="00F8728A">
        <w:rPr>
          <w:rFonts w:ascii="Times New Roman" w:hAnsi="Times New Roman"/>
          <w:sz w:val="24"/>
          <w:szCs w:val="24"/>
        </w:rPr>
        <w:tab/>
        <w:t>Международна общност на специалистите по градоустройство и регионално планиране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JRC</w:t>
      </w:r>
      <w:r w:rsidRPr="00F8728A">
        <w:rPr>
          <w:rFonts w:ascii="Times New Roman" w:hAnsi="Times New Roman"/>
          <w:sz w:val="24"/>
          <w:szCs w:val="24"/>
        </w:rPr>
        <w:tab/>
      </w:r>
      <w:r w:rsidRPr="00F8728A">
        <w:rPr>
          <w:rFonts w:ascii="Times New Roman" w:hAnsi="Times New Roman"/>
          <w:sz w:val="24"/>
          <w:szCs w:val="24"/>
        </w:rPr>
        <w:tab/>
        <w:t>Съвместен изследователски център</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LCCS</w:t>
      </w:r>
      <w:r w:rsidRPr="00F8728A">
        <w:rPr>
          <w:rFonts w:ascii="Times New Roman" w:hAnsi="Times New Roman"/>
          <w:sz w:val="24"/>
          <w:szCs w:val="24"/>
        </w:rPr>
        <w:tab/>
      </w:r>
      <w:r w:rsidRPr="00F8728A">
        <w:rPr>
          <w:rFonts w:ascii="Times New Roman" w:hAnsi="Times New Roman"/>
          <w:sz w:val="24"/>
          <w:szCs w:val="24"/>
        </w:rPr>
        <w:tab/>
        <w:t xml:space="preserve">Система за класифициране на земното покритие </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LCML</w:t>
      </w:r>
      <w:r w:rsidRPr="00F8728A">
        <w:rPr>
          <w:rFonts w:ascii="Times New Roman" w:hAnsi="Times New Roman"/>
          <w:sz w:val="24"/>
          <w:szCs w:val="24"/>
        </w:rPr>
        <w:tab/>
      </w:r>
      <w:r w:rsidRPr="00F8728A">
        <w:rPr>
          <w:rFonts w:ascii="Times New Roman" w:hAnsi="Times New Roman"/>
          <w:sz w:val="24"/>
          <w:szCs w:val="24"/>
        </w:rPr>
        <w:tab/>
        <w:t>Мета език относно земното покритие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lastRenderedPageBreak/>
        <w:t>LEED</w:t>
      </w:r>
      <w:r w:rsidRPr="00F8728A">
        <w:rPr>
          <w:rFonts w:ascii="Times New Roman" w:hAnsi="Times New Roman"/>
          <w:sz w:val="24"/>
          <w:szCs w:val="24"/>
        </w:rPr>
        <w:tab/>
      </w:r>
      <w:r w:rsidRPr="00F8728A">
        <w:rPr>
          <w:rFonts w:ascii="Times New Roman" w:hAnsi="Times New Roman"/>
          <w:sz w:val="24"/>
          <w:szCs w:val="24"/>
        </w:rPr>
        <w:tab/>
        <w:t xml:space="preserve">Лидерство в енергийното и екологично проектиране </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LUZ</w:t>
      </w:r>
      <w:r w:rsidRPr="00F8728A">
        <w:rPr>
          <w:rFonts w:ascii="Times New Roman" w:hAnsi="Times New Roman"/>
          <w:sz w:val="24"/>
          <w:szCs w:val="24"/>
        </w:rPr>
        <w:tab/>
      </w:r>
      <w:r w:rsidRPr="00F8728A">
        <w:rPr>
          <w:rFonts w:ascii="Times New Roman" w:hAnsi="Times New Roman"/>
          <w:sz w:val="24"/>
          <w:szCs w:val="24"/>
        </w:rPr>
        <w:tab/>
        <w:t>По-голяма урбанизирана зона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MARSPLAN-BS</w:t>
      </w:r>
      <w:r w:rsidRPr="00F8728A">
        <w:t xml:space="preserve"> </w:t>
      </w:r>
      <w:r w:rsidRPr="00F8728A">
        <w:rPr>
          <w:rFonts w:ascii="Times New Roman" w:hAnsi="Times New Roman"/>
          <w:sz w:val="24"/>
          <w:szCs w:val="24"/>
        </w:rPr>
        <w:t>Трансграничен морски пространствен план за Черно море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NAS</w:t>
      </w:r>
      <w:r w:rsidRPr="00F8728A">
        <w:rPr>
          <w:rFonts w:ascii="Times New Roman" w:hAnsi="Times New Roman"/>
          <w:sz w:val="24"/>
          <w:szCs w:val="24"/>
        </w:rPr>
        <w:tab/>
      </w:r>
      <w:r w:rsidRPr="00F8728A">
        <w:rPr>
          <w:rFonts w:ascii="Times New Roman" w:hAnsi="Times New Roman"/>
          <w:sz w:val="24"/>
          <w:szCs w:val="24"/>
        </w:rPr>
        <w:tab/>
        <w:t>Национална стратегия за адаптиране на Нидерландия</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NBRI</w:t>
      </w:r>
      <w:r w:rsidRPr="00F8728A">
        <w:rPr>
          <w:rFonts w:ascii="Times New Roman" w:hAnsi="Times New Roman"/>
          <w:sz w:val="24"/>
          <w:szCs w:val="24"/>
        </w:rPr>
        <w:tab/>
      </w:r>
      <w:r w:rsidRPr="00F8728A">
        <w:rPr>
          <w:rFonts w:ascii="Times New Roman" w:hAnsi="Times New Roman"/>
          <w:sz w:val="24"/>
          <w:szCs w:val="24"/>
        </w:rPr>
        <w:tab/>
        <w:t>Национален институт за изследване на строителството</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NPFF</w:t>
      </w:r>
      <w:r w:rsidRPr="00F8728A">
        <w:rPr>
          <w:rFonts w:ascii="Times New Roman" w:hAnsi="Times New Roman"/>
          <w:sz w:val="24"/>
          <w:szCs w:val="24"/>
        </w:rPr>
        <w:tab/>
      </w:r>
      <w:r w:rsidRPr="00F8728A">
        <w:rPr>
          <w:rFonts w:ascii="Times New Roman" w:hAnsi="Times New Roman"/>
          <w:sz w:val="24"/>
          <w:szCs w:val="24"/>
        </w:rPr>
        <w:tab/>
        <w:t xml:space="preserve">Национална рамка за политики по планирането </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NUTS</w:t>
      </w:r>
      <w:r w:rsidRPr="00F8728A">
        <w:rPr>
          <w:rFonts w:ascii="Times New Roman" w:hAnsi="Times New Roman"/>
          <w:sz w:val="24"/>
          <w:szCs w:val="24"/>
        </w:rPr>
        <w:tab/>
      </w:r>
      <w:r w:rsidRPr="00F8728A">
        <w:rPr>
          <w:rFonts w:ascii="Times New Roman" w:hAnsi="Times New Roman"/>
          <w:sz w:val="24"/>
          <w:szCs w:val="24"/>
        </w:rPr>
        <w:tab/>
        <w:t>Обща класификация на териториалните единици за статистически цели</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OGC</w:t>
      </w:r>
      <w:r w:rsidRPr="00F8728A">
        <w:rPr>
          <w:rFonts w:ascii="Times New Roman" w:hAnsi="Times New Roman"/>
          <w:sz w:val="24"/>
          <w:szCs w:val="24"/>
        </w:rPr>
        <w:tab/>
      </w:r>
      <w:r w:rsidRPr="00F8728A">
        <w:rPr>
          <w:rFonts w:ascii="Times New Roman" w:hAnsi="Times New Roman"/>
          <w:sz w:val="24"/>
          <w:szCs w:val="24"/>
        </w:rPr>
        <w:tab/>
        <w:t>Отворен геопространствен консорциум</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OROK</w:t>
      </w:r>
      <w:r w:rsidRPr="00F8728A">
        <w:rPr>
          <w:rFonts w:ascii="Times New Roman" w:hAnsi="Times New Roman"/>
          <w:sz w:val="24"/>
          <w:szCs w:val="24"/>
        </w:rPr>
        <w:tab/>
      </w:r>
      <w:r w:rsidRPr="00F8728A">
        <w:rPr>
          <w:rFonts w:ascii="Times New Roman" w:hAnsi="Times New Roman"/>
          <w:sz w:val="24"/>
          <w:szCs w:val="24"/>
        </w:rPr>
        <w:tab/>
        <w:t>Австрийска конференция по териториално планиране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PIK</w:t>
      </w:r>
      <w:r w:rsidRPr="00F8728A">
        <w:rPr>
          <w:rFonts w:ascii="Times New Roman" w:hAnsi="Times New Roman"/>
          <w:sz w:val="24"/>
          <w:szCs w:val="24"/>
        </w:rPr>
        <w:tab/>
      </w:r>
      <w:r w:rsidRPr="00F8728A">
        <w:rPr>
          <w:rFonts w:ascii="Times New Roman" w:hAnsi="Times New Roman"/>
          <w:sz w:val="24"/>
          <w:szCs w:val="24"/>
        </w:rPr>
        <w:tab/>
        <w:t>Потсдамски институт за изследване влиянието на изменението на климата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RCP</w:t>
      </w:r>
      <w:r w:rsidRPr="00F8728A">
        <w:rPr>
          <w:rFonts w:ascii="Times New Roman" w:hAnsi="Times New Roman"/>
          <w:sz w:val="24"/>
          <w:szCs w:val="24"/>
        </w:rPr>
        <w:tab/>
      </w:r>
      <w:r w:rsidRPr="00F8728A">
        <w:rPr>
          <w:rFonts w:ascii="Times New Roman" w:hAnsi="Times New Roman"/>
          <w:sz w:val="24"/>
          <w:szCs w:val="24"/>
        </w:rPr>
        <w:tab/>
        <w:t>Сценарий за изменение на климата [Representative Concentration Pathway]</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TCPA</w:t>
      </w:r>
      <w:r w:rsidRPr="00F8728A">
        <w:rPr>
          <w:rFonts w:ascii="Times New Roman" w:hAnsi="Times New Roman"/>
          <w:sz w:val="24"/>
          <w:szCs w:val="24"/>
        </w:rPr>
        <w:tab/>
      </w:r>
      <w:r w:rsidRPr="00F8728A">
        <w:rPr>
          <w:rFonts w:ascii="Times New Roman" w:hAnsi="Times New Roman"/>
          <w:sz w:val="24"/>
          <w:szCs w:val="24"/>
        </w:rPr>
        <w:tab/>
        <w:t xml:space="preserve">Асоциация за градско и областно планиране </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UBA-D</w:t>
      </w:r>
      <w:r w:rsidRPr="00F8728A">
        <w:rPr>
          <w:rFonts w:ascii="Times New Roman" w:hAnsi="Times New Roman"/>
          <w:sz w:val="24"/>
          <w:szCs w:val="24"/>
        </w:rPr>
        <w:tab/>
        <w:t>Umweltbundesamt Deutschland (Агенция по околната среда, Германия)</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UBA-Ö</w:t>
      </w:r>
      <w:r w:rsidRPr="00F8728A">
        <w:rPr>
          <w:rFonts w:ascii="Times New Roman" w:hAnsi="Times New Roman"/>
          <w:sz w:val="24"/>
          <w:szCs w:val="24"/>
        </w:rPr>
        <w:tab/>
        <w:t>Umweltbundesamt Österreich (Агенция по околната среда, Австрия)</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UCCRN</w:t>
      </w:r>
      <w:r w:rsidRPr="00F8728A">
        <w:rPr>
          <w:rFonts w:ascii="Times New Roman" w:hAnsi="Times New Roman"/>
          <w:sz w:val="24"/>
          <w:szCs w:val="24"/>
        </w:rPr>
        <w:tab/>
        <w:t xml:space="preserve">Мрежа за изследвания на изменението на климата в градовете </w:t>
      </w:r>
    </w:p>
    <w:p w:rsidR="00AA4661" w:rsidRPr="00F8728A" w:rsidRDefault="00AA4661" w:rsidP="000D39D8">
      <w:pPr>
        <w:spacing w:before="60" w:after="80" w:line="276" w:lineRule="auto"/>
        <w:ind w:left="1416" w:hanging="1416"/>
        <w:jc w:val="both"/>
        <w:rPr>
          <w:rFonts w:ascii="Times New Roman" w:hAnsi="Times New Roman"/>
          <w:sz w:val="24"/>
          <w:szCs w:val="24"/>
        </w:rPr>
      </w:pPr>
      <w:r w:rsidRPr="00F8728A">
        <w:rPr>
          <w:rFonts w:ascii="Times New Roman" w:hAnsi="Times New Roman"/>
          <w:sz w:val="24"/>
          <w:szCs w:val="24"/>
        </w:rPr>
        <w:t>UK-CIP</w:t>
      </w:r>
      <w:r w:rsidRPr="00F8728A">
        <w:rPr>
          <w:rFonts w:ascii="Times New Roman" w:hAnsi="Times New Roman"/>
          <w:sz w:val="24"/>
          <w:szCs w:val="24"/>
        </w:rPr>
        <w:tab/>
        <w:t>Програма за въздействията от изменението на климата на Обединеното кралство</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VROM</w:t>
      </w:r>
      <w:r w:rsidRPr="00F8728A">
        <w:rPr>
          <w:rFonts w:ascii="Times New Roman" w:hAnsi="Times New Roman"/>
          <w:sz w:val="24"/>
          <w:szCs w:val="24"/>
        </w:rPr>
        <w:tab/>
        <w:t>Министерство на териториалното планиране, жилищното строителство и</w:t>
      </w:r>
      <w:r w:rsidRPr="00F8728A">
        <w:rPr>
          <w:rFonts w:ascii="Times New Roman" w:hAnsi="Times New Roman"/>
          <w:sz w:val="24"/>
          <w:szCs w:val="24"/>
        </w:rPr>
        <w:tab/>
      </w:r>
      <w:r w:rsidRPr="00F8728A">
        <w:rPr>
          <w:rFonts w:ascii="Times New Roman" w:hAnsi="Times New Roman"/>
          <w:sz w:val="24"/>
          <w:szCs w:val="24"/>
        </w:rPr>
        <w:tab/>
        <w:t>околната среда, Холандия</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WGII</w:t>
      </w:r>
      <w:r w:rsidRPr="00F8728A">
        <w:rPr>
          <w:rFonts w:ascii="Times New Roman" w:hAnsi="Times New Roman"/>
          <w:sz w:val="24"/>
          <w:szCs w:val="24"/>
        </w:rPr>
        <w:tab/>
      </w:r>
      <w:r w:rsidRPr="00F8728A">
        <w:rPr>
          <w:rFonts w:ascii="Times New Roman" w:hAnsi="Times New Roman"/>
          <w:sz w:val="24"/>
          <w:szCs w:val="24"/>
        </w:rPr>
        <w:tab/>
        <w:t>Работна група II</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АИК</w:t>
      </w:r>
      <w:r w:rsidRPr="00F8728A">
        <w:rPr>
          <w:rFonts w:ascii="Times New Roman" w:hAnsi="Times New Roman"/>
          <w:sz w:val="24"/>
          <w:szCs w:val="24"/>
        </w:rPr>
        <w:tab/>
      </w:r>
      <w:r w:rsidRPr="00F8728A">
        <w:rPr>
          <w:rFonts w:ascii="Times New Roman" w:hAnsi="Times New Roman"/>
          <w:sz w:val="24"/>
          <w:szCs w:val="24"/>
        </w:rPr>
        <w:tab/>
        <w:t>Адаптация към изменението на климата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АИО</w:t>
      </w:r>
      <w:r w:rsidRPr="00F8728A">
        <w:rPr>
          <w:rFonts w:ascii="Times New Roman" w:hAnsi="Times New Roman"/>
          <w:sz w:val="24"/>
          <w:szCs w:val="24"/>
        </w:rPr>
        <w:tab/>
      </w:r>
      <w:r w:rsidRPr="00F8728A">
        <w:rPr>
          <w:rFonts w:ascii="Times New Roman" w:hAnsi="Times New Roman"/>
          <w:sz w:val="24"/>
          <w:szCs w:val="24"/>
        </w:rPr>
        <w:tab/>
        <w:t>Анализ на икономическата ефективност</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 xml:space="preserve">АПИ </w:t>
      </w:r>
      <w:r w:rsidRPr="00F8728A">
        <w:rPr>
          <w:rFonts w:ascii="Times New Roman" w:hAnsi="Times New Roman"/>
          <w:sz w:val="24"/>
          <w:szCs w:val="24"/>
        </w:rPr>
        <w:tab/>
      </w:r>
      <w:r w:rsidRPr="00F8728A">
        <w:rPr>
          <w:rFonts w:ascii="Times New Roman" w:hAnsi="Times New Roman"/>
          <w:sz w:val="24"/>
          <w:szCs w:val="24"/>
        </w:rPr>
        <w:tab/>
        <w:t>Агенция „Пътна инфраструктура“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АРП</w:t>
      </w:r>
      <w:r w:rsidRPr="00F8728A">
        <w:rPr>
          <w:rFonts w:ascii="Times New Roman" w:hAnsi="Times New Roman"/>
          <w:sz w:val="24"/>
          <w:szCs w:val="24"/>
        </w:rPr>
        <w:tab/>
      </w:r>
      <w:r w:rsidRPr="00F8728A">
        <w:rPr>
          <w:rFonts w:ascii="Times New Roman" w:hAnsi="Times New Roman"/>
          <w:sz w:val="24"/>
          <w:szCs w:val="24"/>
        </w:rPr>
        <w:tab/>
        <w:t xml:space="preserve">Анализ на разходите и ползите </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АУРЕ</w:t>
      </w:r>
      <w:r w:rsidRPr="00F8728A">
        <w:rPr>
          <w:rFonts w:ascii="Times New Roman" w:hAnsi="Times New Roman"/>
          <w:sz w:val="24"/>
          <w:szCs w:val="24"/>
        </w:rPr>
        <w:tab/>
      </w:r>
      <w:r w:rsidRPr="00F8728A">
        <w:rPr>
          <w:rFonts w:ascii="Times New Roman" w:hAnsi="Times New Roman"/>
          <w:sz w:val="24"/>
          <w:szCs w:val="24"/>
        </w:rPr>
        <w:tab/>
        <w:t>Агенция за устойчиво развитие и евроинтеграция</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БАН</w:t>
      </w:r>
      <w:r w:rsidRPr="00F8728A">
        <w:rPr>
          <w:rFonts w:ascii="Times New Roman" w:hAnsi="Times New Roman"/>
          <w:sz w:val="24"/>
          <w:szCs w:val="24"/>
        </w:rPr>
        <w:tab/>
      </w:r>
      <w:r w:rsidRPr="00F8728A">
        <w:rPr>
          <w:rFonts w:ascii="Times New Roman" w:hAnsi="Times New Roman"/>
          <w:sz w:val="24"/>
          <w:szCs w:val="24"/>
        </w:rPr>
        <w:tab/>
        <w:t>Българска академия на науките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БВП</w:t>
      </w:r>
      <w:r w:rsidRPr="00F8728A">
        <w:rPr>
          <w:rFonts w:ascii="Times New Roman" w:hAnsi="Times New Roman"/>
          <w:sz w:val="24"/>
          <w:szCs w:val="24"/>
        </w:rPr>
        <w:tab/>
      </w:r>
      <w:r w:rsidRPr="00F8728A">
        <w:rPr>
          <w:rFonts w:ascii="Times New Roman" w:hAnsi="Times New Roman"/>
          <w:sz w:val="24"/>
          <w:szCs w:val="24"/>
        </w:rPr>
        <w:tab/>
        <w:t>Брутен вътрешен продукт</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БИС</w:t>
      </w:r>
      <w:r w:rsidRPr="00F8728A">
        <w:rPr>
          <w:rFonts w:ascii="Times New Roman" w:hAnsi="Times New Roman"/>
          <w:sz w:val="24"/>
          <w:szCs w:val="24"/>
        </w:rPr>
        <w:tab/>
      </w:r>
      <w:r w:rsidRPr="00F8728A">
        <w:rPr>
          <w:rFonts w:ascii="Times New Roman" w:hAnsi="Times New Roman"/>
          <w:sz w:val="24"/>
          <w:szCs w:val="24"/>
        </w:rPr>
        <w:tab/>
        <w:t>Български институт по стандартизация</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ГД „ГВА“</w:t>
      </w:r>
      <w:r w:rsidRPr="00F8728A">
        <w:rPr>
          <w:rFonts w:ascii="Times New Roman" w:hAnsi="Times New Roman"/>
          <w:sz w:val="24"/>
          <w:szCs w:val="24"/>
        </w:rPr>
        <w:tab/>
        <w:t>Главна дирекция "Гражданска въздухоплавателна администрация"</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ГДПБЗН</w:t>
      </w:r>
      <w:r w:rsidRPr="00F8728A">
        <w:rPr>
          <w:rFonts w:ascii="Times New Roman" w:hAnsi="Times New Roman"/>
          <w:sz w:val="24"/>
          <w:szCs w:val="24"/>
        </w:rPr>
        <w:tab/>
        <w:t>Главна дирекция „Пожарна безопасност и защита на населението“</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ГИС</w:t>
      </w:r>
      <w:r w:rsidRPr="00F8728A">
        <w:rPr>
          <w:rFonts w:ascii="Times New Roman" w:hAnsi="Times New Roman"/>
          <w:sz w:val="24"/>
          <w:szCs w:val="24"/>
        </w:rPr>
        <w:tab/>
      </w:r>
      <w:r w:rsidRPr="00F8728A">
        <w:rPr>
          <w:rFonts w:ascii="Times New Roman" w:hAnsi="Times New Roman"/>
          <w:sz w:val="24"/>
          <w:szCs w:val="24"/>
        </w:rPr>
        <w:tab/>
        <w:t>Географска информационна система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ДАЕУ</w:t>
      </w:r>
      <w:r w:rsidRPr="00F8728A">
        <w:rPr>
          <w:rFonts w:ascii="Times New Roman" w:hAnsi="Times New Roman"/>
          <w:sz w:val="24"/>
          <w:szCs w:val="24"/>
        </w:rPr>
        <w:tab/>
      </w:r>
      <w:r w:rsidRPr="00F8728A">
        <w:rPr>
          <w:rFonts w:ascii="Times New Roman" w:hAnsi="Times New Roman"/>
          <w:sz w:val="24"/>
          <w:szCs w:val="24"/>
        </w:rPr>
        <w:tab/>
        <w:t>Държавна агенция „Електронно управление“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ДНСК</w:t>
      </w:r>
      <w:r w:rsidRPr="00F8728A">
        <w:rPr>
          <w:rFonts w:ascii="Times New Roman" w:hAnsi="Times New Roman"/>
          <w:sz w:val="24"/>
          <w:szCs w:val="24"/>
        </w:rPr>
        <w:tab/>
      </w:r>
      <w:r w:rsidRPr="00F8728A">
        <w:rPr>
          <w:rFonts w:ascii="Times New Roman" w:hAnsi="Times New Roman"/>
          <w:sz w:val="24"/>
          <w:szCs w:val="24"/>
        </w:rPr>
        <w:tab/>
        <w:t xml:space="preserve">Дирекция за национален строителен контрол </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ЕААЕ</w:t>
      </w:r>
      <w:r w:rsidRPr="00F8728A">
        <w:rPr>
          <w:rFonts w:ascii="Times New Roman" w:hAnsi="Times New Roman"/>
          <w:sz w:val="24"/>
          <w:szCs w:val="24"/>
        </w:rPr>
        <w:tab/>
      </w:r>
      <w:r w:rsidRPr="00F8728A">
        <w:rPr>
          <w:rFonts w:ascii="Times New Roman" w:hAnsi="Times New Roman"/>
          <w:sz w:val="24"/>
          <w:szCs w:val="24"/>
        </w:rPr>
        <w:tab/>
        <w:t>Европейска асоциация за архитектурно обучение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ЕАОС</w:t>
      </w:r>
      <w:r w:rsidRPr="00F8728A">
        <w:rPr>
          <w:rFonts w:ascii="Times New Roman" w:hAnsi="Times New Roman"/>
          <w:sz w:val="24"/>
          <w:szCs w:val="24"/>
        </w:rPr>
        <w:tab/>
      </w:r>
      <w:r w:rsidRPr="00F8728A">
        <w:rPr>
          <w:rFonts w:ascii="Times New Roman" w:hAnsi="Times New Roman"/>
          <w:sz w:val="24"/>
          <w:szCs w:val="24"/>
        </w:rPr>
        <w:tab/>
        <w:t>Европейска агенция за околната среда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lastRenderedPageBreak/>
        <w:t>ЕИС</w:t>
      </w:r>
      <w:r w:rsidRPr="00F8728A">
        <w:rPr>
          <w:rFonts w:ascii="Times New Roman" w:hAnsi="Times New Roman"/>
          <w:sz w:val="24"/>
          <w:szCs w:val="24"/>
        </w:rPr>
        <w:tab/>
      </w:r>
      <w:r w:rsidRPr="00F8728A">
        <w:rPr>
          <w:rFonts w:ascii="Times New Roman" w:hAnsi="Times New Roman"/>
          <w:sz w:val="24"/>
          <w:szCs w:val="24"/>
        </w:rPr>
        <w:tab/>
        <w:t>Европейски инструмент за съседство</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ЕК</w:t>
      </w:r>
      <w:r w:rsidRPr="00F8728A">
        <w:rPr>
          <w:rFonts w:ascii="Times New Roman" w:hAnsi="Times New Roman"/>
          <w:sz w:val="24"/>
          <w:szCs w:val="24"/>
        </w:rPr>
        <w:tab/>
      </w:r>
      <w:r w:rsidRPr="00F8728A">
        <w:rPr>
          <w:rFonts w:ascii="Times New Roman" w:hAnsi="Times New Roman"/>
          <w:sz w:val="24"/>
          <w:szCs w:val="24"/>
        </w:rPr>
        <w:tab/>
        <w:t>Европейска комисия</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ЕО</w:t>
      </w:r>
      <w:r w:rsidRPr="00F8728A">
        <w:rPr>
          <w:rFonts w:ascii="Times New Roman" w:hAnsi="Times New Roman"/>
          <w:sz w:val="24"/>
          <w:szCs w:val="24"/>
        </w:rPr>
        <w:tab/>
      </w:r>
      <w:r w:rsidRPr="00F8728A">
        <w:rPr>
          <w:rFonts w:ascii="Times New Roman" w:hAnsi="Times New Roman"/>
          <w:sz w:val="24"/>
          <w:szCs w:val="24"/>
        </w:rPr>
        <w:tab/>
        <w:t>Екологична оценка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ЕС</w:t>
      </w:r>
      <w:r w:rsidRPr="00F8728A">
        <w:rPr>
          <w:rFonts w:ascii="Times New Roman" w:hAnsi="Times New Roman"/>
          <w:sz w:val="24"/>
          <w:szCs w:val="24"/>
        </w:rPr>
        <w:tab/>
      </w:r>
      <w:r w:rsidRPr="00F8728A">
        <w:rPr>
          <w:rFonts w:ascii="Times New Roman" w:hAnsi="Times New Roman"/>
          <w:sz w:val="24"/>
          <w:szCs w:val="24"/>
        </w:rPr>
        <w:tab/>
        <w:t>Европейски съюз</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ЕСИФ</w:t>
      </w:r>
      <w:r w:rsidRPr="00F8728A">
        <w:rPr>
          <w:rFonts w:ascii="Times New Roman" w:hAnsi="Times New Roman"/>
          <w:sz w:val="24"/>
          <w:szCs w:val="24"/>
        </w:rPr>
        <w:tab/>
      </w:r>
      <w:r w:rsidRPr="00F8728A">
        <w:rPr>
          <w:rFonts w:ascii="Times New Roman" w:hAnsi="Times New Roman"/>
          <w:sz w:val="24"/>
          <w:szCs w:val="24"/>
        </w:rPr>
        <w:tab/>
        <w:t>Европейски структурни и инвестиционни фондове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ЕСТЕ</w:t>
      </w:r>
      <w:r w:rsidRPr="00F8728A">
        <w:rPr>
          <w:rFonts w:ascii="Times New Roman" w:hAnsi="Times New Roman"/>
          <w:sz w:val="24"/>
          <w:szCs w:val="24"/>
        </w:rPr>
        <w:tab/>
      </w:r>
      <w:r w:rsidRPr="00F8728A">
        <w:rPr>
          <w:rFonts w:ascii="Times New Roman" w:hAnsi="Times New Roman"/>
          <w:sz w:val="24"/>
          <w:szCs w:val="24"/>
        </w:rPr>
        <w:tab/>
        <w:t>Европейска система за търговия с емисии</w:t>
      </w:r>
    </w:p>
    <w:p w:rsidR="00AA4661" w:rsidRPr="00F8728A" w:rsidRDefault="00AA4661" w:rsidP="000D39D8">
      <w:pPr>
        <w:spacing w:before="60" w:after="80" w:line="276" w:lineRule="auto"/>
        <w:ind w:left="1416" w:hanging="1416"/>
        <w:jc w:val="both"/>
        <w:rPr>
          <w:rFonts w:ascii="Times New Roman" w:hAnsi="Times New Roman"/>
          <w:sz w:val="24"/>
          <w:szCs w:val="24"/>
        </w:rPr>
      </w:pPr>
      <w:r w:rsidRPr="00F8728A">
        <w:rPr>
          <w:rFonts w:ascii="Times New Roman" w:hAnsi="Times New Roman"/>
          <w:sz w:val="24"/>
          <w:szCs w:val="24"/>
        </w:rPr>
        <w:t xml:space="preserve">ЕТЦ </w:t>
      </w:r>
      <w:r w:rsidRPr="00F8728A">
        <w:rPr>
          <w:rFonts w:ascii="Times New Roman" w:hAnsi="Times New Roman"/>
          <w:sz w:val="24"/>
          <w:szCs w:val="24"/>
        </w:rPr>
        <w:tab/>
        <w:t>Европейски тематичен център</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ЕФМДР</w:t>
      </w:r>
      <w:r w:rsidRPr="00F8728A">
        <w:rPr>
          <w:rFonts w:ascii="Times New Roman" w:hAnsi="Times New Roman"/>
          <w:sz w:val="24"/>
          <w:szCs w:val="24"/>
        </w:rPr>
        <w:tab/>
        <w:t>Европейски фонд за морско дело и рибарство</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ЕФРР</w:t>
      </w:r>
      <w:r w:rsidRPr="00F8728A">
        <w:rPr>
          <w:rFonts w:ascii="Times New Roman" w:hAnsi="Times New Roman"/>
          <w:sz w:val="24"/>
          <w:szCs w:val="24"/>
        </w:rPr>
        <w:tab/>
      </w:r>
      <w:r w:rsidRPr="00F8728A">
        <w:rPr>
          <w:rFonts w:ascii="Times New Roman" w:hAnsi="Times New Roman"/>
          <w:sz w:val="24"/>
          <w:szCs w:val="24"/>
        </w:rPr>
        <w:tab/>
        <w:t>Европейски фонд за регионално развитие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ЗОИК</w:t>
      </w:r>
      <w:r w:rsidRPr="00F8728A">
        <w:rPr>
          <w:rFonts w:ascii="Times New Roman" w:hAnsi="Times New Roman"/>
          <w:sz w:val="24"/>
          <w:szCs w:val="24"/>
        </w:rPr>
        <w:tab/>
      </w:r>
      <w:r w:rsidRPr="00F8728A">
        <w:rPr>
          <w:rFonts w:ascii="Times New Roman" w:hAnsi="Times New Roman"/>
          <w:sz w:val="24"/>
          <w:szCs w:val="24"/>
        </w:rPr>
        <w:tab/>
        <w:t>Закон за ограничаване изменението на климата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ЗРР</w:t>
      </w:r>
      <w:r w:rsidRPr="00F8728A">
        <w:rPr>
          <w:rFonts w:ascii="Times New Roman" w:hAnsi="Times New Roman"/>
          <w:sz w:val="24"/>
          <w:szCs w:val="24"/>
        </w:rPr>
        <w:tab/>
      </w:r>
      <w:r w:rsidRPr="00F8728A">
        <w:rPr>
          <w:rFonts w:ascii="Times New Roman" w:hAnsi="Times New Roman"/>
          <w:sz w:val="24"/>
          <w:szCs w:val="24"/>
        </w:rPr>
        <w:tab/>
        <w:t>Закон за регионалното развитие</w:t>
      </w:r>
    </w:p>
    <w:p w:rsidR="00346372"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ЗУТ</w:t>
      </w:r>
      <w:r w:rsidRPr="00F8728A">
        <w:rPr>
          <w:rFonts w:ascii="Times New Roman" w:hAnsi="Times New Roman"/>
          <w:sz w:val="24"/>
          <w:szCs w:val="24"/>
        </w:rPr>
        <w:tab/>
      </w:r>
      <w:r w:rsidRPr="00F8728A">
        <w:rPr>
          <w:rFonts w:ascii="Times New Roman" w:hAnsi="Times New Roman"/>
          <w:sz w:val="24"/>
          <w:szCs w:val="24"/>
        </w:rPr>
        <w:tab/>
        <w:t>Закон за устройство на територията</w:t>
      </w:r>
    </w:p>
    <w:p w:rsidR="00383804" w:rsidRPr="00F8728A" w:rsidRDefault="00383804"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ЗУЧК</w:t>
      </w:r>
      <w:r w:rsidRPr="00F8728A">
        <w:rPr>
          <w:rFonts w:ascii="Times New Roman" w:hAnsi="Times New Roman"/>
          <w:sz w:val="24"/>
          <w:szCs w:val="24"/>
        </w:rPr>
        <w:tab/>
      </w:r>
      <w:r w:rsidRPr="00F8728A">
        <w:rPr>
          <w:rFonts w:ascii="Times New Roman" w:hAnsi="Times New Roman"/>
          <w:sz w:val="24"/>
          <w:szCs w:val="24"/>
        </w:rPr>
        <w:tab/>
        <w:t>Закон за устройството на Черноморското крайбрежие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ИААА</w:t>
      </w:r>
      <w:r w:rsidRPr="00F8728A">
        <w:rPr>
          <w:rFonts w:ascii="Times New Roman" w:hAnsi="Times New Roman"/>
          <w:sz w:val="24"/>
          <w:szCs w:val="24"/>
        </w:rPr>
        <w:tab/>
      </w:r>
      <w:r w:rsidRPr="00F8728A">
        <w:rPr>
          <w:rFonts w:ascii="Times New Roman" w:hAnsi="Times New Roman"/>
          <w:sz w:val="24"/>
          <w:szCs w:val="24"/>
        </w:rPr>
        <w:tab/>
        <w:t>Изпълнителна агенция "Автомобилна администрация"</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ИАГ</w:t>
      </w:r>
      <w:r w:rsidRPr="00F8728A">
        <w:rPr>
          <w:rFonts w:ascii="Times New Roman" w:hAnsi="Times New Roman"/>
          <w:sz w:val="24"/>
          <w:szCs w:val="24"/>
        </w:rPr>
        <w:tab/>
      </w:r>
      <w:r w:rsidRPr="00F8728A">
        <w:rPr>
          <w:rFonts w:ascii="Times New Roman" w:hAnsi="Times New Roman"/>
          <w:sz w:val="24"/>
          <w:szCs w:val="24"/>
        </w:rPr>
        <w:tab/>
        <w:t>Изпълнителна агенция по горите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ИАЖА</w:t>
      </w:r>
      <w:r w:rsidRPr="00F8728A">
        <w:rPr>
          <w:rFonts w:ascii="Times New Roman" w:hAnsi="Times New Roman"/>
          <w:sz w:val="24"/>
          <w:szCs w:val="24"/>
        </w:rPr>
        <w:tab/>
        <w:t>Изпълнителна агенция "Железопътна администрация"</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ИАМА</w:t>
      </w:r>
      <w:r w:rsidRPr="00F8728A">
        <w:rPr>
          <w:rFonts w:ascii="Times New Roman" w:hAnsi="Times New Roman"/>
          <w:sz w:val="24"/>
          <w:szCs w:val="24"/>
        </w:rPr>
        <w:tab/>
        <w:t>Изпълнителна агенция "Морска администрация"</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ИАОС</w:t>
      </w:r>
      <w:r w:rsidRPr="00F8728A">
        <w:rPr>
          <w:rFonts w:ascii="Times New Roman" w:hAnsi="Times New Roman"/>
          <w:sz w:val="24"/>
          <w:szCs w:val="24"/>
        </w:rPr>
        <w:tab/>
      </w:r>
      <w:r w:rsidRPr="00F8728A">
        <w:rPr>
          <w:rFonts w:ascii="Times New Roman" w:hAnsi="Times New Roman"/>
          <w:sz w:val="24"/>
          <w:szCs w:val="24"/>
        </w:rPr>
        <w:tab/>
        <w:t>Изпълнителна агенция по околна среда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ИАППРД</w:t>
      </w:r>
      <w:r w:rsidRPr="00F8728A">
        <w:rPr>
          <w:rFonts w:ascii="Times New Roman" w:hAnsi="Times New Roman"/>
          <w:sz w:val="24"/>
          <w:szCs w:val="24"/>
        </w:rPr>
        <w:tab/>
        <w:t>Изпълнителната агенция за проучване и поддържане на река Дунав</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ИКТ</w:t>
      </w:r>
      <w:r w:rsidRPr="00F8728A">
        <w:rPr>
          <w:rFonts w:ascii="Times New Roman" w:hAnsi="Times New Roman"/>
          <w:sz w:val="24"/>
          <w:szCs w:val="24"/>
        </w:rPr>
        <w:tab/>
      </w:r>
      <w:r w:rsidRPr="00F8728A">
        <w:rPr>
          <w:rFonts w:ascii="Times New Roman" w:hAnsi="Times New Roman"/>
          <w:sz w:val="24"/>
          <w:szCs w:val="24"/>
        </w:rPr>
        <w:tab/>
        <w:t>Информационни и комуникационни технологии</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ИПГВР</w:t>
      </w:r>
      <w:r w:rsidRPr="00F8728A">
        <w:rPr>
          <w:rFonts w:ascii="Times New Roman" w:hAnsi="Times New Roman"/>
          <w:sz w:val="24"/>
          <w:szCs w:val="24"/>
        </w:rPr>
        <w:tab/>
        <w:t xml:space="preserve">Интегрирани планове за градско възстановяване и развитие </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 xml:space="preserve">ИПП </w:t>
      </w:r>
      <w:r w:rsidRPr="00F8728A">
        <w:rPr>
          <w:rFonts w:ascii="Times New Roman" w:hAnsi="Times New Roman"/>
          <w:sz w:val="24"/>
          <w:szCs w:val="24"/>
        </w:rPr>
        <w:tab/>
      </w:r>
      <w:r w:rsidRPr="00F8728A">
        <w:rPr>
          <w:rFonts w:ascii="Times New Roman" w:hAnsi="Times New Roman"/>
          <w:sz w:val="24"/>
          <w:szCs w:val="24"/>
        </w:rPr>
        <w:tab/>
        <w:t xml:space="preserve">Инструмент за предприсъединителна помощ </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ИУКЗ</w:t>
      </w:r>
      <w:r w:rsidRPr="00F8728A">
        <w:rPr>
          <w:rFonts w:ascii="Times New Roman" w:hAnsi="Times New Roman"/>
          <w:sz w:val="24"/>
          <w:szCs w:val="24"/>
        </w:rPr>
        <w:tab/>
      </w:r>
      <w:r w:rsidRPr="00F8728A">
        <w:rPr>
          <w:rFonts w:ascii="Times New Roman" w:hAnsi="Times New Roman"/>
          <w:sz w:val="24"/>
          <w:szCs w:val="24"/>
        </w:rPr>
        <w:tab/>
        <w:t>Интегрирано управление на крайбрежните зони</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КАБ</w:t>
      </w:r>
      <w:r w:rsidRPr="00F8728A">
        <w:rPr>
          <w:rFonts w:ascii="Times New Roman" w:hAnsi="Times New Roman"/>
          <w:sz w:val="24"/>
          <w:szCs w:val="24"/>
        </w:rPr>
        <w:tab/>
      </w:r>
      <w:r w:rsidRPr="00F8728A">
        <w:rPr>
          <w:rFonts w:ascii="Times New Roman" w:hAnsi="Times New Roman"/>
          <w:sz w:val="24"/>
          <w:szCs w:val="24"/>
        </w:rPr>
        <w:tab/>
        <w:t>Камара на архитектите в България</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КООНЧОС</w:t>
      </w:r>
      <w:r w:rsidRPr="00F8728A">
        <w:rPr>
          <w:rFonts w:ascii="Times New Roman" w:hAnsi="Times New Roman"/>
          <w:sz w:val="24"/>
          <w:szCs w:val="24"/>
        </w:rPr>
        <w:tab/>
        <w:t>Конференцията на ООН на тема “Човешката околна среда”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ЛТУ</w:t>
      </w:r>
      <w:r w:rsidRPr="00F8728A">
        <w:rPr>
          <w:rFonts w:ascii="Times New Roman" w:hAnsi="Times New Roman"/>
          <w:sz w:val="24"/>
          <w:szCs w:val="24"/>
        </w:rPr>
        <w:tab/>
      </w:r>
      <w:r w:rsidRPr="00F8728A">
        <w:rPr>
          <w:rFonts w:ascii="Times New Roman" w:hAnsi="Times New Roman"/>
          <w:sz w:val="24"/>
          <w:szCs w:val="24"/>
        </w:rPr>
        <w:tab/>
        <w:t xml:space="preserve">Лесотехнически университет </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МВнР</w:t>
      </w:r>
      <w:r w:rsidRPr="00F8728A">
        <w:rPr>
          <w:rFonts w:ascii="Times New Roman" w:hAnsi="Times New Roman"/>
          <w:sz w:val="24"/>
          <w:szCs w:val="24"/>
        </w:rPr>
        <w:tab/>
      </w:r>
      <w:r w:rsidRPr="00F8728A">
        <w:rPr>
          <w:rFonts w:ascii="Times New Roman" w:hAnsi="Times New Roman"/>
          <w:sz w:val="24"/>
          <w:szCs w:val="24"/>
        </w:rPr>
        <w:tab/>
        <w:t>Министерство на външните работи</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МВР</w:t>
      </w:r>
      <w:r w:rsidRPr="00F8728A">
        <w:rPr>
          <w:rFonts w:ascii="Times New Roman" w:hAnsi="Times New Roman"/>
          <w:sz w:val="24"/>
          <w:szCs w:val="24"/>
        </w:rPr>
        <w:tab/>
      </w:r>
      <w:r w:rsidRPr="00F8728A">
        <w:rPr>
          <w:rFonts w:ascii="Times New Roman" w:hAnsi="Times New Roman"/>
          <w:sz w:val="24"/>
          <w:szCs w:val="24"/>
        </w:rPr>
        <w:tab/>
        <w:t>Министерство на вътрешните работи</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МЕ</w:t>
      </w:r>
      <w:r w:rsidRPr="00F8728A">
        <w:rPr>
          <w:rFonts w:ascii="Times New Roman" w:hAnsi="Times New Roman"/>
          <w:sz w:val="24"/>
          <w:szCs w:val="24"/>
        </w:rPr>
        <w:tab/>
      </w:r>
      <w:r w:rsidRPr="00F8728A">
        <w:rPr>
          <w:rFonts w:ascii="Times New Roman" w:hAnsi="Times New Roman"/>
          <w:sz w:val="24"/>
          <w:szCs w:val="24"/>
        </w:rPr>
        <w:tab/>
        <w:t>Министерство на енергетиката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МЗ</w:t>
      </w:r>
      <w:r w:rsidRPr="00F8728A">
        <w:rPr>
          <w:rFonts w:ascii="Times New Roman" w:hAnsi="Times New Roman"/>
          <w:sz w:val="24"/>
          <w:szCs w:val="24"/>
        </w:rPr>
        <w:tab/>
      </w:r>
      <w:r w:rsidRPr="00F8728A">
        <w:rPr>
          <w:rFonts w:ascii="Times New Roman" w:hAnsi="Times New Roman"/>
          <w:sz w:val="24"/>
          <w:szCs w:val="24"/>
        </w:rPr>
        <w:tab/>
        <w:t>Министерство на здравеопазването</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МЗХГ</w:t>
      </w:r>
      <w:r w:rsidRPr="00F8728A">
        <w:rPr>
          <w:rFonts w:ascii="Times New Roman" w:hAnsi="Times New Roman"/>
          <w:sz w:val="24"/>
          <w:szCs w:val="24"/>
        </w:rPr>
        <w:tab/>
      </w:r>
      <w:r w:rsidRPr="00F8728A">
        <w:rPr>
          <w:rFonts w:ascii="Times New Roman" w:hAnsi="Times New Roman"/>
          <w:sz w:val="24"/>
          <w:szCs w:val="24"/>
        </w:rPr>
        <w:tab/>
        <w:t>Министерство на земеделието, храните и горите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МИ</w:t>
      </w:r>
      <w:r w:rsidRPr="00F8728A">
        <w:rPr>
          <w:rFonts w:ascii="Times New Roman" w:hAnsi="Times New Roman"/>
          <w:sz w:val="24"/>
          <w:szCs w:val="24"/>
        </w:rPr>
        <w:tab/>
      </w:r>
      <w:r w:rsidRPr="00F8728A">
        <w:rPr>
          <w:rFonts w:ascii="Times New Roman" w:hAnsi="Times New Roman"/>
          <w:sz w:val="24"/>
          <w:szCs w:val="24"/>
        </w:rPr>
        <w:tab/>
        <w:t>Министерство на икономиката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МК</w:t>
      </w:r>
      <w:r w:rsidRPr="00F8728A">
        <w:rPr>
          <w:rFonts w:ascii="Times New Roman" w:hAnsi="Times New Roman"/>
          <w:sz w:val="24"/>
          <w:szCs w:val="24"/>
        </w:rPr>
        <w:tab/>
      </w:r>
      <w:r w:rsidRPr="00F8728A">
        <w:rPr>
          <w:rFonts w:ascii="Times New Roman" w:hAnsi="Times New Roman"/>
          <w:sz w:val="24"/>
          <w:szCs w:val="24"/>
        </w:rPr>
        <w:tab/>
        <w:t>Министерство на културата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МКА</w:t>
      </w:r>
      <w:r w:rsidRPr="00F8728A">
        <w:rPr>
          <w:rFonts w:ascii="Times New Roman" w:hAnsi="Times New Roman"/>
          <w:sz w:val="24"/>
          <w:szCs w:val="24"/>
        </w:rPr>
        <w:tab/>
      </w:r>
      <w:r w:rsidRPr="00F8728A">
        <w:rPr>
          <w:rFonts w:ascii="Times New Roman" w:hAnsi="Times New Roman"/>
          <w:sz w:val="24"/>
          <w:szCs w:val="24"/>
        </w:rPr>
        <w:tab/>
        <w:t>Мултикритериен анализ</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МОН</w:t>
      </w:r>
      <w:r w:rsidRPr="00F8728A">
        <w:rPr>
          <w:rFonts w:ascii="Times New Roman" w:hAnsi="Times New Roman"/>
          <w:sz w:val="24"/>
          <w:szCs w:val="24"/>
        </w:rPr>
        <w:tab/>
      </w:r>
      <w:r w:rsidRPr="00F8728A">
        <w:rPr>
          <w:rFonts w:ascii="Times New Roman" w:hAnsi="Times New Roman"/>
          <w:sz w:val="24"/>
          <w:szCs w:val="24"/>
        </w:rPr>
        <w:tab/>
        <w:t>Министерство на образованието и науката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lastRenderedPageBreak/>
        <w:t>МОСВ</w:t>
      </w:r>
      <w:r w:rsidRPr="00F8728A">
        <w:rPr>
          <w:rFonts w:ascii="Times New Roman" w:hAnsi="Times New Roman"/>
          <w:sz w:val="24"/>
          <w:szCs w:val="24"/>
        </w:rPr>
        <w:tab/>
      </w:r>
      <w:r w:rsidRPr="00F8728A">
        <w:rPr>
          <w:rFonts w:ascii="Times New Roman" w:hAnsi="Times New Roman"/>
          <w:sz w:val="24"/>
          <w:szCs w:val="24"/>
        </w:rPr>
        <w:tab/>
        <w:t>Министерство на околната среда и водите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МПП</w:t>
      </w:r>
      <w:r w:rsidRPr="00F8728A">
        <w:rPr>
          <w:rFonts w:ascii="Times New Roman" w:hAnsi="Times New Roman"/>
          <w:sz w:val="24"/>
          <w:szCs w:val="24"/>
        </w:rPr>
        <w:tab/>
      </w:r>
      <w:r w:rsidRPr="00F8728A">
        <w:rPr>
          <w:rFonts w:ascii="Times New Roman" w:hAnsi="Times New Roman"/>
          <w:sz w:val="24"/>
          <w:szCs w:val="24"/>
        </w:rPr>
        <w:tab/>
        <w:t>Морско пространствено планиране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МРРБ</w:t>
      </w:r>
      <w:r w:rsidRPr="00F8728A">
        <w:rPr>
          <w:rFonts w:ascii="Times New Roman" w:hAnsi="Times New Roman"/>
          <w:sz w:val="24"/>
          <w:szCs w:val="24"/>
        </w:rPr>
        <w:tab/>
      </w:r>
      <w:r w:rsidRPr="00F8728A">
        <w:rPr>
          <w:rFonts w:ascii="Times New Roman" w:hAnsi="Times New Roman"/>
          <w:sz w:val="24"/>
          <w:szCs w:val="24"/>
        </w:rPr>
        <w:tab/>
        <w:t>Министерство на регионалното развитие и благоустройството</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МСА</w:t>
      </w:r>
      <w:r w:rsidRPr="00F8728A">
        <w:rPr>
          <w:rFonts w:ascii="Times New Roman" w:hAnsi="Times New Roman"/>
          <w:sz w:val="24"/>
          <w:szCs w:val="24"/>
        </w:rPr>
        <w:tab/>
      </w:r>
      <w:r w:rsidRPr="00F8728A">
        <w:rPr>
          <w:rFonts w:ascii="Times New Roman" w:hAnsi="Times New Roman"/>
          <w:sz w:val="24"/>
          <w:szCs w:val="24"/>
        </w:rPr>
        <w:tab/>
        <w:t>Международен съюз на архитектите</w:t>
      </w:r>
    </w:p>
    <w:p w:rsidR="00AA4661" w:rsidRPr="00F8728A" w:rsidRDefault="00AA4661" w:rsidP="000D39D8">
      <w:pPr>
        <w:spacing w:before="60" w:after="80" w:line="276" w:lineRule="auto"/>
        <w:ind w:left="1416" w:hanging="1416"/>
        <w:jc w:val="both"/>
        <w:rPr>
          <w:rFonts w:ascii="Times New Roman" w:hAnsi="Times New Roman"/>
          <w:sz w:val="24"/>
          <w:szCs w:val="24"/>
        </w:rPr>
      </w:pPr>
      <w:r w:rsidRPr="00F8728A">
        <w:rPr>
          <w:rFonts w:ascii="Times New Roman" w:hAnsi="Times New Roman"/>
          <w:sz w:val="24"/>
          <w:szCs w:val="24"/>
        </w:rPr>
        <w:t>МТИТС</w:t>
      </w:r>
      <w:r w:rsidRPr="00F8728A">
        <w:rPr>
          <w:rFonts w:ascii="Times New Roman" w:hAnsi="Times New Roman"/>
          <w:sz w:val="24"/>
          <w:szCs w:val="24"/>
        </w:rPr>
        <w:tab/>
        <w:t>Министерство на транспорта, информационните технологии и съобщенията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МТСП</w:t>
      </w:r>
      <w:r w:rsidRPr="00F8728A">
        <w:rPr>
          <w:rFonts w:ascii="Times New Roman" w:hAnsi="Times New Roman"/>
          <w:sz w:val="24"/>
          <w:szCs w:val="24"/>
        </w:rPr>
        <w:tab/>
      </w:r>
      <w:r w:rsidRPr="00F8728A">
        <w:rPr>
          <w:rFonts w:ascii="Times New Roman" w:hAnsi="Times New Roman"/>
          <w:sz w:val="24"/>
          <w:szCs w:val="24"/>
        </w:rPr>
        <w:tab/>
        <w:t>Министерство на труда и социалната политика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МФ</w:t>
      </w:r>
      <w:r w:rsidRPr="00F8728A">
        <w:rPr>
          <w:rFonts w:ascii="Times New Roman" w:hAnsi="Times New Roman"/>
          <w:sz w:val="24"/>
          <w:szCs w:val="24"/>
        </w:rPr>
        <w:tab/>
      </w:r>
      <w:r w:rsidRPr="00F8728A">
        <w:rPr>
          <w:rFonts w:ascii="Times New Roman" w:hAnsi="Times New Roman"/>
          <w:sz w:val="24"/>
          <w:szCs w:val="24"/>
        </w:rPr>
        <w:tab/>
        <w:t>Министерство на финансите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НАПРП</w:t>
      </w:r>
      <w:r w:rsidRPr="00F8728A">
        <w:rPr>
          <w:rFonts w:ascii="Times New Roman" w:hAnsi="Times New Roman"/>
          <w:sz w:val="24"/>
          <w:szCs w:val="24"/>
        </w:rPr>
        <w:tab/>
        <w:t>Национална асоциация на производителите на рибни продукти</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НДЕФ</w:t>
      </w:r>
      <w:r w:rsidRPr="00F8728A">
        <w:rPr>
          <w:rFonts w:ascii="Times New Roman" w:hAnsi="Times New Roman"/>
          <w:sz w:val="24"/>
          <w:szCs w:val="24"/>
        </w:rPr>
        <w:tab/>
      </w:r>
      <w:r w:rsidRPr="00F8728A">
        <w:rPr>
          <w:rFonts w:ascii="Times New Roman" w:hAnsi="Times New Roman"/>
          <w:sz w:val="24"/>
          <w:szCs w:val="24"/>
        </w:rPr>
        <w:tab/>
        <w:t>Национален доверителен екофонд</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НЕСИК</w:t>
      </w:r>
      <w:r w:rsidRPr="00F8728A">
        <w:rPr>
          <w:rFonts w:ascii="Times New Roman" w:hAnsi="Times New Roman"/>
          <w:sz w:val="24"/>
          <w:szCs w:val="24"/>
        </w:rPr>
        <w:tab/>
        <w:t>Национален експертен съвет по изменение на климата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НИМХ</w:t>
      </w:r>
      <w:r w:rsidRPr="00F8728A">
        <w:rPr>
          <w:rFonts w:ascii="Times New Roman" w:hAnsi="Times New Roman"/>
          <w:sz w:val="24"/>
          <w:szCs w:val="24"/>
        </w:rPr>
        <w:tab/>
        <w:t>Национален институт по метеорология и хидрология (</w:t>
      </w:r>
      <w:r w:rsidR="00383804" w:rsidRPr="00F8728A">
        <w:rPr>
          <w:rFonts w:ascii="Times New Roman" w:hAnsi="Times New Roman"/>
          <w:sz w:val="24"/>
          <w:szCs w:val="24"/>
        </w:rPr>
        <w:t xml:space="preserve">към </w:t>
      </w:r>
      <w:r w:rsidRPr="00F8728A">
        <w:rPr>
          <w:rFonts w:ascii="Times New Roman" w:hAnsi="Times New Roman"/>
          <w:sz w:val="24"/>
          <w:szCs w:val="24"/>
        </w:rPr>
        <w:t>БАН)</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НИНКН</w:t>
      </w:r>
      <w:r w:rsidRPr="00F8728A">
        <w:rPr>
          <w:rFonts w:ascii="Times New Roman" w:hAnsi="Times New Roman"/>
          <w:sz w:val="24"/>
          <w:szCs w:val="24"/>
        </w:rPr>
        <w:tab/>
        <w:t>Национален институт за недвижимо културно наследство</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НКПР</w:t>
      </w:r>
      <w:r w:rsidRPr="00F8728A">
        <w:rPr>
          <w:rFonts w:ascii="Times New Roman" w:hAnsi="Times New Roman"/>
          <w:sz w:val="24"/>
          <w:szCs w:val="24"/>
        </w:rPr>
        <w:tab/>
      </w:r>
      <w:r w:rsidRPr="00F8728A">
        <w:rPr>
          <w:rFonts w:ascii="Times New Roman" w:hAnsi="Times New Roman"/>
          <w:sz w:val="24"/>
          <w:szCs w:val="24"/>
        </w:rPr>
        <w:tab/>
        <w:t xml:space="preserve">Национална концепция за пространствено развитие </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НО</w:t>
      </w:r>
      <w:r w:rsidRPr="00F8728A">
        <w:rPr>
          <w:rFonts w:ascii="Times New Roman" w:hAnsi="Times New Roman"/>
          <w:sz w:val="24"/>
          <w:szCs w:val="24"/>
        </w:rPr>
        <w:tab/>
      </w:r>
      <w:r w:rsidRPr="00F8728A">
        <w:rPr>
          <w:rFonts w:ascii="Times New Roman" w:hAnsi="Times New Roman"/>
          <w:sz w:val="24"/>
          <w:szCs w:val="24"/>
        </w:rPr>
        <w:tab/>
        <w:t>Наблюдение и оценяване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НПА</w:t>
      </w:r>
      <w:r w:rsidRPr="00F8728A">
        <w:rPr>
          <w:rFonts w:ascii="Times New Roman" w:hAnsi="Times New Roman"/>
          <w:sz w:val="24"/>
          <w:szCs w:val="24"/>
        </w:rPr>
        <w:tab/>
      </w:r>
      <w:r w:rsidRPr="00F8728A">
        <w:rPr>
          <w:rFonts w:ascii="Times New Roman" w:hAnsi="Times New Roman"/>
          <w:sz w:val="24"/>
          <w:szCs w:val="24"/>
        </w:rPr>
        <w:tab/>
        <w:t xml:space="preserve">Национална програма за адаптиране </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НПДИК</w:t>
      </w:r>
      <w:r w:rsidRPr="00F8728A">
        <w:rPr>
          <w:rFonts w:ascii="Times New Roman" w:hAnsi="Times New Roman"/>
          <w:sz w:val="24"/>
          <w:szCs w:val="24"/>
        </w:rPr>
        <w:tab/>
        <w:t>Национален план за действие по изменение на климата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НПО</w:t>
      </w:r>
      <w:r w:rsidRPr="00F8728A">
        <w:rPr>
          <w:rFonts w:ascii="Times New Roman" w:hAnsi="Times New Roman"/>
          <w:sz w:val="24"/>
          <w:szCs w:val="24"/>
        </w:rPr>
        <w:tab/>
      </w:r>
      <w:r w:rsidRPr="00F8728A">
        <w:rPr>
          <w:rFonts w:ascii="Times New Roman" w:hAnsi="Times New Roman"/>
          <w:sz w:val="24"/>
          <w:szCs w:val="24"/>
        </w:rPr>
        <w:tab/>
        <w:t>Неправителствени организации</w:t>
      </w:r>
    </w:p>
    <w:p w:rsidR="004F5C92" w:rsidRPr="00F8728A" w:rsidRDefault="004F5C92"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ННС</w:t>
      </w:r>
      <w:r w:rsidRPr="00F8728A">
        <w:rPr>
          <w:rFonts w:ascii="Times New Roman" w:hAnsi="Times New Roman"/>
          <w:sz w:val="24"/>
          <w:szCs w:val="24"/>
        </w:rPr>
        <w:tab/>
      </w:r>
      <w:r w:rsidRPr="00F8728A">
        <w:rPr>
          <w:rFonts w:ascii="Times New Roman" w:hAnsi="Times New Roman"/>
          <w:sz w:val="24"/>
          <w:szCs w:val="24"/>
        </w:rPr>
        <w:tab/>
        <w:t>Нетна настояща стойност</w:t>
      </w:r>
    </w:p>
    <w:p w:rsidR="004613EC" w:rsidRPr="00F8728A" w:rsidRDefault="004613EC"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НС</w:t>
      </w:r>
      <w:r w:rsidRPr="00F8728A">
        <w:rPr>
          <w:rFonts w:ascii="Times New Roman" w:hAnsi="Times New Roman"/>
          <w:sz w:val="24"/>
          <w:szCs w:val="24"/>
        </w:rPr>
        <w:tab/>
      </w:r>
      <w:r w:rsidRPr="00F8728A">
        <w:rPr>
          <w:rFonts w:ascii="Times New Roman" w:hAnsi="Times New Roman"/>
          <w:sz w:val="24"/>
          <w:szCs w:val="24"/>
        </w:rPr>
        <w:tab/>
        <w:t>Настояща стойност</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НСИ</w:t>
      </w:r>
      <w:r w:rsidRPr="00F8728A">
        <w:rPr>
          <w:rFonts w:ascii="Times New Roman" w:hAnsi="Times New Roman"/>
          <w:sz w:val="24"/>
          <w:szCs w:val="24"/>
        </w:rPr>
        <w:tab/>
      </w:r>
      <w:r w:rsidRPr="00F8728A">
        <w:rPr>
          <w:rFonts w:ascii="Times New Roman" w:hAnsi="Times New Roman"/>
          <w:sz w:val="24"/>
          <w:szCs w:val="24"/>
        </w:rPr>
        <w:tab/>
        <w:t>Национален статистически институт</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НСОРБ</w:t>
      </w:r>
      <w:r w:rsidRPr="00F8728A">
        <w:rPr>
          <w:rFonts w:ascii="Times New Roman" w:hAnsi="Times New Roman"/>
          <w:sz w:val="24"/>
          <w:szCs w:val="24"/>
        </w:rPr>
        <w:tab/>
        <w:t>Националното сдружение на общините в Република България</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НЦТР</w:t>
      </w:r>
      <w:r w:rsidRPr="00F8728A">
        <w:rPr>
          <w:rFonts w:ascii="Times New Roman" w:hAnsi="Times New Roman"/>
          <w:sz w:val="24"/>
          <w:szCs w:val="24"/>
        </w:rPr>
        <w:tab/>
      </w:r>
      <w:r w:rsidRPr="00F8728A">
        <w:rPr>
          <w:rFonts w:ascii="Times New Roman" w:hAnsi="Times New Roman"/>
          <w:sz w:val="24"/>
          <w:szCs w:val="24"/>
        </w:rPr>
        <w:tab/>
        <w:t>Национален център за териториално развитие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ОВОС</w:t>
      </w:r>
      <w:r w:rsidRPr="00F8728A">
        <w:rPr>
          <w:rFonts w:ascii="Times New Roman" w:hAnsi="Times New Roman"/>
          <w:sz w:val="24"/>
          <w:szCs w:val="24"/>
        </w:rPr>
        <w:tab/>
      </w:r>
      <w:r w:rsidRPr="00F8728A">
        <w:rPr>
          <w:rFonts w:ascii="Times New Roman" w:hAnsi="Times New Roman"/>
          <w:sz w:val="24"/>
          <w:szCs w:val="24"/>
        </w:rPr>
        <w:tab/>
        <w:t>Оценка на въздействието върху околната среда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ООН</w:t>
      </w:r>
      <w:r w:rsidRPr="00F8728A">
        <w:rPr>
          <w:rFonts w:ascii="Times New Roman" w:hAnsi="Times New Roman"/>
          <w:sz w:val="24"/>
          <w:szCs w:val="24"/>
        </w:rPr>
        <w:tab/>
      </w:r>
      <w:r w:rsidRPr="00F8728A">
        <w:rPr>
          <w:rFonts w:ascii="Times New Roman" w:hAnsi="Times New Roman"/>
          <w:sz w:val="24"/>
          <w:szCs w:val="24"/>
        </w:rPr>
        <w:tab/>
        <w:t>Организация на обединените нации</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ООП</w:t>
      </w:r>
      <w:r w:rsidRPr="00F8728A">
        <w:rPr>
          <w:rFonts w:ascii="Times New Roman" w:hAnsi="Times New Roman"/>
          <w:sz w:val="24"/>
          <w:szCs w:val="24"/>
        </w:rPr>
        <w:tab/>
      </w:r>
      <w:r w:rsidRPr="00F8728A">
        <w:rPr>
          <w:rFonts w:ascii="Times New Roman" w:hAnsi="Times New Roman"/>
          <w:sz w:val="24"/>
          <w:szCs w:val="24"/>
        </w:rPr>
        <w:tab/>
        <w:t>Открити обществени пространства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ОПОР</w:t>
      </w:r>
      <w:r w:rsidRPr="00F8728A">
        <w:rPr>
          <w:rFonts w:ascii="Times New Roman" w:hAnsi="Times New Roman"/>
          <w:sz w:val="24"/>
          <w:szCs w:val="24"/>
        </w:rPr>
        <w:tab/>
      </w:r>
      <w:r w:rsidRPr="00F8728A">
        <w:rPr>
          <w:rFonts w:ascii="Times New Roman" w:hAnsi="Times New Roman"/>
          <w:sz w:val="24"/>
          <w:szCs w:val="24"/>
        </w:rPr>
        <w:tab/>
        <w:t>Обща политика в областта на рибарството</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ОПРР</w:t>
      </w:r>
      <w:r w:rsidRPr="00F8728A">
        <w:rPr>
          <w:rFonts w:ascii="Times New Roman" w:hAnsi="Times New Roman"/>
          <w:sz w:val="24"/>
          <w:szCs w:val="24"/>
        </w:rPr>
        <w:tab/>
      </w:r>
      <w:r w:rsidRPr="00F8728A">
        <w:rPr>
          <w:rFonts w:ascii="Times New Roman" w:hAnsi="Times New Roman"/>
          <w:sz w:val="24"/>
          <w:szCs w:val="24"/>
        </w:rPr>
        <w:tab/>
        <w:t>Оперативна програма „Региони в растеж“</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ОРУ</w:t>
      </w:r>
      <w:r w:rsidRPr="00F8728A">
        <w:rPr>
          <w:rFonts w:ascii="Times New Roman" w:hAnsi="Times New Roman"/>
          <w:sz w:val="24"/>
          <w:szCs w:val="24"/>
        </w:rPr>
        <w:tab/>
      </w:r>
      <w:r w:rsidRPr="00F8728A">
        <w:rPr>
          <w:rFonts w:ascii="Times New Roman" w:hAnsi="Times New Roman"/>
          <w:sz w:val="24"/>
          <w:szCs w:val="24"/>
        </w:rPr>
        <w:tab/>
        <w:t>Оценка на риска и уязвимостта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ОС</w:t>
      </w:r>
      <w:r w:rsidRPr="00F8728A">
        <w:rPr>
          <w:rFonts w:ascii="Times New Roman" w:hAnsi="Times New Roman"/>
          <w:sz w:val="24"/>
          <w:szCs w:val="24"/>
        </w:rPr>
        <w:tab/>
      </w:r>
      <w:r w:rsidRPr="00F8728A">
        <w:rPr>
          <w:rFonts w:ascii="Times New Roman" w:hAnsi="Times New Roman"/>
          <w:sz w:val="24"/>
          <w:szCs w:val="24"/>
        </w:rPr>
        <w:tab/>
        <w:t>Оценка за съвместимост</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ОСП</w:t>
      </w:r>
      <w:r w:rsidRPr="00F8728A">
        <w:rPr>
          <w:rFonts w:ascii="Times New Roman" w:hAnsi="Times New Roman"/>
          <w:sz w:val="24"/>
          <w:szCs w:val="24"/>
        </w:rPr>
        <w:tab/>
      </w:r>
      <w:r w:rsidRPr="00F8728A">
        <w:rPr>
          <w:rFonts w:ascii="Times New Roman" w:hAnsi="Times New Roman"/>
          <w:sz w:val="24"/>
          <w:szCs w:val="24"/>
        </w:rPr>
        <w:tab/>
        <w:t>Обща селскостопанска политика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ПГ</w:t>
      </w:r>
      <w:r w:rsidRPr="00F8728A">
        <w:rPr>
          <w:rFonts w:ascii="Times New Roman" w:hAnsi="Times New Roman"/>
          <w:sz w:val="24"/>
          <w:szCs w:val="24"/>
        </w:rPr>
        <w:tab/>
      </w:r>
      <w:r w:rsidRPr="00F8728A">
        <w:rPr>
          <w:rFonts w:ascii="Times New Roman" w:hAnsi="Times New Roman"/>
          <w:sz w:val="24"/>
          <w:szCs w:val="24"/>
        </w:rPr>
        <w:tab/>
        <w:t>Парников газ</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ПДУЕК</w:t>
      </w:r>
      <w:r w:rsidRPr="00F8728A">
        <w:rPr>
          <w:rFonts w:ascii="Times New Roman" w:hAnsi="Times New Roman"/>
          <w:sz w:val="24"/>
          <w:szCs w:val="24"/>
        </w:rPr>
        <w:tab/>
        <w:t>План за действие за устойчива енергия и климат</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ПРСР</w:t>
      </w:r>
      <w:r w:rsidRPr="00F8728A">
        <w:rPr>
          <w:rFonts w:ascii="Times New Roman" w:hAnsi="Times New Roman"/>
          <w:sz w:val="24"/>
          <w:szCs w:val="24"/>
        </w:rPr>
        <w:tab/>
      </w:r>
      <w:r w:rsidRPr="00F8728A">
        <w:rPr>
          <w:rFonts w:ascii="Times New Roman" w:hAnsi="Times New Roman"/>
          <w:sz w:val="24"/>
          <w:szCs w:val="24"/>
        </w:rPr>
        <w:tab/>
        <w:t>Програма за развитие на селските райони</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ПТС</w:t>
      </w:r>
      <w:r w:rsidR="00CE39D8" w:rsidRPr="00F8728A">
        <w:rPr>
          <w:rFonts w:ascii="Times New Roman" w:hAnsi="Times New Roman"/>
          <w:sz w:val="24"/>
          <w:szCs w:val="24"/>
        </w:rPr>
        <w:t>Д</w:t>
      </w:r>
      <w:r w:rsidRPr="00F8728A">
        <w:rPr>
          <w:rFonts w:ascii="Times New Roman" w:hAnsi="Times New Roman"/>
          <w:sz w:val="24"/>
          <w:szCs w:val="24"/>
        </w:rPr>
        <w:tab/>
      </w:r>
      <w:r w:rsidR="00CE39D8" w:rsidRPr="00F8728A">
        <w:rPr>
          <w:rFonts w:ascii="Times New Roman" w:hAnsi="Times New Roman"/>
          <w:sz w:val="24"/>
          <w:szCs w:val="24"/>
        </w:rPr>
        <w:tab/>
      </w:r>
      <w:r w:rsidRPr="00F8728A">
        <w:rPr>
          <w:rFonts w:ascii="Times New Roman" w:hAnsi="Times New Roman"/>
          <w:sz w:val="24"/>
          <w:szCs w:val="24"/>
        </w:rPr>
        <w:t>Програма за транснационално сътрудничество „Дунав“</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lastRenderedPageBreak/>
        <w:t>ПУДООС</w:t>
      </w:r>
      <w:r w:rsidRPr="00F8728A">
        <w:rPr>
          <w:rFonts w:ascii="Times New Roman" w:hAnsi="Times New Roman"/>
          <w:sz w:val="24"/>
          <w:szCs w:val="24"/>
        </w:rPr>
        <w:tab/>
        <w:t>Предприятие за управление на дейностите по опазване на околната среда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РАПИВ</w:t>
      </w:r>
      <w:r w:rsidRPr="00F8728A">
        <w:rPr>
          <w:rFonts w:ascii="Times New Roman" w:hAnsi="Times New Roman"/>
          <w:sz w:val="24"/>
          <w:szCs w:val="24"/>
        </w:rPr>
        <w:tab/>
        <w:t>Регионална агенция за предприемачество и иновации - Варна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РИОСВ</w:t>
      </w:r>
      <w:r w:rsidRPr="00F8728A">
        <w:rPr>
          <w:rFonts w:ascii="Times New Roman" w:hAnsi="Times New Roman"/>
          <w:sz w:val="24"/>
          <w:szCs w:val="24"/>
        </w:rPr>
        <w:tab/>
        <w:t>Регионална инспектция по околната среда и водите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РКООНИК</w:t>
      </w:r>
      <w:r w:rsidRPr="00F8728A">
        <w:rPr>
          <w:rFonts w:ascii="Times New Roman" w:hAnsi="Times New Roman"/>
          <w:sz w:val="24"/>
          <w:szCs w:val="24"/>
        </w:rPr>
        <w:tab/>
        <w:t>Рамкова конвенция на ООН по изменение на климата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САБ</w:t>
      </w:r>
      <w:r w:rsidRPr="00F8728A">
        <w:rPr>
          <w:rFonts w:ascii="Times New Roman" w:hAnsi="Times New Roman"/>
          <w:sz w:val="24"/>
          <w:szCs w:val="24"/>
        </w:rPr>
        <w:tab/>
      </w:r>
      <w:r w:rsidRPr="00F8728A">
        <w:rPr>
          <w:rFonts w:ascii="Times New Roman" w:hAnsi="Times New Roman"/>
          <w:sz w:val="24"/>
          <w:szCs w:val="24"/>
        </w:rPr>
        <w:tab/>
        <w:t>Съюз на архитектите в България</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СЕО</w:t>
      </w:r>
      <w:r w:rsidRPr="00F8728A">
        <w:rPr>
          <w:rFonts w:ascii="Times New Roman" w:hAnsi="Times New Roman"/>
          <w:sz w:val="24"/>
          <w:szCs w:val="24"/>
        </w:rPr>
        <w:tab/>
      </w:r>
      <w:r w:rsidRPr="00F8728A">
        <w:rPr>
          <w:rFonts w:ascii="Times New Roman" w:hAnsi="Times New Roman"/>
          <w:sz w:val="24"/>
          <w:szCs w:val="24"/>
        </w:rPr>
        <w:tab/>
        <w:t>Стратегическа екологична оценка</w:t>
      </w:r>
    </w:p>
    <w:p w:rsidR="00AA4661" w:rsidRPr="00F8728A" w:rsidRDefault="00AA4661" w:rsidP="000D39D8">
      <w:pPr>
        <w:widowControl w:val="0"/>
        <w:spacing w:before="60" w:after="80" w:line="276" w:lineRule="auto"/>
        <w:rPr>
          <w:rFonts w:ascii="Times New Roman" w:hAnsi="Times New Roman"/>
          <w:sz w:val="24"/>
          <w:szCs w:val="24"/>
        </w:rPr>
      </w:pPr>
      <w:r w:rsidRPr="00F8728A">
        <w:rPr>
          <w:rFonts w:ascii="Times New Roman" w:hAnsi="Times New Roman"/>
          <w:sz w:val="24"/>
          <w:szCs w:val="24"/>
        </w:rPr>
        <w:t>СМО</w:t>
      </w:r>
      <w:r w:rsidRPr="00F8728A">
        <w:rPr>
          <w:rFonts w:ascii="Times New Roman" w:hAnsi="Times New Roman"/>
          <w:sz w:val="24"/>
          <w:szCs w:val="24"/>
        </w:rPr>
        <w:tab/>
      </w:r>
      <w:r w:rsidRPr="00F8728A">
        <w:rPr>
          <w:rFonts w:ascii="Times New Roman" w:hAnsi="Times New Roman"/>
          <w:sz w:val="24"/>
          <w:szCs w:val="24"/>
        </w:rPr>
        <w:tab/>
        <w:t xml:space="preserve">Световна метеорологична организация </w:t>
      </w:r>
    </w:p>
    <w:p w:rsidR="00AA4661" w:rsidRPr="00F8728A" w:rsidRDefault="00AA4661" w:rsidP="000D39D8">
      <w:pPr>
        <w:widowControl w:val="0"/>
        <w:spacing w:before="60" w:after="80" w:line="276" w:lineRule="auto"/>
        <w:rPr>
          <w:rFonts w:ascii="Times New Roman" w:hAnsi="Times New Roman"/>
          <w:sz w:val="24"/>
          <w:szCs w:val="24"/>
        </w:rPr>
      </w:pPr>
      <w:r w:rsidRPr="00F8728A">
        <w:rPr>
          <w:rFonts w:ascii="Times New Roman" w:hAnsi="Times New Roman"/>
          <w:sz w:val="24"/>
          <w:szCs w:val="24"/>
        </w:rPr>
        <w:t>СОФЕНА</w:t>
      </w:r>
      <w:r w:rsidRPr="00F8728A">
        <w:rPr>
          <w:rFonts w:ascii="Times New Roman" w:hAnsi="Times New Roman"/>
          <w:sz w:val="24"/>
          <w:szCs w:val="24"/>
        </w:rPr>
        <w:tab/>
        <w:t>Софийска енергийна агенция</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СПО</w:t>
      </w:r>
      <w:r w:rsidRPr="00F8728A">
        <w:rPr>
          <w:rFonts w:ascii="Times New Roman" w:hAnsi="Times New Roman"/>
          <w:sz w:val="24"/>
          <w:szCs w:val="24"/>
        </w:rPr>
        <w:tab/>
      </w:r>
      <w:r w:rsidRPr="00F8728A">
        <w:rPr>
          <w:rFonts w:ascii="Times New Roman" w:hAnsi="Times New Roman"/>
          <w:sz w:val="24"/>
          <w:szCs w:val="24"/>
        </w:rPr>
        <w:tab/>
        <w:t>Стандартна процедура за оценка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СУ</w:t>
      </w:r>
      <w:r w:rsidRPr="00F8728A">
        <w:rPr>
          <w:rFonts w:ascii="Times New Roman" w:hAnsi="Times New Roman"/>
          <w:sz w:val="24"/>
          <w:szCs w:val="24"/>
        </w:rPr>
        <w:tab/>
      </w:r>
      <w:r w:rsidRPr="00F8728A">
        <w:rPr>
          <w:rFonts w:ascii="Times New Roman" w:hAnsi="Times New Roman"/>
          <w:sz w:val="24"/>
          <w:szCs w:val="24"/>
        </w:rPr>
        <w:tab/>
        <w:t>Софийски университет „Св. Климент Охридски“</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СУБ</w:t>
      </w:r>
      <w:r w:rsidRPr="00F8728A">
        <w:rPr>
          <w:rFonts w:ascii="Times New Roman" w:hAnsi="Times New Roman"/>
          <w:sz w:val="24"/>
          <w:szCs w:val="24"/>
        </w:rPr>
        <w:tab/>
      </w:r>
      <w:r w:rsidRPr="00F8728A">
        <w:rPr>
          <w:rFonts w:ascii="Times New Roman" w:hAnsi="Times New Roman"/>
          <w:sz w:val="24"/>
          <w:szCs w:val="24"/>
        </w:rPr>
        <w:tab/>
        <w:t>Съюз на урбанистите в България</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ТА2020</w:t>
      </w:r>
      <w:r w:rsidRPr="00F8728A">
        <w:rPr>
          <w:rFonts w:ascii="Times New Roman" w:hAnsi="Times New Roman"/>
          <w:sz w:val="24"/>
          <w:szCs w:val="24"/>
        </w:rPr>
        <w:tab/>
        <w:t>Териториален дневен ред на Европейския съюз до 2020 г.</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ТУ</w:t>
      </w:r>
      <w:r w:rsidRPr="00F8728A">
        <w:rPr>
          <w:rFonts w:ascii="Times New Roman" w:hAnsi="Times New Roman"/>
          <w:sz w:val="24"/>
          <w:szCs w:val="24"/>
        </w:rPr>
        <w:tab/>
      </w:r>
      <w:r w:rsidRPr="00F8728A">
        <w:rPr>
          <w:rFonts w:ascii="Times New Roman" w:hAnsi="Times New Roman"/>
          <w:sz w:val="24"/>
          <w:szCs w:val="24"/>
        </w:rPr>
        <w:tab/>
        <w:t>Технически университет, София</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УАСГ</w:t>
      </w:r>
      <w:r w:rsidRPr="00F8728A">
        <w:rPr>
          <w:rFonts w:ascii="Times New Roman" w:hAnsi="Times New Roman"/>
          <w:sz w:val="24"/>
          <w:szCs w:val="24"/>
        </w:rPr>
        <w:tab/>
      </w:r>
      <w:r w:rsidRPr="00F8728A">
        <w:rPr>
          <w:rFonts w:ascii="Times New Roman" w:hAnsi="Times New Roman"/>
          <w:sz w:val="24"/>
          <w:szCs w:val="24"/>
        </w:rPr>
        <w:tab/>
        <w:t>Университет по архитектура, строителство и геодезия</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УНСС</w:t>
      </w:r>
      <w:r w:rsidRPr="00F8728A">
        <w:rPr>
          <w:rFonts w:ascii="Times New Roman" w:hAnsi="Times New Roman"/>
          <w:sz w:val="24"/>
          <w:szCs w:val="24"/>
        </w:rPr>
        <w:tab/>
      </w:r>
      <w:r w:rsidRPr="00F8728A">
        <w:rPr>
          <w:rFonts w:ascii="Times New Roman" w:hAnsi="Times New Roman"/>
          <w:sz w:val="24"/>
          <w:szCs w:val="24"/>
        </w:rPr>
        <w:tab/>
        <w:t>Университет за национално и световно стопанство</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УРБ</w:t>
      </w:r>
      <w:r w:rsidRPr="00F8728A">
        <w:rPr>
          <w:rFonts w:ascii="Times New Roman" w:hAnsi="Times New Roman"/>
          <w:sz w:val="24"/>
          <w:szCs w:val="24"/>
        </w:rPr>
        <w:tab/>
      </w:r>
      <w:r w:rsidRPr="00F8728A">
        <w:rPr>
          <w:rFonts w:ascii="Times New Roman" w:hAnsi="Times New Roman"/>
          <w:sz w:val="24"/>
          <w:szCs w:val="24"/>
        </w:rPr>
        <w:tab/>
        <w:t>Управление на риска от бедствия</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УСО</w:t>
      </w:r>
      <w:r w:rsidRPr="00F8728A">
        <w:rPr>
          <w:rFonts w:ascii="Times New Roman" w:hAnsi="Times New Roman"/>
          <w:sz w:val="24"/>
          <w:szCs w:val="24"/>
        </w:rPr>
        <w:tab/>
      </w:r>
      <w:r w:rsidRPr="00F8728A">
        <w:rPr>
          <w:rFonts w:ascii="Times New Roman" w:hAnsi="Times New Roman"/>
          <w:sz w:val="24"/>
          <w:szCs w:val="24"/>
        </w:rPr>
        <w:tab/>
        <w:t>Устойчиви системи за отводняване</w:t>
      </w:r>
    </w:p>
    <w:p w:rsidR="00AA4661" w:rsidRPr="00F8728A" w:rsidRDefault="00AA4661" w:rsidP="000D39D8">
      <w:pPr>
        <w:widowControl w:val="0"/>
        <w:spacing w:after="0"/>
        <w:rPr>
          <w:rFonts w:ascii="Calibri" w:eastAsia="MS Gothic" w:hAnsi="Calibri"/>
          <w:b/>
          <w:bCs/>
          <w:color w:val="365F91"/>
          <w:sz w:val="32"/>
          <w:szCs w:val="28"/>
        </w:rPr>
      </w:pPr>
      <w:r w:rsidRPr="00F8728A">
        <w:rPr>
          <w:rFonts w:ascii="Times New Roman" w:hAnsi="Times New Roman"/>
          <w:sz w:val="24"/>
          <w:szCs w:val="24"/>
        </w:rPr>
        <w:t>ФПЧ</w:t>
      </w:r>
      <w:r w:rsidRPr="00F8728A">
        <w:rPr>
          <w:rFonts w:ascii="Times New Roman" w:hAnsi="Times New Roman"/>
          <w:sz w:val="24"/>
          <w:szCs w:val="24"/>
        </w:rPr>
        <w:tab/>
      </w:r>
      <w:r w:rsidRPr="00F8728A">
        <w:rPr>
          <w:rFonts w:ascii="Times New Roman" w:hAnsi="Times New Roman"/>
          <w:sz w:val="24"/>
          <w:szCs w:val="24"/>
        </w:rPr>
        <w:tab/>
        <w:t>Фини прахови частици</w:t>
      </w:r>
      <w:r w:rsidRPr="00F8728A">
        <w:br w:type="page"/>
      </w:r>
    </w:p>
    <w:p w:rsidR="00AA4661" w:rsidRPr="00B73D7E" w:rsidRDefault="00AA4661" w:rsidP="00B73D7E">
      <w:pPr>
        <w:pStyle w:val="Heading1"/>
        <w:spacing w:before="0" w:after="120"/>
        <w:jc w:val="both"/>
        <w:rPr>
          <w:b w:val="0"/>
          <w:bCs w:val="0"/>
          <w:color w:val="2F5496"/>
          <w:sz w:val="32"/>
          <w:szCs w:val="32"/>
        </w:rPr>
      </w:pPr>
      <w:bookmarkStart w:id="8" w:name="_Toc522030526"/>
      <w:bookmarkStart w:id="9" w:name="_Toc529285511"/>
      <w:r w:rsidRPr="00B73D7E">
        <w:rPr>
          <w:rFonts w:eastAsia="Times New Roman"/>
          <w:bCs w:val="0"/>
          <w:color w:val="2F5496"/>
          <w:sz w:val="32"/>
          <w:szCs w:val="32"/>
          <w:lang w:val="bg-BG" w:eastAsia="en-US"/>
        </w:rPr>
        <w:lastRenderedPageBreak/>
        <w:t>Терминологичен речник</w:t>
      </w:r>
      <w:r w:rsidRPr="00B73D7E">
        <w:rPr>
          <w:rFonts w:eastAsia="Times New Roman"/>
          <w:bCs w:val="0"/>
          <w:color w:val="2F5496"/>
          <w:sz w:val="32"/>
          <w:szCs w:val="32"/>
          <w:vertAlign w:val="superscript"/>
          <w:lang w:val="bg-BG" w:eastAsia="en-US"/>
        </w:rPr>
        <w:footnoteReference w:id="1"/>
      </w:r>
      <w:bookmarkEnd w:id="8"/>
      <w:bookmarkEnd w:id="9"/>
    </w:p>
    <w:tbl>
      <w:tblPr>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9074"/>
      </w:tblGrid>
      <w:tr w:rsidR="00AA4661" w:rsidRPr="00F8728A" w:rsidTr="00585E1B">
        <w:trPr>
          <w:jc w:val="center"/>
        </w:trPr>
        <w:tc>
          <w:tcPr>
            <w:tcW w:w="9074" w:type="dxa"/>
          </w:tcPr>
          <w:p w:rsidR="00AA4661" w:rsidRPr="00F8728A" w:rsidRDefault="00AA4661" w:rsidP="00585E1B">
            <w:pPr>
              <w:spacing w:before="60" w:after="60" w:line="276" w:lineRule="auto"/>
              <w:jc w:val="both"/>
              <w:rPr>
                <w:rFonts w:ascii="Times New Roman" w:hAnsi="Times New Roman" w:cs="Arial"/>
                <w:sz w:val="24"/>
              </w:rPr>
            </w:pPr>
            <w:r w:rsidRPr="00F8728A">
              <w:rPr>
                <w:rFonts w:ascii="Times New Roman" w:hAnsi="Times New Roman" w:cs="Arial"/>
                <w:b/>
                <w:bCs/>
                <w:sz w:val="24"/>
              </w:rPr>
              <w:t>Изменение на климата</w:t>
            </w:r>
            <w:r w:rsidRPr="00F8728A">
              <w:rPr>
                <w:rFonts w:ascii="Times New Roman" w:hAnsi="Times New Roman" w:cs="Arial"/>
                <w:sz w:val="24"/>
              </w:rPr>
              <w:t xml:space="preserve"> се отнася до промяна в климата, която пряко или косвено се дължи на човешка дейност, водеща до промени в състава на глобалната атмосфера, и е в допълнение към естествената променливост на климата, която се наблюдава през сравними времеви периоди. </w:t>
            </w:r>
          </w:p>
        </w:tc>
      </w:tr>
      <w:tr w:rsidR="00AA4661" w:rsidRPr="00F8728A" w:rsidTr="00585E1B">
        <w:trPr>
          <w:jc w:val="center"/>
        </w:trPr>
        <w:tc>
          <w:tcPr>
            <w:tcW w:w="9074" w:type="dxa"/>
          </w:tcPr>
          <w:p w:rsidR="00AA4661" w:rsidRPr="00F8728A" w:rsidRDefault="00AA4661" w:rsidP="00585E1B">
            <w:pPr>
              <w:spacing w:before="60" w:after="60" w:line="276" w:lineRule="auto"/>
              <w:jc w:val="both"/>
              <w:rPr>
                <w:rFonts w:ascii="Times New Roman" w:hAnsi="Times New Roman" w:cs="Arial"/>
                <w:sz w:val="24"/>
              </w:rPr>
            </w:pPr>
            <w:r w:rsidRPr="00F8728A">
              <w:rPr>
                <w:rFonts w:ascii="Times New Roman" w:hAnsi="Times New Roman" w:cs="Arial"/>
                <w:b/>
                <w:bCs/>
                <w:sz w:val="24"/>
              </w:rPr>
              <w:t>Глобално затопляне</w:t>
            </w:r>
            <w:r w:rsidRPr="00F8728A">
              <w:rPr>
                <w:rFonts w:ascii="Times New Roman" w:hAnsi="Times New Roman" w:cs="Arial"/>
                <w:sz w:val="24"/>
              </w:rPr>
              <w:t xml:space="preserve"> се отнася до постепенното повишаване на температурата на земната повърхност в световен мащаб - наблюдавано или прогнозирано, като една от последиците от мощността на лъчение, причинено от антропогенни емисии.</w:t>
            </w:r>
          </w:p>
        </w:tc>
      </w:tr>
      <w:tr w:rsidR="00AA4661" w:rsidRPr="00F8728A" w:rsidTr="00585E1B">
        <w:trPr>
          <w:jc w:val="center"/>
        </w:trPr>
        <w:tc>
          <w:tcPr>
            <w:tcW w:w="9074" w:type="dxa"/>
          </w:tcPr>
          <w:p w:rsidR="00AA4661" w:rsidRPr="00F8728A" w:rsidRDefault="00AA4661" w:rsidP="00585E1B">
            <w:pPr>
              <w:spacing w:before="60" w:after="60" w:line="276" w:lineRule="auto"/>
              <w:jc w:val="both"/>
              <w:rPr>
                <w:rFonts w:ascii="Times New Roman" w:hAnsi="Times New Roman" w:cs="Arial"/>
                <w:sz w:val="24"/>
              </w:rPr>
            </w:pPr>
            <w:r w:rsidRPr="00F8728A">
              <w:rPr>
                <w:rFonts w:ascii="Times New Roman" w:hAnsi="Times New Roman" w:cs="Arial"/>
                <w:b/>
                <w:bCs/>
                <w:sz w:val="24"/>
              </w:rPr>
              <w:t xml:space="preserve">Адаптация </w:t>
            </w:r>
            <w:r w:rsidRPr="00F8728A">
              <w:rPr>
                <w:rFonts w:ascii="Times New Roman" w:hAnsi="Times New Roman" w:cs="Arial"/>
                <w:sz w:val="24"/>
              </w:rPr>
              <w:t>е процесът на приспособяване към действителни или очаквани неблагоприятни въздействия на изменението на климата, както и предприемане на подходящи действия за предотвратяване или свеждане до минимум на щетите, които тези въздействия биха могли да причинят. При човешките системи, адаптацията цели да смекчи или избегне щети или да се възползва от благоприятни възможности. Човешката намеса би могла да улесни приспособяването на някои естествени системи към очаквани климатични промени и техните въздействия.</w:t>
            </w:r>
          </w:p>
        </w:tc>
      </w:tr>
      <w:tr w:rsidR="00AA4661" w:rsidRPr="00F8728A" w:rsidTr="00585E1B">
        <w:trPr>
          <w:jc w:val="center"/>
        </w:trPr>
        <w:tc>
          <w:tcPr>
            <w:tcW w:w="9074" w:type="dxa"/>
          </w:tcPr>
          <w:p w:rsidR="00AA4661" w:rsidRPr="00F8728A" w:rsidRDefault="00AA4661" w:rsidP="00585E1B">
            <w:pPr>
              <w:spacing w:before="60" w:after="60" w:line="276" w:lineRule="auto"/>
              <w:jc w:val="both"/>
              <w:rPr>
                <w:rFonts w:ascii="Times New Roman" w:hAnsi="Times New Roman" w:cs="Arial"/>
                <w:sz w:val="24"/>
              </w:rPr>
            </w:pPr>
            <w:r w:rsidRPr="00F8728A">
              <w:rPr>
                <w:rFonts w:ascii="Times New Roman" w:hAnsi="Times New Roman" w:cs="Arial"/>
                <w:b/>
                <w:bCs/>
                <w:sz w:val="24"/>
              </w:rPr>
              <w:t xml:space="preserve">Смекчаване (на изменението на климата) </w:t>
            </w:r>
            <w:r w:rsidRPr="00F8728A">
              <w:rPr>
                <w:rFonts w:ascii="Times New Roman" w:hAnsi="Times New Roman" w:cs="Arial"/>
                <w:sz w:val="24"/>
              </w:rPr>
              <w:t xml:space="preserve">е човешка намеса с цел ограничаване на източниците или подобряване на поглъщането на парникови газове (ПГ). </w:t>
            </w:r>
          </w:p>
        </w:tc>
      </w:tr>
      <w:tr w:rsidR="00AA4661" w:rsidRPr="00F8728A" w:rsidTr="00585E1B">
        <w:trPr>
          <w:jc w:val="center"/>
        </w:trPr>
        <w:tc>
          <w:tcPr>
            <w:tcW w:w="9074" w:type="dxa"/>
          </w:tcPr>
          <w:p w:rsidR="00AA4661" w:rsidRPr="00F8728A" w:rsidRDefault="00AA4661" w:rsidP="00585E1B">
            <w:pPr>
              <w:spacing w:before="60" w:after="60" w:line="276" w:lineRule="auto"/>
              <w:jc w:val="both"/>
              <w:rPr>
                <w:rFonts w:ascii="Times New Roman" w:hAnsi="Times New Roman" w:cs="Arial"/>
                <w:sz w:val="24"/>
              </w:rPr>
            </w:pPr>
            <w:r w:rsidRPr="00F8728A">
              <w:rPr>
                <w:rFonts w:ascii="Times New Roman" w:hAnsi="Times New Roman" w:cs="Arial"/>
                <w:b/>
                <w:bCs/>
                <w:sz w:val="24"/>
              </w:rPr>
              <w:t xml:space="preserve">Уязвимост </w:t>
            </w:r>
            <w:r w:rsidRPr="00F8728A">
              <w:rPr>
                <w:rFonts w:ascii="Times New Roman" w:hAnsi="Times New Roman" w:cs="Arial"/>
                <w:sz w:val="24"/>
              </w:rPr>
              <w:t>спрямо изменението на климата е степента, до която всяка система е податлива на и неспособна да се справи с негативните въздействия на климата.  Уязвимостта е функция на естеството, обхвата и степента на променливост на климата, на който е изложена дадена система, нейната чувствителност и капацитет за адаптация.</w:t>
            </w:r>
          </w:p>
        </w:tc>
      </w:tr>
      <w:tr w:rsidR="00AA4661" w:rsidRPr="00F8728A" w:rsidTr="00585E1B">
        <w:trPr>
          <w:jc w:val="center"/>
        </w:trPr>
        <w:tc>
          <w:tcPr>
            <w:tcW w:w="9074" w:type="dxa"/>
          </w:tcPr>
          <w:p w:rsidR="00AA4661" w:rsidRPr="00F8728A" w:rsidRDefault="00AA4661" w:rsidP="00585E1B">
            <w:pPr>
              <w:spacing w:before="60" w:after="60" w:line="276" w:lineRule="auto"/>
              <w:jc w:val="both"/>
              <w:rPr>
                <w:rFonts w:ascii="Times New Roman" w:hAnsi="Times New Roman" w:cs="Arial"/>
                <w:sz w:val="24"/>
              </w:rPr>
            </w:pPr>
            <w:r w:rsidRPr="00F8728A">
              <w:rPr>
                <w:rFonts w:ascii="Times New Roman" w:hAnsi="Times New Roman" w:cs="Arial"/>
                <w:b/>
                <w:bCs/>
                <w:sz w:val="24"/>
              </w:rPr>
              <w:t>Устойчивост</w:t>
            </w:r>
            <w:r w:rsidRPr="00F8728A">
              <w:rPr>
                <w:rFonts w:ascii="Times New Roman" w:hAnsi="Times New Roman" w:cs="Arial"/>
                <w:sz w:val="24"/>
              </w:rPr>
              <w:t xml:space="preserve"> е антипод на уязвимостта. Тя се определя като способността на дадена социална или екологична система да усвоява смущения, като същевременно запазва своята основна структура и начин на функциониране, капацитета й на самоорганизация и адаптация спрямо стресори и промени.</w:t>
            </w:r>
          </w:p>
        </w:tc>
      </w:tr>
      <w:tr w:rsidR="00AA4661" w:rsidRPr="00F8728A" w:rsidTr="00585E1B">
        <w:trPr>
          <w:jc w:val="center"/>
        </w:trPr>
        <w:tc>
          <w:tcPr>
            <w:tcW w:w="9074" w:type="dxa"/>
          </w:tcPr>
          <w:p w:rsidR="00AA4661" w:rsidRPr="00F8728A" w:rsidRDefault="00AA4661" w:rsidP="00585E1B">
            <w:pPr>
              <w:spacing w:before="60" w:after="60" w:line="276" w:lineRule="auto"/>
              <w:jc w:val="both"/>
              <w:rPr>
                <w:rFonts w:ascii="Times New Roman" w:hAnsi="Times New Roman" w:cs="Arial"/>
                <w:sz w:val="24"/>
              </w:rPr>
            </w:pPr>
            <w:r w:rsidRPr="00F8728A">
              <w:rPr>
                <w:rFonts w:ascii="Times New Roman" w:hAnsi="Times New Roman" w:cs="Arial"/>
                <w:b/>
                <w:bCs/>
                <w:sz w:val="24"/>
              </w:rPr>
              <w:t>Риск</w:t>
            </w:r>
            <w:r w:rsidRPr="00F8728A">
              <w:rPr>
                <w:rFonts w:ascii="Times New Roman" w:hAnsi="Times New Roman" w:cs="Arial"/>
                <w:sz w:val="24"/>
              </w:rPr>
              <w:t xml:space="preserve"> е потенциалът за реални последствия в ситуация на висок залог и несигурен резултат, като се отчита разнообразието от ценности. Рискът често се представя като вероятност или възможност за възникване на заплахи или тенденции, умножена по техните въздействия, ако се случат действително.</w:t>
            </w:r>
          </w:p>
        </w:tc>
      </w:tr>
    </w:tbl>
    <w:p w:rsidR="00AA4661" w:rsidRPr="00F8728A" w:rsidRDefault="00AA4661" w:rsidP="000D39D8">
      <w:pPr>
        <w:spacing w:after="200" w:line="276" w:lineRule="auto"/>
        <w:rPr>
          <w:rFonts w:ascii="Times New Roman" w:hAnsi="Times New Roman" w:cs="Arial"/>
          <w:sz w:val="24"/>
        </w:rPr>
        <w:sectPr w:rsidR="00AA4661" w:rsidRPr="00F8728A" w:rsidSect="00491557">
          <w:footerReference w:type="default" r:id="rId11"/>
          <w:pgSz w:w="11906" w:h="16838"/>
          <w:pgMar w:top="1411" w:right="1411" w:bottom="1411" w:left="1411" w:header="708" w:footer="708" w:gutter="0"/>
          <w:pgNumType w:fmt="lowerRoman" w:start="1"/>
          <w:cols w:space="708"/>
          <w:docGrid w:linePitch="360"/>
        </w:sectPr>
      </w:pPr>
    </w:p>
    <w:p w:rsidR="00AA4661" w:rsidRPr="00B73D7E" w:rsidRDefault="00AA4661" w:rsidP="00F067C1">
      <w:pPr>
        <w:pStyle w:val="Heading1"/>
        <w:spacing w:before="0" w:after="120"/>
        <w:jc w:val="both"/>
        <w:rPr>
          <w:rFonts w:eastAsia="Times New Roman"/>
          <w:bCs w:val="0"/>
          <w:color w:val="2F5496"/>
          <w:sz w:val="32"/>
          <w:szCs w:val="32"/>
          <w:lang w:val="bg-BG" w:eastAsia="en-US"/>
        </w:rPr>
      </w:pPr>
      <w:bookmarkStart w:id="10" w:name="_Toc522030527"/>
      <w:bookmarkStart w:id="11" w:name="_Toc529285512"/>
      <w:r w:rsidRPr="00B73D7E">
        <w:rPr>
          <w:rFonts w:eastAsia="Times New Roman"/>
          <w:bCs w:val="0"/>
          <w:color w:val="2F5496"/>
          <w:sz w:val="32"/>
          <w:szCs w:val="32"/>
          <w:lang w:val="bg-BG" w:eastAsia="en-US"/>
        </w:rPr>
        <w:lastRenderedPageBreak/>
        <w:t>Резюме</w:t>
      </w:r>
      <w:bookmarkEnd w:id="6"/>
      <w:bookmarkEnd w:id="10"/>
      <w:bookmarkEnd w:id="11"/>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Днес все повече хора по света са привлечени от по-голямото разнообразие от работни места, по-високото качество на услугите, по-добрата достъпност и мобилност и възможностите за самоусъвършенстване, предлагани от градовете. Въпреки демографската криза в България и общия спад на населението, градското население в страната следва световните тенденции и се очаква да достигне 81 процента до 2050 г. Около 46 процента от това население е съсредоточено в шестте най-големи града, създавайки натиск върху земята, инфраструктурата и услугите, излагайки повече хора на рискове от бедствия поради по-голямата концентрация на уязвими групи, включително деца, възрастни, болни, инвалиди и бедни. Ето защо преходът от моноцентричен към полицентричен модел за градско развитие е в центъра на регионалната политика и сред основните приоритети на Националната концепция за пространствено развитие (2013–2025 г.), целейки едновременно намаляване на регионалните различия и подобряване на достъпа до инфраструктура и услуги.</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Като се има предвид сложността на градската среда и разнообразието от градски условия, в настоящия анализ градовете са систематизирани в три групи според населението – големи, средни и малки, и в четири групи според тяхното местоположение – крайбрежни (по река Дунав и Черноморското крайбрежие), в равнинни, и в планински и полупланински райони. Уязвимостта на градската среда също се разглежда в зависимост от структурата, зонирането и специфичното използване на земята. Анализът на минали и настоящи метеорологични явления показва, че българските градове ще бъдат най-силно засегнати от екстремните температури и увеличения интензитет и честота на валежите. Последиците от второто – наводнения и свлачища – ще бъдат сред приоритетите на правителството, общините и населението през следващите години, както и решаването на проблемите с остарелия жилищен фонд чрез енергийна ефективност и структурно обновяване.</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 xml:space="preserve">В големите градове с по-голяма концентрация на хора, дейности, сгради и инфраструктура, въпреки техния потенциал и ресурси, изменението на климата ще има по-широкообхватно въздействие. По-уязвими към екстремни климатични събития ще бъдат техните централни градски райони с по-висока плътност на застрояването, интензивен трафик, по-малко зелени и открити пространства и остаряла инфраструктура с ограничен капацитет. Това са райони с голямо замърсяване поради по-тежък трафик, концентрация на дейности и по-голям дял „запечатани“ повърхности, които оказват влияние върху здравето на хората. На периферията на по-големите градове се намират най-големите панелени жилищни комплекси, построени между 60-те и 80-те години на миналия век. Обновяването на жилищния фонд и прилагането на мерки за енергийна ефективност в публични и частни жилищни и нежилищни сгради ще изисква значителни ресурси. Най-уязвими към повишената честота на интензивни валежи и наводнения ще бъдат градовете в близост до реки. Градушките, често придружени от интензивни валежи, също ще наводнят градовете и ще нанесат щети на сградите, автомобилите, обществения транспорт и инфраструктурата. Продължителните валежи, съчетани с повишаване нивата на подземните води или </w:t>
      </w:r>
      <w:r w:rsidRPr="00B73D7E">
        <w:rPr>
          <w:rFonts w:ascii="Times New Roman" w:hAnsi="Times New Roman"/>
          <w:sz w:val="24"/>
          <w:lang w:val="bg-BG"/>
        </w:rPr>
        <w:lastRenderedPageBreak/>
        <w:t>просмукване на отпадъчни води с някои допълнителни човешки фактори, ще активират свлачищата, особено тези в най-чувствителните райони на Черноморското крайбрежие и крайдунавските градове. Най-уязвимите групи от населението към екстремни метеорологични явления и последствията от тях са възрастните, болните и бедните, особено тези, живеещи в жилища с нисък стандарт или бездомните. Те са съсредоточени в националната и градската периферия и доста често обитават незаконно построени къщи, близо до зони с риск от наводнение.</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Най-важните предизвикателства за адаптиране на градската среда в България ще бъдат обменът на информация и разпространението на знанията, развитието на капацитета и повишаването на осведомеността сред лицата, вземащи решения, и обществеността.</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Адаптацията към изменението на климата (АИК) в градската среда следва да се основава на интегриран подход на всички нива на управление в съответствие със съществуващото законодателство в различните сектори. Следователно необходим е  задълбочен преглед на това законодателство и изменения на правилата за планиране. Тези промени трябва да изяснят ролите и отговорностите на национално, регионално, общинско и градско равнище, да подобрят сътрудничеството и комуникацията между всички сектори, държавни и общински власти, неправителствени организации (НПО), бизнес общности и всички други заинтересовани страни. Намаляването на рисковете от природни бедствия изисква стабилна институционална основа, която следва да бъде укрепена чрез изграждане на капацитет, добро управление, насърчаване на адекватни политики, улесняване на потока от информация, приемане на ефективни механизми за координация и подходящо образование. Тези възможности за адаптация се избират въз основа на установените нужди, текущия капацитет и най-добрите практики на Европейския съюз (ЕС), и са групирани в 10 категории, свързани съответно с политики, информация, изследвания, институции, законодателство, финанси, образование, технологии/строителство, капацитет и партньорство.</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Анализът на градската среда също така предполага, че политиките и действията за АИК на сектора трябва да бъдат ориентирани към големите градове, където е съсредоточена значителна част от населението, и които имат значително повече потенциал и експертен опит, както и към по-малки градове и села в периферията, с по-малко население, но много по-уязвимо, с ограничен достъп до услуги. Заедно с прилагането на холистичен подход към градската среда и принципите на интегрираното планиране, всеки регион и всеки град ще се нуждаят от индивидуален подход и задълбочени местни познания за симбиозата между хората с различен социален статус, възраст, пол, култура и поведение, уникалните природни ресурси и разнообразието от човешки дейности, практики и конструкции. В този контекст участието и комуникацията, както и използването на местното знание, са ключови елементи при адаптацията на градската среда към изменението на климата. В същото време, по-всеобхватна и актуална философия за интегриране на всички усилия и ресурси (включително информация и знания) от различни сектори в рамките на единна национална стратегия несъмнено ще направи тези политики по-ефективни.</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lastRenderedPageBreak/>
        <w:t>Определянето на приоритетите на вариантите за адаптиране в предложените десет категории се основава на резултатите от консултациите с основните заинтересовани страни и на сесията със заинтересованите страни. Приложимите критерии за подбор включват потенциални социални, икономически и екологични ползи, както и рискове за изпълнението. Приоритетното класиране стеснява обхвата на вариантите за адаптиране към следните категории и опции:</w:t>
      </w:r>
    </w:p>
    <w:p w:rsidR="00AA4661" w:rsidRPr="00B73D7E" w:rsidRDefault="00AA4661" w:rsidP="00676435">
      <w:pPr>
        <w:pStyle w:val="ListParagraph1"/>
        <w:contextualSpacing w:val="0"/>
        <w:jc w:val="both"/>
        <w:rPr>
          <w:rFonts w:ascii="Times New Roman" w:hAnsi="Times New Roman"/>
          <w:b/>
          <w:i/>
          <w:sz w:val="24"/>
          <w:lang w:val="bg-BG"/>
        </w:rPr>
      </w:pPr>
      <w:r w:rsidRPr="00B73D7E">
        <w:rPr>
          <w:rFonts w:ascii="Times New Roman" w:hAnsi="Times New Roman"/>
          <w:b/>
          <w:i/>
          <w:sz w:val="24"/>
          <w:lang w:val="bg-BG"/>
        </w:rPr>
        <w:tab/>
        <w:t>Категория „Политика“ - включване на АИК в политиката за регионално и градско развитие, включително в обитаването и строителството</w:t>
      </w:r>
    </w:p>
    <w:p w:rsidR="00AA4661" w:rsidRPr="00B73D7E" w:rsidRDefault="00AA4661" w:rsidP="00676435">
      <w:pPr>
        <w:pStyle w:val="ListParagraph1"/>
        <w:contextualSpacing w:val="0"/>
        <w:jc w:val="both"/>
        <w:rPr>
          <w:rFonts w:ascii="Times New Roman" w:hAnsi="Times New Roman"/>
          <w:i/>
          <w:sz w:val="24"/>
          <w:lang w:val="bg-BG"/>
        </w:rPr>
      </w:pPr>
      <w:r w:rsidRPr="00B73D7E">
        <w:rPr>
          <w:rFonts w:ascii="Times New Roman" w:hAnsi="Times New Roman"/>
          <w:b/>
          <w:sz w:val="24"/>
          <w:u w:val="single"/>
          <w:lang w:val="bg-BG"/>
        </w:rPr>
        <w:t>Вариант за адаптация</w:t>
      </w:r>
      <w:r w:rsidRPr="00B73D7E">
        <w:rPr>
          <w:rFonts w:ascii="Times New Roman" w:hAnsi="Times New Roman"/>
          <w:sz w:val="24"/>
          <w:lang w:val="bg-BG"/>
        </w:rPr>
        <w:t xml:space="preserve"> - </w:t>
      </w:r>
      <w:r w:rsidRPr="00B73D7E">
        <w:rPr>
          <w:rFonts w:ascii="Times New Roman" w:hAnsi="Times New Roman"/>
          <w:i/>
          <w:sz w:val="24"/>
          <w:lang w:val="bg-BG"/>
        </w:rPr>
        <w:t>включване на адаптацията към изменението на климата в Националната жилищна стратегия (2017–2030 г.).</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Вариантът е считан за високоприоритетен, тъй като той може да бъде решаващ за цялостната реформа на регионалната политика на страната. Резултатите от прилагането ще окажат пряко въздействие върху градското население, живеещо в жилища с по-висок стандарт, с подобрен микроклиматичен комфорт и по-висока устойчивост спрямо екстремни метеорологични явления. Предложените структурни наблюдения и проучвания, конструктивното укрепване и мерките за енергийна ефективност, включени в пакета за обновяване на сградния фонд, ще подобрят цялостното качество и безопасност на сградите и тяхната устойчивост към множество рискове. Този вариант за адаптация с по-голямо покритие на градските райони, сградите и населението, ще изисква значителни човешки и финансови ресурси и време, но в дългосрочен план ще донесе значителни социални, екологични и икономически ползи.</w:t>
      </w:r>
    </w:p>
    <w:p w:rsidR="00AA4661" w:rsidRPr="00B73D7E" w:rsidRDefault="00AA4661" w:rsidP="00676435">
      <w:pPr>
        <w:pStyle w:val="ListParagraph1"/>
        <w:contextualSpacing w:val="0"/>
        <w:jc w:val="both"/>
        <w:rPr>
          <w:rFonts w:ascii="Times New Roman" w:hAnsi="Times New Roman"/>
          <w:b/>
          <w:i/>
          <w:sz w:val="24"/>
          <w:lang w:val="bg-BG"/>
        </w:rPr>
      </w:pPr>
      <w:r w:rsidRPr="00B73D7E">
        <w:rPr>
          <w:rFonts w:ascii="Times New Roman" w:hAnsi="Times New Roman"/>
          <w:b/>
          <w:i/>
          <w:sz w:val="24"/>
          <w:lang w:val="bg-BG"/>
        </w:rPr>
        <w:tab/>
        <w:t>Категория „Законодателство“ - Преразглеждане и изменение на законодателни документи за въвеждане на въпросите за АИК (впоследствие и АПИ, когато е приложимо и необходимо)</w:t>
      </w:r>
    </w:p>
    <w:p w:rsidR="00AA4661" w:rsidRPr="00B73D7E" w:rsidRDefault="00AA4661" w:rsidP="00676435">
      <w:pPr>
        <w:pStyle w:val="ListParagraph1"/>
        <w:contextualSpacing w:val="0"/>
        <w:jc w:val="both"/>
        <w:rPr>
          <w:rFonts w:ascii="Times New Roman" w:hAnsi="Times New Roman"/>
          <w:sz w:val="24"/>
          <w:lang w:val="bg-BG"/>
        </w:rPr>
      </w:pPr>
      <w:r w:rsidRPr="00B73D7E">
        <w:rPr>
          <w:rFonts w:ascii="Times New Roman" w:hAnsi="Times New Roman"/>
          <w:b/>
          <w:sz w:val="24"/>
          <w:u w:val="single"/>
          <w:lang w:val="bg-BG"/>
        </w:rPr>
        <w:t>Вариант за адаптация</w:t>
      </w:r>
      <w:r w:rsidRPr="00B73D7E">
        <w:rPr>
          <w:rFonts w:ascii="Times New Roman" w:hAnsi="Times New Roman"/>
          <w:sz w:val="24"/>
          <w:lang w:val="bg-BG"/>
        </w:rPr>
        <w:t xml:space="preserve"> - </w:t>
      </w:r>
      <w:r w:rsidRPr="00B73D7E">
        <w:rPr>
          <w:rFonts w:ascii="Times New Roman" w:hAnsi="Times New Roman"/>
          <w:i/>
          <w:sz w:val="24"/>
          <w:lang w:val="bg-BG"/>
        </w:rPr>
        <w:t>включване на изискванията за АИК във всички свързани законодателни документи, отнасящи се до регионалното и пространственото/градско планиране и опазването на околната среда (ЗУТ, ЗРР, Наредба № 4, 7 и 8, нормативни документи за устройството на територията, за ОВОС и ЕО).</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Този вариант с предложените към него действия се отнася до националното равнище, очакваната промяна в климата и екстремните метеорологични явления. Неговото изпълнение изисква минимални усилия, ресурси и време, но ще постави основата за подобряване на качеството на плановете и проектите, за сътрудничество и контрол, както и за взаимовръзка между документите за регионално и пространствено развитие и документите относно адаптацията към изменението на климата, намалявайки рисковете и потенциалните загуби.</w:t>
      </w:r>
    </w:p>
    <w:p w:rsidR="00AA4661" w:rsidRPr="00F8728A" w:rsidRDefault="00AA4661">
      <w:pPr>
        <w:widowControl w:val="0"/>
        <w:spacing w:after="0"/>
        <w:rPr>
          <w:rFonts w:ascii="Times New Roman" w:hAnsi="Times New Roman"/>
          <w:b/>
          <w:i/>
          <w:sz w:val="24"/>
        </w:rPr>
      </w:pPr>
      <w:r w:rsidRPr="00F8728A">
        <w:rPr>
          <w:rFonts w:ascii="Times New Roman" w:hAnsi="Times New Roman"/>
          <w:b/>
          <w:i/>
          <w:sz w:val="24"/>
        </w:rPr>
        <w:br w:type="page"/>
      </w:r>
    </w:p>
    <w:p w:rsidR="00AA4661" w:rsidRPr="00B73D7E" w:rsidRDefault="00AA4661" w:rsidP="00676435">
      <w:pPr>
        <w:pStyle w:val="ListParagraph1"/>
        <w:contextualSpacing w:val="0"/>
        <w:jc w:val="both"/>
        <w:rPr>
          <w:rFonts w:ascii="Times New Roman" w:hAnsi="Times New Roman"/>
          <w:b/>
          <w:i/>
          <w:sz w:val="24"/>
          <w:lang w:val="bg-BG"/>
        </w:rPr>
      </w:pPr>
      <w:r w:rsidRPr="00B73D7E">
        <w:rPr>
          <w:rFonts w:ascii="Times New Roman" w:hAnsi="Times New Roman"/>
          <w:b/>
          <w:i/>
          <w:sz w:val="24"/>
          <w:lang w:val="bg-BG"/>
        </w:rPr>
        <w:lastRenderedPageBreak/>
        <w:tab/>
        <w:t>Категория „Информация“ - Осигуряване на институционално регулиран обмен на информация и данни съгласно директивата INSPIRE</w:t>
      </w:r>
    </w:p>
    <w:p w:rsidR="00AA4661" w:rsidRPr="00B73D7E" w:rsidRDefault="00AA4661" w:rsidP="00676435">
      <w:pPr>
        <w:pStyle w:val="ListParagraph1"/>
        <w:contextualSpacing w:val="0"/>
        <w:jc w:val="both"/>
        <w:rPr>
          <w:rFonts w:ascii="Times New Roman" w:hAnsi="Times New Roman"/>
          <w:sz w:val="24"/>
          <w:lang w:val="bg-BG"/>
        </w:rPr>
      </w:pPr>
      <w:r w:rsidRPr="00B73D7E">
        <w:rPr>
          <w:rFonts w:ascii="Times New Roman" w:hAnsi="Times New Roman"/>
          <w:b/>
          <w:sz w:val="24"/>
          <w:u w:val="single"/>
          <w:lang w:val="bg-BG"/>
        </w:rPr>
        <w:t>Вариант за адаптация</w:t>
      </w:r>
      <w:r w:rsidRPr="00B73D7E">
        <w:rPr>
          <w:rFonts w:ascii="Times New Roman" w:hAnsi="Times New Roman"/>
          <w:sz w:val="24"/>
          <w:lang w:val="bg-BG"/>
        </w:rPr>
        <w:t xml:space="preserve"> - </w:t>
      </w:r>
      <w:r w:rsidRPr="00B73D7E">
        <w:rPr>
          <w:rFonts w:ascii="Times New Roman" w:hAnsi="Times New Roman"/>
          <w:i/>
          <w:sz w:val="24"/>
          <w:lang w:val="bg-BG"/>
        </w:rPr>
        <w:t>Създаване на общи стандарти за типа, структурата, обхвата и формата на метаданните и данните, хармонизирани с ЕС на ниво град</w:t>
      </w:r>
      <w:r w:rsidRPr="00B73D7E">
        <w:rPr>
          <w:rFonts w:ascii="Times New Roman" w:hAnsi="Times New Roman"/>
          <w:sz w:val="24"/>
          <w:lang w:val="bg-BG"/>
        </w:rPr>
        <w:t>.</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Този вариант се отнася до точната и актуална информация, необходима за научно обосновани решения в областта на действията за адаптация към изменението на климата. Той улеснява обмена на информация и знания, създаването на контакти, изграждането на капацитет и разпространението на осведомеността. Надеждната информационна система ще обоснове обмена на информация с други страни и международни институции, ще подпомогне образоването, научните изследвания и практиките и вземането на решения за адаптация към изменението на климата на национално и местно ниво.</w:t>
      </w:r>
    </w:p>
    <w:p w:rsidR="00AA4661" w:rsidRPr="00B73D7E" w:rsidRDefault="00AA4661" w:rsidP="00676435">
      <w:pPr>
        <w:pStyle w:val="ListParagraph1"/>
        <w:contextualSpacing w:val="0"/>
        <w:jc w:val="both"/>
        <w:rPr>
          <w:rFonts w:ascii="Times New Roman" w:hAnsi="Times New Roman"/>
          <w:b/>
          <w:i/>
          <w:sz w:val="24"/>
          <w:lang w:val="bg-BG"/>
        </w:rPr>
      </w:pPr>
      <w:r w:rsidRPr="00B73D7E">
        <w:rPr>
          <w:rFonts w:ascii="Times New Roman" w:hAnsi="Times New Roman"/>
          <w:b/>
          <w:i/>
          <w:sz w:val="24"/>
          <w:lang w:val="bg-BG"/>
        </w:rPr>
        <w:tab/>
        <w:t>Категория „Научни изследвания“ - Осигуряване на обща дългосрочна визия и цели на изследванията за АИК в градската среда, чрез изменение на Националната стратегия за развитие на научните изследвания</w:t>
      </w:r>
    </w:p>
    <w:p w:rsidR="00AA4661" w:rsidRPr="00B73D7E" w:rsidRDefault="00AA4661" w:rsidP="00676435">
      <w:pPr>
        <w:pStyle w:val="ListParagraph1"/>
        <w:contextualSpacing w:val="0"/>
        <w:jc w:val="both"/>
        <w:rPr>
          <w:rFonts w:ascii="Times New Roman" w:hAnsi="Times New Roman"/>
          <w:sz w:val="24"/>
          <w:lang w:val="bg-BG"/>
        </w:rPr>
      </w:pPr>
      <w:r w:rsidRPr="00B73D7E">
        <w:rPr>
          <w:rFonts w:ascii="Times New Roman" w:hAnsi="Times New Roman"/>
          <w:b/>
          <w:sz w:val="24"/>
          <w:u w:val="single"/>
          <w:lang w:val="bg-BG"/>
        </w:rPr>
        <w:t>Вариант за адаптация</w:t>
      </w:r>
      <w:r w:rsidRPr="00B73D7E">
        <w:rPr>
          <w:rFonts w:ascii="Times New Roman" w:hAnsi="Times New Roman"/>
          <w:sz w:val="24"/>
          <w:lang w:val="bg-BG"/>
        </w:rPr>
        <w:t xml:space="preserve"> – </w:t>
      </w:r>
      <w:r w:rsidRPr="00B73D7E">
        <w:rPr>
          <w:rFonts w:ascii="Times New Roman" w:hAnsi="Times New Roman"/>
          <w:i/>
          <w:sz w:val="24"/>
          <w:lang w:val="bg-BG"/>
        </w:rPr>
        <w:t>Определяне на приоритетни научни теми, свързани с града, откритите и зелените пространства, сградите, инфраструктурата, строителните материали и човешкото здраве</w:t>
      </w:r>
      <w:r w:rsidRPr="00B73D7E">
        <w:rPr>
          <w:rFonts w:ascii="Times New Roman" w:hAnsi="Times New Roman"/>
          <w:sz w:val="24"/>
          <w:lang w:val="bg-BG"/>
        </w:rPr>
        <w:t>.</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Този вариант за адаптация има за цел да постави ясен акцент върху адаптацията на градската среда към изменението на климата. Дейностите трябва да бъдат включени в програмата за научни изследвания на университетите и институтите на Българската академия на науките. Стартиращите фирми, работещи в сферата на интелигентните и зелените технологии, играят роля в тяхното прилагане. Резултатът от действията би могъл да бъде по-голяма ефективност в научноизследователската и развойна дейност, по-добре информирани решения, по-иновативни строителни технологии и материали за градската среда, както и по-качествено образование.</w:t>
      </w:r>
    </w:p>
    <w:p w:rsidR="00AA4661" w:rsidRPr="00B73D7E" w:rsidRDefault="00AA4661" w:rsidP="00676435">
      <w:pPr>
        <w:pStyle w:val="ListParagraph1"/>
        <w:contextualSpacing w:val="0"/>
        <w:jc w:val="both"/>
        <w:rPr>
          <w:rFonts w:ascii="Times New Roman" w:hAnsi="Times New Roman"/>
          <w:b/>
          <w:i/>
          <w:sz w:val="24"/>
          <w:lang w:val="bg-BG"/>
        </w:rPr>
      </w:pPr>
      <w:r w:rsidRPr="00B73D7E">
        <w:rPr>
          <w:rFonts w:ascii="Times New Roman" w:hAnsi="Times New Roman"/>
          <w:b/>
          <w:i/>
          <w:sz w:val="24"/>
          <w:lang w:val="bg-BG"/>
        </w:rPr>
        <w:tab/>
        <w:t>Категория „Образование“ - "Обучение на обучаващите" за АИК</w:t>
      </w:r>
    </w:p>
    <w:p w:rsidR="00AA4661" w:rsidRPr="00B73D7E" w:rsidRDefault="00AA4661" w:rsidP="00676435">
      <w:pPr>
        <w:pStyle w:val="ListParagraph1"/>
        <w:contextualSpacing w:val="0"/>
        <w:jc w:val="both"/>
        <w:rPr>
          <w:rFonts w:ascii="Times New Roman" w:hAnsi="Times New Roman"/>
          <w:sz w:val="24"/>
          <w:lang w:val="bg-BG"/>
        </w:rPr>
      </w:pPr>
      <w:r w:rsidRPr="00B73D7E">
        <w:rPr>
          <w:rFonts w:ascii="Times New Roman" w:hAnsi="Times New Roman"/>
          <w:b/>
          <w:sz w:val="24"/>
          <w:u w:val="single"/>
          <w:lang w:val="bg-BG"/>
        </w:rPr>
        <w:t>Вариант за адаптация</w:t>
      </w:r>
      <w:r w:rsidRPr="00B73D7E">
        <w:rPr>
          <w:rFonts w:ascii="Times New Roman" w:hAnsi="Times New Roman"/>
          <w:sz w:val="24"/>
          <w:lang w:val="bg-BG"/>
        </w:rPr>
        <w:t xml:space="preserve"> – </w:t>
      </w:r>
      <w:r w:rsidRPr="00B73D7E">
        <w:rPr>
          <w:rFonts w:ascii="Times New Roman" w:hAnsi="Times New Roman"/>
          <w:i/>
          <w:sz w:val="24"/>
          <w:lang w:val="bg-BG"/>
        </w:rPr>
        <w:t>Организиране на образование и обучение в подходящ формат на всички нива - от политиците до широката общественост</w:t>
      </w:r>
      <w:r w:rsidRPr="00B73D7E">
        <w:rPr>
          <w:rFonts w:ascii="Times New Roman" w:hAnsi="Times New Roman"/>
          <w:sz w:val="24"/>
          <w:lang w:val="bg-BG"/>
        </w:rPr>
        <w:t>.</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Въпреки че е насочен към всички нива и участници в областта на адаптацията към изменението на климата, при прилагането на този вариант академичните институции и професионалните организации ще поемат основната отговорност. Очаква се резултатите да включват експертен и институционален капацитет, подобряване на обмена на знания между архитектите, урбанистите, инженерите, ландшафтните архитекти, икономистите, социолозите и еколозите, както и по-добро качество и по-висока стойност при всички следващи действия за адаптация. Заедно със социалните и екологичните ползи, това ще донесе финансови ползи и ще стимулира креативността и академичното развитие в образователните институции. Прилагането на повечето от горепосочените възможности за адаптиране ще изисква финансова подкрепа.</w:t>
      </w:r>
    </w:p>
    <w:p w:rsidR="00AA4661" w:rsidRPr="00B73D7E" w:rsidRDefault="00AA4661" w:rsidP="00676435">
      <w:pPr>
        <w:pStyle w:val="ListParagraph1"/>
        <w:contextualSpacing w:val="0"/>
        <w:jc w:val="both"/>
        <w:rPr>
          <w:rFonts w:ascii="Times New Roman" w:hAnsi="Times New Roman"/>
          <w:b/>
          <w:i/>
          <w:sz w:val="24"/>
          <w:lang w:val="bg-BG"/>
        </w:rPr>
      </w:pPr>
      <w:r w:rsidRPr="00B73D7E">
        <w:rPr>
          <w:rFonts w:ascii="Times New Roman" w:hAnsi="Times New Roman"/>
          <w:b/>
          <w:i/>
          <w:sz w:val="24"/>
          <w:lang w:val="bg-BG"/>
        </w:rPr>
        <w:tab/>
      </w:r>
    </w:p>
    <w:p w:rsidR="00AA4661" w:rsidRPr="00B73D7E" w:rsidRDefault="00AA4661" w:rsidP="002A20D0">
      <w:pPr>
        <w:pStyle w:val="ListParagraph1"/>
        <w:ind w:firstLine="708"/>
        <w:contextualSpacing w:val="0"/>
        <w:jc w:val="both"/>
        <w:rPr>
          <w:rFonts w:ascii="Times New Roman" w:hAnsi="Times New Roman"/>
          <w:b/>
          <w:i/>
          <w:sz w:val="24"/>
          <w:lang w:val="bg-BG"/>
        </w:rPr>
      </w:pPr>
      <w:r w:rsidRPr="00B73D7E">
        <w:rPr>
          <w:rFonts w:ascii="Times New Roman" w:hAnsi="Times New Roman"/>
          <w:b/>
          <w:i/>
          <w:sz w:val="24"/>
          <w:lang w:val="bg-BG"/>
        </w:rPr>
        <w:lastRenderedPageBreak/>
        <w:t>Категория „Финанси“ - Промяна на финансовата, социалната и застрахователната политики</w:t>
      </w:r>
    </w:p>
    <w:p w:rsidR="00AA4661" w:rsidRPr="00B73D7E" w:rsidRDefault="00AA4661" w:rsidP="00676435">
      <w:pPr>
        <w:pStyle w:val="ListParagraph1"/>
        <w:contextualSpacing w:val="0"/>
        <w:jc w:val="both"/>
        <w:rPr>
          <w:rFonts w:ascii="Times New Roman" w:hAnsi="Times New Roman"/>
          <w:i/>
          <w:sz w:val="24"/>
          <w:lang w:val="bg-BG"/>
        </w:rPr>
      </w:pPr>
      <w:r w:rsidRPr="00B73D7E">
        <w:rPr>
          <w:rFonts w:ascii="Times New Roman" w:hAnsi="Times New Roman"/>
          <w:b/>
          <w:sz w:val="24"/>
          <w:u w:val="single"/>
          <w:lang w:val="bg-BG"/>
        </w:rPr>
        <w:t>Вариант за адаптация</w:t>
      </w:r>
      <w:r w:rsidRPr="00B73D7E">
        <w:rPr>
          <w:rFonts w:ascii="Times New Roman" w:hAnsi="Times New Roman"/>
          <w:sz w:val="24"/>
          <w:lang w:val="bg-BG"/>
        </w:rPr>
        <w:t xml:space="preserve"> - </w:t>
      </w:r>
      <w:r w:rsidRPr="00B73D7E">
        <w:rPr>
          <w:rFonts w:ascii="Times New Roman" w:hAnsi="Times New Roman"/>
          <w:i/>
          <w:sz w:val="24"/>
          <w:lang w:val="bg-BG"/>
        </w:rPr>
        <w:t>Преразглеждане на съществуващите финансови инструменти и проектиране на нови за АИК и УРБ, включително за енергийно обновяване.</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Приложените в градската среда действия за приспособяване изискват подходящи финансови инструменти за привличане на инвестиции за обновяване на жилищния фонд, за енергийна ефективност и за прилагане на мерки за конструктивно укрепване, за преразглеждане на документите за пространствено планиране и за тяхната законодателна рамка. Освен това, новите отговорности на местните власти за адаптация към изменението на климата ще се нуждаят от подкрепа от държавния бюджет. Интеграцията на финансовата, регионалната, социалната и застрахователната политики и прилагането на по-всеобхватни мерки се очаква да доведат до по-голяма социална справедливост, повишена информираност и ангажираност и по-добро разпределение на отговорностите и финансовата тежест между държавата, местните власти и отделните лица.</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Определените приоритети създават обща рамка за адаптацията към изменението на климата по отношение на градската среда. Препоръчва се по-конкретно разработване на локални стратегии за адаптация към изменението на климата, като се вземат предвид местните ресурси, нужди и микроклимат и в съответствие с размера и местоположението на града, населението му, икономическите и функционалните характеристики, пространственото развитие и гъстотата на застрояване.</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sectPr w:rsidR="00AA4661" w:rsidRPr="00B73D7E" w:rsidSect="000D39D8">
          <w:pgSz w:w="11906" w:h="16838"/>
          <w:pgMar w:top="1411" w:right="1411" w:bottom="1411" w:left="1411" w:header="708" w:footer="708" w:gutter="0"/>
          <w:pgNumType w:start="1"/>
          <w:cols w:space="708"/>
          <w:docGrid w:linePitch="360"/>
        </w:sectPr>
      </w:pPr>
      <w:r w:rsidRPr="00B73D7E">
        <w:rPr>
          <w:rFonts w:ascii="Times New Roman" w:hAnsi="Times New Roman"/>
          <w:sz w:val="24"/>
          <w:lang w:val="bg-BG"/>
        </w:rPr>
        <w:t>Процесът на адаптация на градската среда в България ще изисква значително време, финансиране и други ресурси. Няма прости и еднозначни решения на проблемите, свързани с изменението на климата в градската среда. Всички те изискват всеобхватни действия и последователни политики за прилагане на система от законодателни, планови, технологични, финансови и социални мерки.</w:t>
      </w:r>
    </w:p>
    <w:p w:rsidR="00AA4661" w:rsidRPr="00F8728A" w:rsidRDefault="00AA4661" w:rsidP="00B73D7E">
      <w:pPr>
        <w:pStyle w:val="FiguresTablesCaption"/>
      </w:pPr>
      <w:bookmarkStart w:id="12" w:name="_Ref499898681"/>
      <w:bookmarkStart w:id="13" w:name="_Toc501488082"/>
      <w:bookmarkStart w:id="14" w:name="_Hlk505676761"/>
      <w:bookmarkStart w:id="15" w:name="_Toc506143753"/>
      <w:bookmarkStart w:id="16" w:name="_Toc529286476"/>
      <w:bookmarkStart w:id="17" w:name="_Toc529286551"/>
      <w:r w:rsidRPr="00F8728A">
        <w:lastRenderedPageBreak/>
        <w:t xml:space="preserve">Фигура </w:t>
      </w:r>
      <w:r w:rsidRPr="00F8728A">
        <w:fldChar w:fldCharType="begin"/>
      </w:r>
      <w:r w:rsidRPr="00F8728A">
        <w:instrText xml:space="preserve"> SEQ Figure \* ARABIC </w:instrText>
      </w:r>
      <w:r w:rsidRPr="00F8728A">
        <w:fldChar w:fldCharType="separate"/>
      </w:r>
      <w:r w:rsidRPr="00F8728A">
        <w:t>1</w:t>
      </w:r>
      <w:r w:rsidRPr="00F8728A">
        <w:fldChar w:fldCharType="end"/>
      </w:r>
      <w:bookmarkEnd w:id="12"/>
      <w:r w:rsidRPr="00F8728A">
        <w:t xml:space="preserve">. </w:t>
      </w:r>
      <w:bookmarkEnd w:id="13"/>
      <w:r w:rsidRPr="00F8728A">
        <w:t>Опростена илюстрация на влиянията на климатичните промени и идентифицираните адаптационни опции</w:t>
      </w:r>
      <w:bookmarkEnd w:id="14"/>
      <w:bookmarkEnd w:id="15"/>
      <w:bookmarkEnd w:id="16"/>
      <w:bookmarkEnd w:id="17"/>
    </w:p>
    <w:p w:rsidR="00AA4661" w:rsidRPr="00B73D7E" w:rsidRDefault="00084198" w:rsidP="00B73D7E">
      <w:pPr>
        <w:pStyle w:val="ListParagraph1"/>
        <w:spacing w:after="0"/>
        <w:contextualSpacing w:val="0"/>
        <w:jc w:val="both"/>
        <w:rPr>
          <w:rFonts w:ascii="Calibri" w:hAnsi="Calibri"/>
          <w:lang w:val="bg-BG"/>
        </w:rPr>
      </w:pPr>
      <w:r w:rsidRPr="00B73D7E">
        <w:rPr>
          <w:rFonts w:ascii="Calibri" w:hAnsi="Calibri"/>
          <w:noProof/>
          <w:lang w:val="en-US" w:eastAsia="en-US"/>
        </w:rPr>
        <w:drawing>
          <wp:inline distT="0" distB="0" distL="0" distR="0" wp14:anchorId="45A8FE04" wp14:editId="7F25C401">
            <wp:extent cx="9120850" cy="4892126"/>
            <wp:effectExtent l="0" t="0" r="4445" b="3810"/>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122965" cy="4893260"/>
                    </a:xfrm>
                    <a:prstGeom prst="rect">
                      <a:avLst/>
                    </a:prstGeom>
                    <a:noFill/>
                    <a:ln>
                      <a:noFill/>
                    </a:ln>
                  </pic:spPr>
                </pic:pic>
              </a:graphicData>
            </a:graphic>
          </wp:inline>
        </w:drawing>
      </w:r>
    </w:p>
    <w:p w:rsidR="00AA4661" w:rsidRPr="00B73D7E" w:rsidRDefault="00AA4661" w:rsidP="00E40B3E">
      <w:pPr>
        <w:pStyle w:val="ListParagraph1"/>
        <w:contextualSpacing w:val="0"/>
        <w:jc w:val="center"/>
        <w:rPr>
          <w:rFonts w:ascii="Calibri" w:hAnsi="Calibri" w:cs="Calibri"/>
          <w:i/>
          <w:iCs/>
          <w:lang w:val="bg-BG"/>
        </w:rPr>
        <w:sectPr w:rsidR="00AA4661" w:rsidRPr="00B73D7E" w:rsidSect="00DE7F74">
          <w:pgSz w:w="16838" w:h="11906" w:orient="landscape"/>
          <w:pgMar w:top="1411" w:right="1411" w:bottom="1411" w:left="1411" w:header="708" w:footer="708" w:gutter="0"/>
          <w:cols w:space="708"/>
          <w:docGrid w:linePitch="360"/>
        </w:sectPr>
      </w:pPr>
      <w:bookmarkStart w:id="18" w:name="_Hlk505676830"/>
      <w:r w:rsidRPr="00B73D7E">
        <w:rPr>
          <w:rFonts w:ascii="Calibri" w:hAnsi="Calibri" w:cs="Calibri"/>
          <w:i/>
          <w:iCs/>
          <w:lang w:val="bg-BG"/>
        </w:rPr>
        <w:t>Източник: Дизайн на Световната банка, 2017 г.</w:t>
      </w:r>
      <w:bookmarkEnd w:id="18"/>
    </w:p>
    <w:p w:rsidR="00AA4661" w:rsidRPr="00B73D7E" w:rsidRDefault="00AA4661" w:rsidP="00B73D7E">
      <w:pPr>
        <w:pStyle w:val="Heading1"/>
        <w:spacing w:before="0" w:after="120"/>
        <w:jc w:val="both"/>
        <w:rPr>
          <w:b w:val="0"/>
          <w:bCs w:val="0"/>
          <w:color w:val="2F5496"/>
          <w:sz w:val="32"/>
          <w:szCs w:val="32"/>
        </w:rPr>
      </w:pPr>
      <w:bookmarkStart w:id="19" w:name="_Toc501557650"/>
      <w:bookmarkStart w:id="20" w:name="_Toc522030528"/>
      <w:bookmarkStart w:id="21" w:name="_Toc529285513"/>
      <w:bookmarkStart w:id="22" w:name="_Hlk498265800"/>
      <w:bookmarkStart w:id="23" w:name="_Toc500071957"/>
      <w:bookmarkStart w:id="24" w:name="_Toc500009519"/>
      <w:bookmarkStart w:id="25" w:name="_Toc501454825"/>
      <w:r w:rsidRPr="00B73D7E">
        <w:rPr>
          <w:rFonts w:eastAsia="Times New Roman"/>
          <w:bCs w:val="0"/>
          <w:color w:val="2F5496"/>
          <w:sz w:val="32"/>
          <w:szCs w:val="32"/>
          <w:lang w:val="bg-BG" w:eastAsia="en-US"/>
        </w:rPr>
        <w:lastRenderedPageBreak/>
        <w:t>Въведение - Изменение на климата в България</w:t>
      </w:r>
      <w:bookmarkEnd w:id="19"/>
      <w:bookmarkEnd w:id="20"/>
      <w:bookmarkEnd w:id="21"/>
    </w:p>
    <w:p w:rsidR="00AA4661" w:rsidRPr="00B73D7E" w:rsidRDefault="00AA4661" w:rsidP="00CF297A">
      <w:pPr>
        <w:pStyle w:val="BodyText"/>
        <w:numPr>
          <w:ilvl w:val="0"/>
          <w:numId w:val="41"/>
        </w:numPr>
        <w:ind w:left="0" w:firstLine="0"/>
        <w:rPr>
          <w:lang w:val="bg-BG"/>
        </w:rPr>
      </w:pPr>
      <w:r w:rsidRPr="00B73D7E">
        <w:rPr>
          <w:lang w:val="bg-BG"/>
        </w:rPr>
        <w:t>България е разположена в един от регионите, които са особено уязвими към изменението на климата, (основно поради увеличението на температурите и екстремни валежи) както и от увеличената честота на промените в климата, свързана с екстремни събития като суша и наводнения. Рисковете, причинени от събития, свързани с изменението на климата, могат да доведат до загуба на човешки живот или да причинят значителни вреди, които да засегнат икономическия растеж и просперитета както на национално, така и на трансгранично равнище.</w:t>
      </w:r>
    </w:p>
    <w:p w:rsidR="00AA4661" w:rsidRPr="00B73D7E" w:rsidRDefault="00084198" w:rsidP="00CF297A">
      <w:pPr>
        <w:pStyle w:val="BodyText"/>
        <w:numPr>
          <w:ilvl w:val="0"/>
          <w:numId w:val="41"/>
        </w:numPr>
        <w:ind w:left="0" w:firstLine="0"/>
        <w:rPr>
          <w:lang w:val="bg-BG"/>
        </w:rPr>
      </w:pPr>
      <w:r w:rsidRPr="00B73D7E">
        <w:rPr>
          <w:noProof/>
          <w:lang w:val="en-US" w:eastAsia="en-US"/>
        </w:rPr>
        <mc:AlternateContent>
          <mc:Choice Requires="wps">
            <w:drawing>
              <wp:anchor distT="0" distB="0" distL="114300" distR="114300" simplePos="0" relativeHeight="251660800" behindDoc="0" locked="0" layoutInCell="1" allowOverlap="1" wp14:anchorId="66DD516C" wp14:editId="53898E33">
                <wp:simplePos x="0" y="0"/>
                <wp:positionH relativeFrom="column">
                  <wp:posOffset>3232785</wp:posOffset>
                </wp:positionH>
                <wp:positionV relativeFrom="paragraph">
                  <wp:posOffset>5639435</wp:posOffset>
                </wp:positionV>
                <wp:extent cx="1482090" cy="272415"/>
                <wp:effectExtent l="0" t="0" r="0" b="0"/>
                <wp:wrapNone/>
                <wp:docPr id="194"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2090" cy="272415"/>
                        </a:xfrm>
                        <a:prstGeom prst="rect">
                          <a:avLst/>
                        </a:prstGeom>
                        <a:noFill/>
                        <a:ln w="25400" cap="flat" cmpd="sng" algn="ctr">
                          <a:noFill/>
                          <a:prstDash val="solid"/>
                        </a:ln>
                        <a:effectLst/>
                      </wps:spPr>
                      <wps:txbx>
                        <w:txbxContent>
                          <w:p w:rsidR="00FB4561" w:rsidRPr="00A831A0" w:rsidRDefault="00FB4561" w:rsidP="00F67A0C">
                            <w:pPr>
                              <w:jc w:val="center"/>
                              <w:rPr>
                                <w:rFonts w:ascii="Calibri" w:hAnsi="Calibri" w:cs="Calibri"/>
                                <w:i/>
                                <w:iCs/>
                                <w:color w:val="000000"/>
                                <w:szCs w:val="20"/>
                                <w:lang w:val="en-GB"/>
                              </w:rPr>
                            </w:pPr>
                            <w:r w:rsidRPr="00A831A0">
                              <w:rPr>
                                <w:rFonts w:ascii="Calibri" w:hAnsi="Calibri" w:cs="Calibri"/>
                                <w:i/>
                                <w:iCs/>
                                <w:color w:val="000000"/>
                                <w:szCs w:val="20"/>
                              </w:rPr>
                              <w:t>Източник:</w:t>
                            </w:r>
                            <w:r w:rsidRPr="00A831A0">
                              <w:rPr>
                                <w:rFonts w:ascii="Calibri" w:hAnsi="Calibri" w:cs="Calibri"/>
                                <w:i/>
                                <w:iCs/>
                                <w:color w:val="000000"/>
                                <w:szCs w:val="20"/>
                                <w:lang w:val="en-GB"/>
                              </w:rPr>
                              <w:t xml:space="preserve"> </w:t>
                            </w:r>
                            <w:r w:rsidRPr="00A831A0">
                              <w:rPr>
                                <w:rFonts w:ascii="Calibri" w:hAnsi="Calibri" w:cs="Calibri"/>
                                <w:i/>
                                <w:iCs/>
                                <w:color w:val="000000"/>
                                <w:szCs w:val="20"/>
                              </w:rPr>
                              <w:t>НИМХ</w:t>
                            </w:r>
                            <w:r>
                              <w:rPr>
                                <w:rFonts w:ascii="Calibri" w:hAnsi="Calibri" w:cs="Calibri"/>
                                <w:i/>
                                <w:iCs/>
                                <w:color w:val="000000"/>
                                <w:szCs w:val="20"/>
                              </w:rPr>
                              <w:t>-БАН</w:t>
                            </w:r>
                            <w:r w:rsidRPr="00A831A0">
                              <w:rPr>
                                <w:rFonts w:ascii="Calibri" w:hAnsi="Calibri" w:cs="Calibri"/>
                                <w:i/>
                                <w:iCs/>
                                <w:color w:val="000000"/>
                                <w:szCs w:val="20"/>
                                <w:lang w:val="en-GB"/>
                              </w:rPr>
                              <w:t>.</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6" o:spid="_x0000_s1026" style="position:absolute;left:0;text-align:left;margin-left:254.55pt;margin-top:444.05pt;width:116.7pt;height:21.4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" filled="f" stroked="f" strokeweight="2pt">
                <v:path arrowok="t"/>
                <v:textbox inset="2mm,0,2mm,0">
                  <w:txbxContent>
                    <w:p w:rsidR="00FB4561" w:rsidRPr="00A831A0" w:rsidRDefault="00FB4561" w:rsidP="00F67A0C">
                      <w:pPr>
                        <w:jc w:val="center"/>
                        <w:rPr>
                          <w:rFonts w:ascii="Calibri" w:hAnsi="Calibri" w:cs="Calibri"/>
                          <w:i/>
                          <w:iCs/>
                          <w:color w:val="000000"/>
                          <w:szCs w:val="20"/>
                          <w:lang w:val="en-GB"/>
                        </w:rPr>
                      </w:pPr>
                      <w:r w:rsidRPr="00A831A0">
                        <w:rPr>
                          <w:rFonts w:ascii="Calibri" w:hAnsi="Calibri" w:cs="Calibri"/>
                          <w:i/>
                          <w:iCs/>
                          <w:color w:val="000000"/>
                          <w:szCs w:val="20"/>
                        </w:rPr>
                        <w:t>Източник:</w:t>
                      </w:r>
                      <w:r w:rsidRPr="00A831A0">
                        <w:rPr>
                          <w:rFonts w:ascii="Calibri" w:hAnsi="Calibri" w:cs="Calibri"/>
                          <w:i/>
                          <w:iCs/>
                          <w:color w:val="000000"/>
                          <w:szCs w:val="20"/>
                          <w:lang w:val="en-GB"/>
                        </w:rPr>
                        <w:t xml:space="preserve"> </w:t>
                      </w:r>
                      <w:r w:rsidRPr="00A831A0">
                        <w:rPr>
                          <w:rFonts w:ascii="Calibri" w:hAnsi="Calibri" w:cs="Calibri"/>
                          <w:i/>
                          <w:iCs/>
                          <w:color w:val="000000"/>
                          <w:szCs w:val="20"/>
                        </w:rPr>
                        <w:t>НИМХ</w:t>
                      </w:r>
                      <w:r>
                        <w:rPr>
                          <w:rFonts w:ascii="Calibri" w:hAnsi="Calibri" w:cs="Calibri"/>
                          <w:i/>
                          <w:iCs/>
                          <w:color w:val="000000"/>
                          <w:szCs w:val="20"/>
                        </w:rPr>
                        <w:t>-БАН</w:t>
                      </w:r>
                      <w:r w:rsidRPr="00A831A0">
                        <w:rPr>
                          <w:rFonts w:ascii="Calibri" w:hAnsi="Calibri" w:cs="Calibri"/>
                          <w:i/>
                          <w:iCs/>
                          <w:color w:val="000000"/>
                          <w:szCs w:val="20"/>
                          <w:lang w:val="en-GB"/>
                        </w:rPr>
                        <w:t>.</w:t>
                      </w:r>
                    </w:p>
                  </w:txbxContent>
                </v:textbox>
              </v:rect>
            </w:pict>
          </mc:Fallback>
        </mc:AlternateContent>
      </w:r>
      <w:r w:rsidRPr="00B73D7E">
        <w:rPr>
          <w:noProof/>
          <w:lang w:val="en-US" w:eastAsia="en-US"/>
        </w:rPr>
        <mc:AlternateContent>
          <mc:Choice Requires="wpg">
            <w:drawing>
              <wp:anchor distT="0" distB="274320" distL="114300" distR="114300" simplePos="0" relativeHeight="251659776" behindDoc="0" locked="0" layoutInCell="1" allowOverlap="1" wp14:anchorId="5F211EEE" wp14:editId="14AC7997">
                <wp:simplePos x="0" y="0"/>
                <wp:positionH relativeFrom="column">
                  <wp:posOffset>2271395</wp:posOffset>
                </wp:positionH>
                <wp:positionV relativeFrom="paragraph">
                  <wp:posOffset>854710</wp:posOffset>
                </wp:positionV>
                <wp:extent cx="3575050" cy="4715510"/>
                <wp:effectExtent l="0" t="0" r="0" b="0"/>
                <wp:wrapSquare wrapText="bothSides"/>
                <wp:docPr id="58"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75050" cy="4715510"/>
                          <a:chOff x="1033" y="-965"/>
                          <a:chExt cx="33636" cy="47460"/>
                        </a:xfrm>
                      </wpg:grpSpPr>
                      <wpg:grpSp>
                        <wpg:cNvPr id="59" name="Group 37"/>
                        <wpg:cNvGrpSpPr>
                          <a:grpSpLocks/>
                        </wpg:cNvGrpSpPr>
                        <wpg:grpSpPr bwMode="auto">
                          <a:xfrm>
                            <a:off x="1033" y="-965"/>
                            <a:ext cx="33636" cy="47460"/>
                            <a:chOff x="1033" y="-965"/>
                            <a:chExt cx="33636" cy="47460"/>
                          </a:xfrm>
                        </wpg:grpSpPr>
                        <pic:pic xmlns:pic="http://schemas.openxmlformats.org/drawingml/2006/picture">
                          <pic:nvPicPr>
                            <pic:cNvPr id="60" name="Picture 1"/>
                            <pic:cNvPicPr>
                              <a:picLocks noChangeAspect="1" noChangeArrowheads="1"/>
                            </pic:cNvPicPr>
                          </pic:nvPicPr>
                          <pic:blipFill>
                            <a:blip r:embed="rId13">
                              <a:extLst>
                                <a:ext uri="{28A0092B-C50C-407E-A947-70E740481C1C}">
                                  <a14:useLocalDpi xmlns:a14="http://schemas.microsoft.com/office/drawing/2010/main" val="0"/>
                                </a:ext>
                              </a:extLst>
                            </a:blip>
                            <a:srcRect l="3328" t="6017" r="12740" b="2315"/>
                            <a:stretch>
                              <a:fillRect/>
                            </a:stretch>
                          </pic:blipFill>
                          <pic:spPr bwMode="auto">
                            <a:xfrm>
                              <a:off x="1064" y="5168"/>
                              <a:ext cx="30079" cy="205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 name="Picture 2"/>
                            <pic:cNvPicPr>
                              <a:picLocks noChangeAspect="1" noChangeArrowheads="1"/>
                            </pic:cNvPicPr>
                          </pic:nvPicPr>
                          <pic:blipFill>
                            <a:blip r:embed="rId14">
                              <a:extLst>
                                <a:ext uri="{28A0092B-C50C-407E-A947-70E740481C1C}">
                                  <a14:useLocalDpi xmlns:a14="http://schemas.microsoft.com/office/drawing/2010/main" val="0"/>
                                </a:ext>
                              </a:extLst>
                            </a:blip>
                            <a:srcRect l="1047" t="4588" r="-2" b="9"/>
                            <a:stretch>
                              <a:fillRect/>
                            </a:stretch>
                          </pic:blipFill>
                          <pic:spPr bwMode="auto">
                            <a:xfrm>
                              <a:off x="1033" y="25762"/>
                              <a:ext cx="30086" cy="207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30528" y="13278"/>
                              <a:ext cx="2947" cy="19812"/>
                            </a:xfrm>
                            <a:prstGeom prst="rect">
                              <a:avLst/>
                            </a:prstGeom>
                            <a:noFill/>
                            <a:extLst>
                              <a:ext uri="{909E8E84-426E-40DD-AFC4-6F175D3DCCD1}">
                                <a14:hiddenFill xmlns:a14="http://schemas.microsoft.com/office/drawing/2010/main">
                                  <a:solidFill>
                                    <a:srgbClr val="FFFFFF"/>
                                  </a:solidFill>
                                </a14:hiddenFill>
                              </a:ext>
                            </a:extLst>
                          </pic:spPr>
                        </pic:pic>
                        <wps:wsp>
                          <wps:cNvPr id="63" name="Text Box 14"/>
                          <wps:cNvSpPr txBox="1">
                            <a:spLocks noChangeArrowheads="1"/>
                          </wps:cNvSpPr>
                          <wps:spPr bwMode="auto">
                            <a:xfrm>
                              <a:off x="1033" y="-965"/>
                              <a:ext cx="33636" cy="6181"/>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FB4561" w:rsidRPr="00B73D7E" w:rsidRDefault="00FB4561" w:rsidP="00B73D7E">
                                <w:pPr>
                                  <w:pStyle w:val="FiguresTablesCaption"/>
                                  <w:spacing w:before="0" w:after="0"/>
                                  <w:rPr>
                                    <w:b w:val="0"/>
                                    <w:i w:val="0"/>
                                    <w:iCs w:val="0"/>
                                  </w:rPr>
                                </w:pPr>
                                <w:bookmarkStart w:id="26" w:name="_Hlk505679085"/>
                                <w:bookmarkStart w:id="27" w:name="_Hlk506143447"/>
                                <w:bookmarkStart w:id="28" w:name="_Toc499887399"/>
                                <w:bookmarkStart w:id="29" w:name="_Toc499887654"/>
                                <w:bookmarkStart w:id="30" w:name="_Toc501557630"/>
                                <w:bookmarkStart w:id="31" w:name="_Toc505950703"/>
                                <w:bookmarkStart w:id="32" w:name="_Toc505972281"/>
                                <w:bookmarkStart w:id="33" w:name="_Toc506143754"/>
                                <w:bookmarkStart w:id="34" w:name="_Toc529286477"/>
                                <w:bookmarkStart w:id="35" w:name="_Toc529286552"/>
                                <w:bookmarkEnd w:id="26"/>
                                <w:r w:rsidRPr="00B73D7E">
                                  <w:t xml:space="preserve">Фигура </w:t>
                                </w:r>
                                <w:r w:rsidRPr="00B73D7E">
                                  <w:fldChar w:fldCharType="begin"/>
                                </w:r>
                                <w:r w:rsidRPr="00B73D7E">
                                  <w:instrText xml:space="preserve"> SEQ Figure \* ARABIC </w:instrText>
                                </w:r>
                                <w:r w:rsidRPr="00B73D7E">
                                  <w:fldChar w:fldCharType="separate"/>
                                </w:r>
                                <w:r w:rsidRPr="00B73D7E">
                                  <w:t>2</w:t>
                                </w:r>
                                <w:r w:rsidRPr="00B73D7E">
                                  <w:fldChar w:fldCharType="end"/>
                                </w:r>
                                <w:r w:rsidRPr="00B73D7E">
                                  <w:t>.</w:t>
                                </w:r>
                                <w:bookmarkEnd w:id="27"/>
                                <w:r w:rsidRPr="00B73D7E">
                                  <w:t xml:space="preserve"> Средна годишна температура през 1961–1990 г. (A); Песимистичен климатичен сценарий за средна годишна температура за 2080 г. (Б)</w:t>
                                </w:r>
                                <w:bookmarkEnd w:id="28"/>
                                <w:bookmarkEnd w:id="29"/>
                                <w:bookmarkEnd w:id="30"/>
                                <w:bookmarkEnd w:id="31"/>
                                <w:bookmarkEnd w:id="32"/>
                                <w:bookmarkEnd w:id="33"/>
                                <w:bookmarkEnd w:id="34"/>
                                <w:bookmarkEnd w:id="35"/>
                              </w:p>
                              <w:p w:rsidR="00FB4561" w:rsidRPr="00757FFE" w:rsidRDefault="00FB4561" w:rsidP="00F67A0C">
                                <w:pPr>
                                  <w:autoSpaceDE w:val="0"/>
                                  <w:autoSpaceDN w:val="0"/>
                                  <w:adjustRightInd w:val="0"/>
                                  <w:spacing w:after="400"/>
                                  <w:jc w:val="center"/>
                                  <w:rPr>
                                    <w:i/>
                                    <w:iCs/>
                                    <w:color w:val="000000"/>
                                    <w:szCs w:val="20"/>
                                    <w:lang w:val="ru-RU"/>
                                  </w:rPr>
                                </w:pPr>
                              </w:p>
                            </w:txbxContent>
                          </wps:txbx>
                          <wps:bodyPr rot="0" vert="horz" wrap="square" lIns="91440" tIns="45720" rIns="91440" bIns="45720" anchor="t" anchorCtr="0" upright="1">
                            <a:noAutofit/>
                          </wps:bodyPr>
                        </wps:wsp>
                      </wpg:grpSp>
                      <wps:wsp>
                        <wps:cNvPr id="192" name="Text Box 31"/>
                        <wps:cNvSpPr txBox="1">
                          <a:spLocks noChangeArrowheads="1"/>
                        </wps:cNvSpPr>
                        <wps:spPr bwMode="auto">
                          <a:xfrm>
                            <a:off x="24251" y="21548"/>
                            <a:ext cx="5804"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B4561" w:rsidRPr="007E6A80" w:rsidRDefault="00FB4561" w:rsidP="00F67A0C">
                              <w:pPr>
                                <w:spacing w:after="400"/>
                                <w:jc w:val="center"/>
                                <w:rPr>
                                  <w:b/>
                                  <w:bCs/>
                                  <w:sz w:val="36"/>
                                  <w:szCs w:val="36"/>
                                </w:rPr>
                              </w:pPr>
                              <w:r w:rsidRPr="007E6A80">
                                <w:rPr>
                                  <w:b/>
                                  <w:bCs/>
                                  <w:sz w:val="36"/>
                                  <w:szCs w:val="36"/>
                                </w:rPr>
                                <w:t>A</w:t>
                              </w:r>
                            </w:p>
                          </w:txbxContent>
                        </wps:txbx>
                        <wps:bodyPr rot="0" vert="horz" wrap="square" lIns="91440" tIns="45720" rIns="91440" bIns="45720" anchor="t" anchorCtr="0" upright="1">
                          <a:noAutofit/>
                        </wps:bodyPr>
                      </wps:wsp>
                      <wps:wsp>
                        <wps:cNvPr id="193" name="Text Box 224"/>
                        <wps:cNvSpPr txBox="1">
                          <a:spLocks noChangeArrowheads="1"/>
                        </wps:cNvSpPr>
                        <wps:spPr bwMode="auto">
                          <a:xfrm>
                            <a:off x="24728" y="41903"/>
                            <a:ext cx="5805"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B4561" w:rsidRPr="007E6A80" w:rsidRDefault="00FB4561" w:rsidP="00F67A0C">
                              <w:pPr>
                                <w:spacing w:after="400"/>
                                <w:jc w:val="center"/>
                                <w:rPr>
                                  <w:b/>
                                  <w:bCs/>
                                  <w:sz w:val="36"/>
                                  <w:szCs w:val="36"/>
                                </w:rPr>
                              </w:pPr>
                              <w:r>
                                <w:rPr>
                                  <w:b/>
                                  <w:bCs/>
                                  <w:sz w:val="36"/>
                                  <w:szCs w:val="36"/>
                                </w:rPr>
                                <w:t>Б</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 o:spid="_x0000_s1027" style="position:absolute;left:0;text-align:left;margin-left:178.85pt;margin-top:67.3pt;width:281.5pt;height:371.3pt;z-index:251659776;mso-wrap-distance-bottom:21.6pt" coordorigin="1033,-965" coordsize="33636,4746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">
                <v:group id="Group 37" o:spid="_x0000_s1028" style="position:absolute;left:1033;top:-965;width:33636;height:47460" coordorigin="1033,-965" coordsize="33636,474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3SR8UAAADbAAAADwAAAGRycy9kb3ducmV2LnhtbESPT2vCQBTE70K/w/IK&#10;vdVNWlJqdBWRtvQgBZOCeHtkn0kw+zZkt/nz7V2h4HGYmd8wq81oGtFT52rLCuJ5BIK4sLrmUsFv&#10;/vn8DsJ5ZI2NZVIwkYPN+mG2wlTbgQ/UZ74UAcIuRQWV920qpSsqMujmtiUO3tl2Bn2QXSl1h0OA&#10;m0a+RNGbNFhzWKiwpV1FxSX7Mwq+Bhy2r/FHv7+cd9MpT36O+5iUenoct0sQnkZ/D/+3v7WCZAG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pt0kfFAAAA2w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9" type="#_x0000_t75" style="position:absolute;left:1064;top:5168;width:30079;height:205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tGCO/AAAA2wAAAA8AAABkcnMvZG93bnJldi54bWxET8uKwjAU3Qv+Q7iCO011oaUaZRAUFy58&#10;gbi7NHfazjQ3JYna/r1ZCC4P571ct6YWT3K+sqxgMk5AEOdWV1wouF62oxSED8gaa8ukoCMP61W/&#10;t8RM2xef6HkOhYgh7DNUUIbQZFL6vCSDfmwb4sj9WmcwROgKqR2+Yrip5TRJZtJgxbGhxIY2JeX/&#10;54dRYPVpd3g4m17vx2be0q0r0r9OqeGg/VmACNSGr/jj3msFs7g+fok/QK7e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MLRgjvwAAANsAAAAPAAAAAAAAAAAAAAAAAJ8CAABk&#10;cnMvZG93bnJldi54bWxQSwUGAAAAAAQABAD3AAAAiwMAAAAA&#10;">
                    <v:imagedata r:id="rId20" o:title="" croptop="3943f" cropbottom="1517f" cropleft="2181f" cropright="8349f"/>
                  </v:shape>
                  <v:shape id="Picture 2" o:spid="_x0000_s1030" type="#_x0000_t75" style="position:absolute;left:1033;top:25762;width:30086;height:207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X9MLDAAAA2wAAAA8AAABkcnMvZG93bnJldi54bWxEj91qwkAUhO8LvsNyCt7VjYKhpK5SBH/A&#10;IjX6AIfsaRLNng27q4k+fbdQ8HKYmW+Y2aI3jbiR87VlBeNRAoK4sLrmUsHpuHp7B+EDssbGMim4&#10;k4fFfPAyw0zbjg90y0MpIoR9hgqqENpMSl9UZNCPbEscvR/rDIYoXSm1wy7CTSMnSZJKgzXHhQpb&#10;WlZUXPKrUdA+sDsu3eacTr/W+2D3u29vnFLD1/7zA0SgPjzD/+2tVpCO4e9L/AFy/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df0wsMAAADbAAAADwAAAAAAAAAAAAAAAACf&#10;AgAAZHJzL2Rvd25yZXYueG1sUEsFBgAAAAAEAAQA9wAAAI8DAAAAAA==&#10;">
                    <v:imagedata r:id="rId21" o:title="" croptop="3007f" cropbottom="6f" cropleft="686f" cropright="-1f"/>
                  </v:shape>
                  <v:shape id="Picture 3" o:spid="_x0000_s1031" type="#_x0000_t75" style="position:absolute;left:30528;top:13278;width:2947;height:19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83W7DAAAA2wAAAA8AAABkcnMvZG93bnJldi54bWxEj0trwzAQhO+F/gexgV5KLSeHkLqWQygE&#10;SqEHu7n0tljrB7FWRpIf/fdVINDjMDPfMPlxNYOYyfnesoJtkoIgrq3uuVVw+T6/HED4gKxxsEwK&#10;fsnDsXh8yDHTduGS5iq0IkLYZ6igC2HMpPR1RwZ9Ykfi6DXWGQxRulZqh0uEm0Hu0nQvDfYcFzoc&#10;6b2j+lpNRoH9Gtl99lyd6DUcpqacqPx5Vupps57eQARaw3/43v7QCvY7uH2JP0AW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LzdbsMAAADbAAAADwAAAAAAAAAAAAAAAACf&#10;AgAAZHJzL2Rvd25yZXYueG1sUEsFBgAAAAAEAAQA9wAAAI8DAAAAAA==&#10;">
                    <v:imagedata r:id="rId22" o:title=""/>
                  </v:shape>
                  <v:shapetype id="_x0000_t202" coordsize="21600,21600" o:spt="202" path="m,l,21600r21600,l21600,xe">
                    <v:stroke joinstyle="miter"/>
                    <v:path gradientshapeok="t" o:connecttype="rect"/>
                  </v:shapetype>
                  <v:shape id="Text Box 14" o:spid="_x0000_s1032" type="#_x0000_t202" style="position:absolute;left:1033;top:-965;width:33636;height:6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cUs8EA&#10;AADbAAAADwAAAGRycy9kb3ducmV2LnhtbESPT4vCMBTE78J+h/AW9qZpXRGpxiILwp4W/Ht+NM+m&#10;2LyUJKvVT28EweMwM79hFmVvW3EhHxrHCvJRBoK4crrhWsF+tx7OQISIrLF1TApuFKBcfgwWWGh3&#10;5Q1dtrEWCcKhQAUmxq6QMlSGLIaR64iTd3LeYkzS11J7vCa4beU4y6bSYsNpwWBHP4aq8/bfKjjW&#10;9n485J032rYT/rvfdnvXKPX12a/mICL18R1+tX+1guk3PL+kHyC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xXFLPBAAAA2wAAAA8AAAAAAAAAAAAAAAAAmAIAAGRycy9kb3du&#10;cmV2LnhtbFBLBQYAAAAABAAEAPUAAACGAwAAAAA=&#10;" stroked="f" strokeweight=".5pt">
                    <v:textbox>
                      <w:txbxContent>
                        <w:p w:rsidR="00FB4561" w:rsidRPr="00B73D7E" w:rsidRDefault="00FB4561" w:rsidP="00B73D7E">
                          <w:pPr>
                            <w:pStyle w:val="FiguresTablesCaption"/>
                            <w:spacing w:before="0" w:after="0"/>
                            <w:rPr>
                              <w:b w:val="0"/>
                              <w:i w:val="0"/>
                              <w:iCs w:val="0"/>
                            </w:rPr>
                          </w:pPr>
                          <w:bookmarkStart w:id="36" w:name="_Hlk505679085"/>
                          <w:bookmarkStart w:id="37" w:name="_Hlk506143447"/>
                          <w:bookmarkStart w:id="38" w:name="_Toc499887399"/>
                          <w:bookmarkStart w:id="39" w:name="_Toc499887654"/>
                          <w:bookmarkStart w:id="40" w:name="_Toc501557630"/>
                          <w:bookmarkStart w:id="41" w:name="_Toc505950703"/>
                          <w:bookmarkStart w:id="42" w:name="_Toc505972281"/>
                          <w:bookmarkStart w:id="43" w:name="_Toc506143754"/>
                          <w:bookmarkStart w:id="44" w:name="_Toc529286477"/>
                          <w:bookmarkStart w:id="45" w:name="_Toc529286552"/>
                          <w:bookmarkEnd w:id="36"/>
                          <w:r w:rsidRPr="00B73D7E">
                            <w:t xml:space="preserve">Фигура </w:t>
                          </w:r>
                          <w:r w:rsidRPr="00B73D7E">
                            <w:fldChar w:fldCharType="begin"/>
                          </w:r>
                          <w:r w:rsidRPr="00B73D7E">
                            <w:instrText xml:space="preserve"> SEQ Figure \* ARABIC </w:instrText>
                          </w:r>
                          <w:r w:rsidRPr="00B73D7E">
                            <w:fldChar w:fldCharType="separate"/>
                          </w:r>
                          <w:r w:rsidRPr="00B73D7E">
                            <w:t>2</w:t>
                          </w:r>
                          <w:r w:rsidRPr="00B73D7E">
                            <w:fldChar w:fldCharType="end"/>
                          </w:r>
                          <w:r w:rsidRPr="00B73D7E">
                            <w:t>.</w:t>
                          </w:r>
                          <w:bookmarkEnd w:id="37"/>
                          <w:r w:rsidRPr="00B73D7E">
                            <w:t xml:space="preserve"> Средна годишна температура през 1961–1990 г. (A); Песимистичен климатичен сценарий за средна годишна температура за 2080 г. (Б)</w:t>
                          </w:r>
                          <w:bookmarkEnd w:id="38"/>
                          <w:bookmarkEnd w:id="39"/>
                          <w:bookmarkEnd w:id="40"/>
                          <w:bookmarkEnd w:id="41"/>
                          <w:bookmarkEnd w:id="42"/>
                          <w:bookmarkEnd w:id="43"/>
                          <w:bookmarkEnd w:id="44"/>
                          <w:bookmarkEnd w:id="45"/>
                        </w:p>
                        <w:p w:rsidR="00FB4561" w:rsidRPr="00757FFE" w:rsidRDefault="00FB4561" w:rsidP="00F67A0C">
                          <w:pPr>
                            <w:autoSpaceDE w:val="0"/>
                            <w:autoSpaceDN w:val="0"/>
                            <w:adjustRightInd w:val="0"/>
                            <w:spacing w:after="400"/>
                            <w:jc w:val="center"/>
                            <w:rPr>
                              <w:i/>
                              <w:iCs/>
                              <w:color w:val="000000"/>
                              <w:szCs w:val="20"/>
                              <w:lang w:val="ru-RU"/>
                            </w:rPr>
                          </w:pPr>
                        </w:p>
                      </w:txbxContent>
                    </v:textbox>
                  </v:shape>
                </v:group>
                <v:shape id="Text Box 31" o:spid="_x0000_s1033" type="#_x0000_t202" style="position:absolute;left:24251;top:21548;width:5804;height:3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CkaMQA&#10;AADcAAAADwAAAGRycy9kb3ducmV2LnhtbERPTWvCQBC9F/wPywi9NRsDFY2uEgKhpbQHNZfeptkx&#10;CWZnY3arqb++Wyh4m8f7nPV2NJ240OBaywpmUQyCuLK65VpBeSieFiCcR9bYWSYFP+Rgu5k8rDHV&#10;9so7uux9LUIIuxQVNN73qZSuasigi2xPHLijHQz6AIda6gGvIdx0MonjuTTYcmhosKe8oeq0/zYK&#10;3vLiA3dfiVncuvzl/Zj15/LzWanH6ZitQHga/V38737VYf4ygb9nwgV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4ApGjEAAAA3AAAAA8AAAAAAAAAAAAAAAAAmAIAAGRycy9k&#10;b3ducmV2LnhtbFBLBQYAAAAABAAEAPUAAACJAwAAAAA=&#10;" filled="f" stroked="f" strokeweight=".5pt">
                  <v:textbox>
                    <w:txbxContent>
                      <w:p w:rsidR="00FB4561" w:rsidRPr="007E6A80" w:rsidRDefault="00FB4561" w:rsidP="00F67A0C">
                        <w:pPr>
                          <w:spacing w:after="400"/>
                          <w:jc w:val="center"/>
                          <w:rPr>
                            <w:b/>
                            <w:bCs/>
                            <w:sz w:val="36"/>
                            <w:szCs w:val="36"/>
                          </w:rPr>
                        </w:pPr>
                        <w:r w:rsidRPr="007E6A80">
                          <w:rPr>
                            <w:b/>
                            <w:bCs/>
                            <w:sz w:val="36"/>
                            <w:szCs w:val="36"/>
                          </w:rPr>
                          <w:t>A</w:t>
                        </w:r>
                      </w:p>
                    </w:txbxContent>
                  </v:textbox>
                </v:shape>
                <v:shape id="Text Box 224" o:spid="_x0000_s1034" type="#_x0000_t202" style="position:absolute;left:24728;top:41903;width:5805;height:3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wB88MA&#10;AADcAAAADwAAAGRycy9kb3ducmV2LnhtbERPS4vCMBC+L/gfwgje1lQXF61GkYKsiHvwcfE2NmNb&#10;bCa1iVr99ZsFwdt8fM+ZzBpTihvVrrCsoNeNQBCnVhecKdjvFp9DEM4jaywtk4IHOZhNWx8TjLW9&#10;84ZuW5+JEMIuRgW591UspUtzMui6tiIO3MnWBn2AdSZ1jfcQbkrZj6JvabDg0JBjRUlO6Xl7NQpW&#10;yeIXN8e+GT7L5Gd9mleX/WGgVKfdzMcgPDX+LX65lzrMH33B/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UwB88MAAADcAAAADwAAAAAAAAAAAAAAAACYAgAAZHJzL2Rv&#10;d25yZXYueG1sUEsFBgAAAAAEAAQA9QAAAIgDAAAAAA==&#10;" filled="f" stroked="f" strokeweight=".5pt">
                  <v:textbox>
                    <w:txbxContent>
                      <w:p w:rsidR="00FB4561" w:rsidRPr="007E6A80" w:rsidRDefault="00FB4561" w:rsidP="00F67A0C">
                        <w:pPr>
                          <w:spacing w:after="400"/>
                          <w:jc w:val="center"/>
                          <w:rPr>
                            <w:b/>
                            <w:bCs/>
                            <w:sz w:val="36"/>
                            <w:szCs w:val="36"/>
                          </w:rPr>
                        </w:pPr>
                        <w:r>
                          <w:rPr>
                            <w:b/>
                            <w:bCs/>
                            <w:sz w:val="36"/>
                            <w:szCs w:val="36"/>
                          </w:rPr>
                          <w:t>Б</w:t>
                        </w:r>
                      </w:p>
                    </w:txbxContent>
                  </v:textbox>
                </v:shape>
                <w10:wrap type="square"/>
              </v:group>
            </w:pict>
          </mc:Fallback>
        </mc:AlternateContent>
      </w:r>
      <w:r w:rsidR="00AA4661" w:rsidRPr="00B73D7E">
        <w:rPr>
          <w:lang w:val="bg-BG"/>
        </w:rPr>
        <w:t>Съществува консенсус в научната общност, че изменението на климата вероятно ще увеличи честотата и величината на екстремни метеорологични явления. През последните десетилетия тази честота в България се е увеличила значително. Най-често срещаните хидрометеорологични и природни бедствия са екстремни валежи и температури, бури, наводнения, горски пожари, свлачища и суши. Броят на смъртните случаи и жертвите, дължащи се на природни бедствия,  е значителен, което показва уязвимост от метеорологичните условия и климата. Уязвимостта на населението и бизнеса в България от въздействието на изменението на климата се ускорява от относително висока степен на бедност в най-засегнатите райони, продължаващата концентрация на населението на страната в няколко индустриални и градски района и различните последици от прехода от държавно-контролирана икономика към свободна пазарна икономика. Все повече доказателства сочат, че икономическите загуби от бедствия, свързани с метеорологичните и климатичните условия, също нарастват.</w:t>
      </w:r>
    </w:p>
    <w:p w:rsidR="00AA4661" w:rsidRPr="00B73D7E" w:rsidRDefault="00AA4661" w:rsidP="00CF297A">
      <w:pPr>
        <w:pStyle w:val="BodyText"/>
        <w:numPr>
          <w:ilvl w:val="0"/>
          <w:numId w:val="41"/>
        </w:numPr>
        <w:ind w:left="0" w:firstLine="0"/>
        <w:rPr>
          <w:lang w:val="bg-BG"/>
        </w:rPr>
      </w:pPr>
      <w:r w:rsidRPr="00B73D7E">
        <w:rPr>
          <w:lang w:val="bg-BG"/>
        </w:rPr>
        <w:t>Научните прогнози показват, че глобалните температури ще се покачат между 1</w:t>
      </w:r>
      <w:r w:rsidR="00CD1039">
        <w:rPr>
          <w:lang w:val="bg-BG"/>
        </w:rPr>
        <w:t>,</w:t>
      </w:r>
      <w:r w:rsidRPr="00B73D7E">
        <w:rPr>
          <w:lang w:val="bg-BG"/>
        </w:rPr>
        <w:t>8°C и 4°C до 2100 г., като температурното увеличение в Европа се очаква да бъде по-високо от прогнозираната глобална средна стойност.</w:t>
      </w:r>
    </w:p>
    <w:p w:rsidR="00AA4661" w:rsidRPr="00B73D7E" w:rsidRDefault="00AA4661" w:rsidP="00CF297A">
      <w:pPr>
        <w:pStyle w:val="BodyText"/>
        <w:numPr>
          <w:ilvl w:val="0"/>
          <w:numId w:val="41"/>
        </w:numPr>
        <w:ind w:left="0" w:firstLine="0"/>
        <w:rPr>
          <w:lang w:val="bg-BG"/>
        </w:rPr>
      </w:pPr>
      <w:r w:rsidRPr="00B73D7E">
        <w:rPr>
          <w:lang w:val="bg-BG"/>
        </w:rPr>
        <w:t xml:space="preserve">Изследванията, проведени от Департамента по метеорология към Националния </w:t>
      </w:r>
      <w:r w:rsidRPr="00B73D7E">
        <w:rPr>
          <w:lang w:val="bg-BG"/>
        </w:rPr>
        <w:lastRenderedPageBreak/>
        <w:t>институт по метеорология и хидрология и Българската академия на науките, предвиждат увеличение на годишната температура на въздуха в България от 0,7°C до 1,8°C до 2020 г. Още по-високи температури се очакват към 2050 г. и 2080 г., като прогнозираното увеличение е между 1,6°C и 3,1°C и съответно между 2,9°C и 4,1°C. Обикновено увеличението на температурата се очаква да бъде по-значимо през летния сезон (от юли до септември).</w:t>
      </w:r>
    </w:p>
    <w:p w:rsidR="00AA4661" w:rsidRPr="00B73D7E" w:rsidRDefault="00084198" w:rsidP="00CF297A">
      <w:pPr>
        <w:pStyle w:val="BodyText"/>
        <w:numPr>
          <w:ilvl w:val="0"/>
          <w:numId w:val="41"/>
        </w:numPr>
        <w:ind w:left="0" w:firstLine="0"/>
        <w:rPr>
          <w:lang w:val="bg-BG"/>
        </w:rPr>
      </w:pPr>
      <w:r w:rsidRPr="00B73D7E">
        <w:rPr>
          <w:noProof/>
          <w:lang w:val="en-US" w:eastAsia="en-US"/>
        </w:rPr>
        <mc:AlternateContent>
          <mc:Choice Requires="wpg">
            <w:drawing>
              <wp:anchor distT="0" distB="274320" distL="114300" distR="114300" simplePos="0" relativeHeight="251661824" behindDoc="0" locked="0" layoutInCell="1" allowOverlap="1" wp14:anchorId="37C14343" wp14:editId="0C3E3E08">
                <wp:simplePos x="0" y="0"/>
                <wp:positionH relativeFrom="column">
                  <wp:posOffset>2548890</wp:posOffset>
                </wp:positionH>
                <wp:positionV relativeFrom="paragraph">
                  <wp:posOffset>29845</wp:posOffset>
                </wp:positionV>
                <wp:extent cx="3218815" cy="4819650"/>
                <wp:effectExtent l="0" t="0" r="635" b="0"/>
                <wp:wrapSquare wrapText="bothSides"/>
                <wp:docPr id="51"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18815" cy="4819650"/>
                          <a:chOff x="0" y="-532"/>
                          <a:chExt cx="32163" cy="48186"/>
                        </a:xfrm>
                      </wpg:grpSpPr>
                      <wpg:grpSp>
                        <wpg:cNvPr id="52" name="Group 238"/>
                        <wpg:cNvGrpSpPr>
                          <a:grpSpLocks/>
                        </wpg:cNvGrpSpPr>
                        <wpg:grpSpPr bwMode="auto">
                          <a:xfrm>
                            <a:off x="0" y="-532"/>
                            <a:ext cx="32163" cy="48186"/>
                            <a:chOff x="0" y="-532"/>
                            <a:chExt cx="32163" cy="48186"/>
                          </a:xfrm>
                        </wpg:grpSpPr>
                        <pic:pic xmlns:pic="http://schemas.openxmlformats.org/drawingml/2006/picture">
                          <pic:nvPicPr>
                            <pic:cNvPr id="53" name="Picture 10"/>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318" y="5115"/>
                              <a:ext cx="31845" cy="218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 name="Picture 11"/>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318" y="26769"/>
                              <a:ext cx="30213" cy="20885"/>
                            </a:xfrm>
                            <a:prstGeom prst="rect">
                              <a:avLst/>
                            </a:prstGeom>
                            <a:noFill/>
                            <a:extLst>
                              <a:ext uri="{909E8E84-426E-40DD-AFC4-6F175D3DCCD1}">
                                <a14:hiddenFill xmlns:a14="http://schemas.microsoft.com/office/drawing/2010/main">
                                  <a:solidFill>
                                    <a:srgbClr val="FFFFFF"/>
                                  </a:solidFill>
                                </a14:hiddenFill>
                              </a:ext>
                            </a:extLst>
                          </pic:spPr>
                        </pic:pic>
                        <wps:wsp>
                          <wps:cNvPr id="55" name="Text Box 5"/>
                          <wps:cNvSpPr txBox="1">
                            <a:spLocks noChangeArrowheads="1"/>
                          </wps:cNvSpPr>
                          <wps:spPr bwMode="auto">
                            <a:xfrm>
                              <a:off x="0" y="-532"/>
                              <a:ext cx="31493" cy="59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FB4561" w:rsidRPr="00B73D7E" w:rsidRDefault="00FB4561" w:rsidP="00B73D7E">
                                <w:pPr>
                                  <w:pStyle w:val="FiguresTablesCaption"/>
                                  <w:spacing w:before="0" w:after="0"/>
                                  <w:rPr>
                                    <w:b w:val="0"/>
                                    <w:i w:val="0"/>
                                    <w:iCs w:val="0"/>
                                  </w:rPr>
                                </w:pPr>
                                <w:bookmarkStart w:id="36" w:name="_Toc501488084"/>
                                <w:bookmarkStart w:id="37" w:name="_Toc499887400"/>
                                <w:bookmarkStart w:id="38" w:name="_Toc499887655"/>
                                <w:bookmarkStart w:id="39" w:name="_Toc505972282"/>
                                <w:bookmarkStart w:id="40" w:name="_Toc506143755"/>
                                <w:bookmarkStart w:id="41" w:name="_Toc529286478"/>
                                <w:bookmarkStart w:id="42" w:name="_Toc529286553"/>
                                <w:r w:rsidRPr="00F8728A">
                                  <w:t>Фигура</w:t>
                                </w:r>
                                <w:r w:rsidRPr="00B73D7E">
                                  <w:t xml:space="preserve"> </w:t>
                                </w:r>
                                <w:r w:rsidRPr="00F8728A">
                                  <w:fldChar w:fldCharType="begin"/>
                                </w:r>
                                <w:r w:rsidRPr="00F8728A">
                                  <w:instrText xml:space="preserve"> SEQ Figure \* ARABIC </w:instrText>
                                </w:r>
                                <w:r w:rsidRPr="00F8728A">
                                  <w:fldChar w:fldCharType="separate"/>
                                </w:r>
                                <w:r w:rsidRPr="00B73D7E">
                                  <w:t>3</w:t>
                                </w:r>
                                <w:r w:rsidRPr="00F8728A">
                                  <w:fldChar w:fldCharType="end"/>
                                </w:r>
                                <w:r w:rsidRPr="00B73D7E">
                                  <w:t>. Средна годишна сума на валежите за периода 1961–1990 г. (А); Очаквана сума към 2080 г., съгласно песимистичния сценарий (Б)</w:t>
                                </w:r>
                                <w:bookmarkEnd w:id="36"/>
                                <w:bookmarkEnd w:id="37"/>
                                <w:bookmarkEnd w:id="38"/>
                                <w:bookmarkEnd w:id="39"/>
                                <w:bookmarkEnd w:id="40"/>
                                <w:bookmarkEnd w:id="41"/>
                                <w:bookmarkEnd w:id="42"/>
                              </w:p>
                            </w:txbxContent>
                          </wps:txbx>
                          <wps:bodyPr rot="0" vert="horz" wrap="square" lIns="91440" tIns="45720" rIns="91440" bIns="45720" anchor="t" anchorCtr="0" upright="1">
                            <a:noAutofit/>
                          </wps:bodyPr>
                        </wps:wsp>
                      </wpg:grpSp>
                      <wps:wsp>
                        <wps:cNvPr id="56" name="Text Box 240"/>
                        <wps:cNvSpPr txBox="1">
                          <a:spLocks noChangeArrowheads="1"/>
                        </wps:cNvSpPr>
                        <wps:spPr bwMode="auto">
                          <a:xfrm>
                            <a:off x="23774" y="43970"/>
                            <a:ext cx="5804" cy="3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B4561" w:rsidRPr="007E6A80" w:rsidRDefault="00FB4561" w:rsidP="00EB06C0">
                              <w:pPr>
                                <w:jc w:val="center"/>
                                <w:rPr>
                                  <w:b/>
                                  <w:bCs/>
                                  <w:sz w:val="36"/>
                                  <w:szCs w:val="36"/>
                                </w:rPr>
                              </w:pPr>
                              <w:r>
                                <w:rPr>
                                  <w:b/>
                                  <w:bCs/>
                                  <w:sz w:val="36"/>
                                  <w:szCs w:val="36"/>
                                </w:rPr>
                                <w:t>Б</w:t>
                              </w:r>
                            </w:p>
                          </w:txbxContent>
                        </wps:txbx>
                        <wps:bodyPr rot="0" vert="horz" wrap="square" lIns="91440" tIns="45720" rIns="91440" bIns="45720" anchor="t" anchorCtr="0" upright="1">
                          <a:noAutofit/>
                        </wps:bodyPr>
                      </wps:wsp>
                      <wps:wsp>
                        <wps:cNvPr id="57" name="Text Box 241"/>
                        <wps:cNvSpPr txBox="1">
                          <a:spLocks noChangeArrowheads="1"/>
                        </wps:cNvSpPr>
                        <wps:spPr bwMode="auto">
                          <a:xfrm>
                            <a:off x="23774" y="23323"/>
                            <a:ext cx="5804"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B4561" w:rsidRPr="007E6A80" w:rsidRDefault="00FB4561" w:rsidP="00EB06C0">
                              <w:pPr>
                                <w:jc w:val="center"/>
                                <w:rPr>
                                  <w:b/>
                                  <w:bCs/>
                                  <w:sz w:val="36"/>
                                  <w:szCs w:val="36"/>
                                </w:rPr>
                              </w:pPr>
                              <w:r w:rsidRPr="007E6A80">
                                <w:rPr>
                                  <w:b/>
                                  <w:bCs/>
                                  <w:sz w:val="36"/>
                                  <w:szCs w:val="36"/>
                                </w:rPr>
                                <w:t>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 o:spid="_x0000_s1035" style="position:absolute;left:0;text-align:left;margin-left:200.7pt;margin-top:2.35pt;width:253.45pt;height:379.5pt;z-index:251661824;mso-wrap-distance-bottom:21.6pt" coordorigin=",-532" coordsize="32163,4818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">
                <v:group id="Group 238" o:spid="_x0000_s1036" style="position:absolute;top:-532;width:32163;height:48186" coordorigin=",-532" coordsize="32163,481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shape id="Picture 10" o:spid="_x0000_s1037" type="#_x0000_t75" style="position:absolute;left:318;top:5115;width:31845;height:218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lhojDAAAA2wAAAA8AAABkcnMvZG93bnJldi54bWxEj0+LwjAUxO/CfofwhL1pqosiXaN0XQQF&#10;L/5hz4/m2RaTl9LE2vXTG0HwOMzMb5j5srNGtNT4yrGC0TABQZw7XXGh4HRcD2YgfEDWaByTgn/y&#10;sFx89OaYanfjPbWHUIgIYZ+igjKEOpXS5yVZ9ENXE0fv7BqLIcqmkLrBW4RbI8dJMpUWK44LJda0&#10;Kim/HK5WwWV73dmsO9JvnbV7c/ozP/fRWqnPfpd9gwjUhXf41d5oBZMveH6JP0A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eWGiMMAAADbAAAADwAAAAAAAAAAAAAAAACf&#10;AgAAZHJzL2Rvd25yZXYueG1sUEsFBgAAAAAEAAQA9wAAAI8DAAAAAA==&#10;">
                    <v:imagedata r:id="rId25" o:title=""/>
                    <v:path arrowok="t"/>
                  </v:shape>
                  <v:shape id="Picture 11" o:spid="_x0000_s1038" type="#_x0000_t75" style="position:absolute;left:318;top:26769;width:30213;height:208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F2PPDAAAA2wAAAA8AAABkcnMvZG93bnJldi54bWxEj0FrAjEUhO9C/0N4BW+ataiU1SiiVDwI&#10;RSvF43Pz3F3cvKxJXNd/3whCj8PMfMNM562pREPOl5YVDPoJCOLM6pJzBYefr94nCB+QNVaWScGD&#10;PMxnb50pptreeUfNPuQiQtinqKAIoU6l9FlBBn3f1sTRO1tnMETpcqkd3iPcVPIjScbSYMlxocCa&#10;lgVll/3NKFhc3frkDr98ptXpW1fX7VE3Xqnue7uYgAjUhv/wq73RCkZDeH6JP0DO/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wXY88MAAADbAAAADwAAAAAAAAAAAAAAAACf&#10;AgAAZHJzL2Rvd25yZXYueG1sUEsFBgAAAAAEAAQA9wAAAI8DAAAAAA==&#10;">
                    <v:imagedata r:id="rId26" o:title=""/>
                    <v:path arrowok="t"/>
                  </v:shape>
                  <v:shape id="Text Box 5" o:spid="_x0000_s1039" type="#_x0000_t202" style="position:absolute;top:-532;width:31493;height:5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7j4cIA&#10;AADbAAAADwAAAGRycy9kb3ducmV2LnhtbESPzWrDMBCE74W8g9hAbrWckpTiRAklUMgpkJ/6vFgb&#10;y9RaGUmxnTx9VCj0OMzMN8x6O9pW9ORD41jBPMtBEFdON1wruJy/Xj9AhIissXVMCu4UYLuZvKyx&#10;0G7gI/WnWIsE4VCgAhNjV0gZKkMWQ+Y64uRdnbcYk/S11B6HBLetfMvzd2mx4bRgsKOdoerndLMK&#10;yto+yu9554227YIPj/v54hqlZtPxcwUi0hj/w3/tvVawXMLvl/QD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nuPhwgAAANsAAAAPAAAAAAAAAAAAAAAAAJgCAABkcnMvZG93&#10;bnJldi54bWxQSwUGAAAAAAQABAD1AAAAhwMAAAAA&#10;" stroked="f" strokeweight=".5pt">
                    <v:textbox>
                      <w:txbxContent>
                        <w:p w:rsidR="00FB4561" w:rsidRPr="00B73D7E" w:rsidRDefault="00FB4561" w:rsidP="00B73D7E">
                          <w:pPr>
                            <w:pStyle w:val="FiguresTablesCaption"/>
                            <w:spacing w:before="0" w:after="0"/>
                            <w:rPr>
                              <w:b w:val="0"/>
                              <w:i w:val="0"/>
                              <w:iCs w:val="0"/>
                            </w:rPr>
                          </w:pPr>
                          <w:bookmarkStart w:id="53" w:name="_Toc501488084"/>
                          <w:bookmarkStart w:id="54" w:name="_Toc499887400"/>
                          <w:bookmarkStart w:id="55" w:name="_Toc499887655"/>
                          <w:bookmarkStart w:id="56" w:name="_Toc505972282"/>
                          <w:bookmarkStart w:id="57" w:name="_Toc506143755"/>
                          <w:bookmarkStart w:id="58" w:name="_Toc529286478"/>
                          <w:bookmarkStart w:id="59" w:name="_Toc529286553"/>
                          <w:r w:rsidRPr="00F8728A">
                            <w:t>Фигура</w:t>
                          </w:r>
                          <w:r w:rsidRPr="00B73D7E">
                            <w:t xml:space="preserve"> </w:t>
                          </w:r>
                          <w:r w:rsidRPr="00F8728A">
                            <w:fldChar w:fldCharType="begin"/>
                          </w:r>
                          <w:r w:rsidRPr="00F8728A">
                            <w:instrText xml:space="preserve"> SEQ Figure \* ARABIC </w:instrText>
                          </w:r>
                          <w:r w:rsidRPr="00F8728A">
                            <w:fldChar w:fldCharType="separate"/>
                          </w:r>
                          <w:r w:rsidRPr="00B73D7E">
                            <w:t>3</w:t>
                          </w:r>
                          <w:r w:rsidRPr="00F8728A">
                            <w:fldChar w:fldCharType="end"/>
                          </w:r>
                          <w:r w:rsidRPr="00B73D7E">
                            <w:t>. Средна годишна сума на валежите за периода 1961–1990 г. (А); Очаквана сума към 2080 г., съгласно песимистичния сценарий (Б)</w:t>
                          </w:r>
                          <w:bookmarkEnd w:id="53"/>
                          <w:bookmarkEnd w:id="54"/>
                          <w:bookmarkEnd w:id="55"/>
                          <w:bookmarkEnd w:id="56"/>
                          <w:bookmarkEnd w:id="57"/>
                          <w:bookmarkEnd w:id="58"/>
                          <w:bookmarkEnd w:id="59"/>
                        </w:p>
                      </w:txbxContent>
                    </v:textbox>
                  </v:shape>
                </v:group>
                <v:shape id="Text Box 240" o:spid="_x0000_s1040" type="#_x0000_t202" style="position:absolute;left:23774;top:43970;width:5804;height:3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ieoMYA&#10;AADbAAAADwAAAGRycy9kb3ducmV2LnhtbESPQWvCQBSE74L/YXlCb7oxEJHUTZCAtJT2oPXS2zP7&#10;TIK7b2N2q2l/fbdQ6HGYmW+YTTlaI240+M6xguUiAUFcO91xo+D4vpuvQfiArNE4JgVf5KEsppMN&#10;5trdeU+3Q2hEhLDPUUEbQp9L6euWLPqF64mjd3aDxRDl0Eg94D3CrZFpkqykxY7jQos9VS3Vl8On&#10;VfBS7d5wf0rt+ttUT6/nbX89fmRKPczG7SOIQGP4D/+1n7WCbAW/X+IP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tieoMYAAADbAAAADwAAAAAAAAAAAAAAAACYAgAAZHJz&#10;L2Rvd25yZXYueG1sUEsFBgAAAAAEAAQA9QAAAIsDAAAAAA==&#10;" filled="f" stroked="f" strokeweight=".5pt">
                  <v:textbox>
                    <w:txbxContent>
                      <w:p w:rsidR="00FB4561" w:rsidRPr="007E6A80" w:rsidRDefault="00FB4561" w:rsidP="00EB06C0">
                        <w:pPr>
                          <w:jc w:val="center"/>
                          <w:rPr>
                            <w:b/>
                            <w:bCs/>
                            <w:sz w:val="36"/>
                            <w:szCs w:val="36"/>
                          </w:rPr>
                        </w:pPr>
                        <w:r>
                          <w:rPr>
                            <w:b/>
                            <w:bCs/>
                            <w:sz w:val="36"/>
                            <w:szCs w:val="36"/>
                          </w:rPr>
                          <w:t>Б</w:t>
                        </w:r>
                      </w:p>
                    </w:txbxContent>
                  </v:textbox>
                </v:shape>
                <v:shape id="Text Box 241" o:spid="_x0000_s1041" type="#_x0000_t202" style="position:absolute;left:23774;top:23323;width:5804;height:3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Q7O8UA&#10;AADbAAAADwAAAGRycy9kb3ducmV2LnhtbESPT4vCMBTE74LfITxhb5oqqKUaRQrisujBP5e9vW2e&#10;bbF5qU3U7n76jSB4HGbmN8x82ZpK3KlxpWUFw0EEgjizuuRcwem47scgnEfWWFkmBb/kYLnoduaY&#10;aPvgPd0PPhcBwi5BBYX3dSKlywoy6Aa2Jg7e2TYGfZBNLnWDjwA3lRxF0UQaLDksFFhTWlB2OdyM&#10;gq90vcP9z8jEf1W62Z5X9fX0PVbqo9euZiA8tf4dfrU/tYLxFJ5fw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lDs7xQAAANsAAAAPAAAAAAAAAAAAAAAAAJgCAABkcnMv&#10;ZG93bnJldi54bWxQSwUGAAAAAAQABAD1AAAAigMAAAAA&#10;" filled="f" stroked="f" strokeweight=".5pt">
                  <v:textbox>
                    <w:txbxContent>
                      <w:p w:rsidR="00FB4561" w:rsidRPr="007E6A80" w:rsidRDefault="00FB4561" w:rsidP="00EB06C0">
                        <w:pPr>
                          <w:jc w:val="center"/>
                          <w:rPr>
                            <w:b/>
                            <w:bCs/>
                            <w:sz w:val="36"/>
                            <w:szCs w:val="36"/>
                          </w:rPr>
                        </w:pPr>
                        <w:r w:rsidRPr="007E6A80">
                          <w:rPr>
                            <w:b/>
                            <w:bCs/>
                            <w:sz w:val="36"/>
                            <w:szCs w:val="36"/>
                          </w:rPr>
                          <w:t>A</w:t>
                        </w:r>
                      </w:p>
                    </w:txbxContent>
                  </v:textbox>
                </v:shape>
                <w10:wrap type="square"/>
              </v:group>
            </w:pict>
          </mc:Fallback>
        </mc:AlternateContent>
      </w:r>
      <w:r w:rsidR="00AA4661" w:rsidRPr="00B73D7E">
        <w:rPr>
          <w:lang w:val="bg-BG"/>
        </w:rPr>
        <w:t>По отношение на очакваните промени в режима на валежите е вероятно количеството на валежите да се намали, което да доведе до значително намаляване на общите водни запаси в страната. В това отношение прогнозите показват намаляване на валежите с приблизително 10% към 2020 г., 15% към 2050 г. и до 30–40% към 2080 г. В повечето сценарии за изменението на климата валежите през зимните месеци вероятно ще се увеличат до края на века, но се очаква значителното намаляване на валежите през летните месеци да компенсира това увеличение.</w:t>
      </w:r>
    </w:p>
    <w:p w:rsidR="00AA4661" w:rsidRPr="00B73D7E" w:rsidRDefault="00084198" w:rsidP="00CF297A">
      <w:pPr>
        <w:pStyle w:val="BodyText"/>
        <w:numPr>
          <w:ilvl w:val="0"/>
          <w:numId w:val="41"/>
        </w:numPr>
        <w:ind w:left="0" w:firstLine="0"/>
        <w:rPr>
          <w:lang w:val="bg-BG"/>
        </w:rPr>
      </w:pPr>
      <w:r w:rsidRPr="00B73D7E">
        <w:rPr>
          <w:noProof/>
          <w:lang w:val="en-US" w:eastAsia="en-US"/>
        </w:rPr>
        <mc:AlternateContent>
          <mc:Choice Requires="wps">
            <w:drawing>
              <wp:anchor distT="0" distB="0" distL="114300" distR="114300" simplePos="0" relativeHeight="251662848" behindDoc="0" locked="0" layoutInCell="1" allowOverlap="1" wp14:anchorId="4ADE6078" wp14:editId="5027B1D6">
                <wp:simplePos x="0" y="0"/>
                <wp:positionH relativeFrom="column">
                  <wp:posOffset>3435985</wp:posOffset>
                </wp:positionH>
                <wp:positionV relativeFrom="paragraph">
                  <wp:posOffset>1404782</wp:posOffset>
                </wp:positionV>
                <wp:extent cx="1482090" cy="272415"/>
                <wp:effectExtent l="0" t="0" r="0" b="0"/>
                <wp:wrapNone/>
                <wp:docPr id="50"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2090" cy="272415"/>
                        </a:xfrm>
                        <a:prstGeom prst="rect">
                          <a:avLst/>
                        </a:prstGeom>
                        <a:noFill/>
                        <a:ln w="25400" cap="flat" cmpd="sng" algn="ctr">
                          <a:noFill/>
                          <a:prstDash val="solid"/>
                        </a:ln>
                        <a:effectLst/>
                      </wps:spPr>
                      <wps:txbx>
                        <w:txbxContent>
                          <w:p w:rsidR="00FB4561" w:rsidRPr="00A831A0" w:rsidRDefault="00FB4561" w:rsidP="00EB06C0">
                            <w:pPr>
                              <w:jc w:val="center"/>
                              <w:rPr>
                                <w:rFonts w:ascii="Calibri" w:hAnsi="Calibri" w:cs="Calibri"/>
                                <w:i/>
                                <w:iCs/>
                                <w:color w:val="000000"/>
                                <w:szCs w:val="20"/>
                                <w:lang w:val="en-GB"/>
                              </w:rPr>
                            </w:pPr>
                            <w:r w:rsidRPr="00A831A0">
                              <w:rPr>
                                <w:rFonts w:ascii="Calibri" w:hAnsi="Calibri" w:cs="Calibri"/>
                                <w:i/>
                                <w:iCs/>
                                <w:color w:val="000000"/>
                                <w:szCs w:val="20"/>
                              </w:rPr>
                              <w:t>Източник:</w:t>
                            </w:r>
                            <w:r w:rsidRPr="00A831A0">
                              <w:rPr>
                                <w:rFonts w:ascii="Calibri" w:hAnsi="Calibri" w:cs="Calibri"/>
                                <w:i/>
                                <w:iCs/>
                                <w:color w:val="000000"/>
                                <w:szCs w:val="20"/>
                                <w:lang w:val="en-GB"/>
                              </w:rPr>
                              <w:t xml:space="preserve"> </w:t>
                            </w:r>
                            <w:r w:rsidRPr="00A831A0">
                              <w:rPr>
                                <w:rFonts w:ascii="Calibri" w:hAnsi="Calibri" w:cs="Calibri"/>
                                <w:i/>
                                <w:iCs/>
                                <w:color w:val="000000"/>
                                <w:szCs w:val="20"/>
                              </w:rPr>
                              <w:t>НИМХ</w:t>
                            </w:r>
                            <w:r>
                              <w:rPr>
                                <w:rFonts w:ascii="Calibri" w:hAnsi="Calibri" w:cs="Calibri"/>
                                <w:i/>
                                <w:iCs/>
                                <w:color w:val="000000"/>
                                <w:szCs w:val="20"/>
                              </w:rPr>
                              <w:t>-БАН</w:t>
                            </w:r>
                            <w:r w:rsidRPr="00A831A0">
                              <w:rPr>
                                <w:rFonts w:ascii="Calibri" w:hAnsi="Calibri" w:cs="Calibri"/>
                                <w:i/>
                                <w:iCs/>
                                <w:color w:val="000000"/>
                                <w:szCs w:val="20"/>
                                <w:lang w:val="en-GB"/>
                              </w:rPr>
                              <w:t>.</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_x0000_s1042" style="position:absolute;left:0;text-align:left;margin-left:270.55pt;margin-top:110.6pt;width:116.7pt;height:21.4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" filled="f" stroked="f" strokeweight="2pt">
                <v:path arrowok="t"/>
                <v:textbox inset="2mm,0,2mm,0">
                  <w:txbxContent>
                    <w:p w:rsidR="00FB4561" w:rsidRPr="00A831A0" w:rsidRDefault="00FB4561" w:rsidP="00EB06C0">
                      <w:pPr>
                        <w:jc w:val="center"/>
                        <w:rPr>
                          <w:rFonts w:ascii="Calibri" w:hAnsi="Calibri" w:cs="Calibri"/>
                          <w:i/>
                          <w:iCs/>
                          <w:color w:val="000000"/>
                          <w:szCs w:val="20"/>
                          <w:lang w:val="en-GB"/>
                        </w:rPr>
                      </w:pPr>
                      <w:r w:rsidRPr="00A831A0">
                        <w:rPr>
                          <w:rFonts w:ascii="Calibri" w:hAnsi="Calibri" w:cs="Calibri"/>
                          <w:i/>
                          <w:iCs/>
                          <w:color w:val="000000"/>
                          <w:szCs w:val="20"/>
                        </w:rPr>
                        <w:t>Източник:</w:t>
                      </w:r>
                      <w:r w:rsidRPr="00A831A0">
                        <w:rPr>
                          <w:rFonts w:ascii="Calibri" w:hAnsi="Calibri" w:cs="Calibri"/>
                          <w:i/>
                          <w:iCs/>
                          <w:color w:val="000000"/>
                          <w:szCs w:val="20"/>
                          <w:lang w:val="en-GB"/>
                        </w:rPr>
                        <w:t xml:space="preserve"> </w:t>
                      </w:r>
                      <w:r w:rsidRPr="00A831A0">
                        <w:rPr>
                          <w:rFonts w:ascii="Calibri" w:hAnsi="Calibri" w:cs="Calibri"/>
                          <w:i/>
                          <w:iCs/>
                          <w:color w:val="000000"/>
                          <w:szCs w:val="20"/>
                        </w:rPr>
                        <w:t>НИМХ</w:t>
                      </w:r>
                      <w:r>
                        <w:rPr>
                          <w:rFonts w:ascii="Calibri" w:hAnsi="Calibri" w:cs="Calibri"/>
                          <w:i/>
                          <w:iCs/>
                          <w:color w:val="000000"/>
                          <w:szCs w:val="20"/>
                        </w:rPr>
                        <w:t>-БАН</w:t>
                      </w:r>
                      <w:r w:rsidRPr="00A831A0">
                        <w:rPr>
                          <w:rFonts w:ascii="Calibri" w:hAnsi="Calibri" w:cs="Calibri"/>
                          <w:i/>
                          <w:iCs/>
                          <w:color w:val="000000"/>
                          <w:szCs w:val="20"/>
                          <w:lang w:val="en-GB"/>
                        </w:rPr>
                        <w:t>.</w:t>
                      </w:r>
                    </w:p>
                  </w:txbxContent>
                </v:textbox>
              </v:rect>
            </w:pict>
          </mc:Fallback>
        </mc:AlternateContent>
      </w:r>
      <w:r w:rsidR="00AA4661" w:rsidRPr="00B73D7E">
        <w:rPr>
          <w:lang w:val="bg-BG"/>
        </w:rPr>
        <w:t>Според наличните сценарии за изменение на климата за България се наблюдава тенденция към увеличаване на честотата на екстремни събития и бедствия, което се демонстрира с по-честите случаи на силни валежи, топли и студени вълни, наводнения и суши, ураганни ветрове, горски пожари и свлачища.</w:t>
      </w:r>
    </w:p>
    <w:p w:rsidR="00AA4661" w:rsidRPr="00B73D7E" w:rsidRDefault="00AA4661" w:rsidP="00CF297A">
      <w:pPr>
        <w:pStyle w:val="BodyText"/>
        <w:numPr>
          <w:ilvl w:val="0"/>
          <w:numId w:val="41"/>
        </w:numPr>
        <w:ind w:left="0" w:firstLine="0"/>
        <w:rPr>
          <w:lang w:val="bg-BG"/>
        </w:rPr>
      </w:pPr>
      <w:r w:rsidRPr="00B73D7E">
        <w:rPr>
          <w:lang w:val="bg-BG"/>
        </w:rPr>
        <w:t>Очаква се биоразнообразието, сухоземните и водните екосистеми, както и секторите на водните ресурси, селското стопанство и горското стопанство да бъдат засегнати от очакваните промени. Тези промени биха повлияли допълнително на обществото и на неговите граждани, както и на икономиката като цяло.</w:t>
      </w:r>
    </w:p>
    <w:p w:rsidR="00DD29F3" w:rsidRPr="00F8728A" w:rsidRDefault="00AA4661" w:rsidP="00B73D7E">
      <w:pPr>
        <w:pStyle w:val="BodyText"/>
        <w:numPr>
          <w:ilvl w:val="0"/>
          <w:numId w:val="41"/>
        </w:numPr>
        <w:ind w:left="0" w:firstLine="0"/>
      </w:pPr>
      <w:r w:rsidRPr="00B73D7E">
        <w:rPr>
          <w:lang w:val="bg-BG"/>
        </w:rPr>
        <w:t>Въздействията от изменението на климата не засягат всички хора и територии еднакво поради различните нива на експозиция, съществуващите уязвимости и адаптивните възможности за справяне Рискът е по-голям за сегментите на обществото и бизнеса, които са по-малко подготвени и по-уязвими.</w:t>
      </w:r>
    </w:p>
    <w:p w:rsidR="00AA4661" w:rsidRPr="00B73D7E" w:rsidRDefault="00AA4661" w:rsidP="00CF297A">
      <w:pPr>
        <w:pStyle w:val="BodyText"/>
        <w:numPr>
          <w:ilvl w:val="0"/>
          <w:numId w:val="41"/>
        </w:numPr>
        <w:ind w:left="0" w:firstLine="0"/>
        <w:rPr>
          <w:lang w:val="bg-BG"/>
        </w:rPr>
      </w:pPr>
      <w:r w:rsidRPr="00B73D7E">
        <w:rPr>
          <w:lang w:val="bg-BG"/>
        </w:rPr>
        <w:t xml:space="preserve">Целта на този доклад е да представи поглед върху рисковете, свързани с изменението на климата и уязвимостта на градската среда в България. Той описва </w:t>
      </w:r>
      <w:r w:rsidRPr="00B73D7E">
        <w:rPr>
          <w:lang w:val="bg-BG"/>
        </w:rPr>
        <w:lastRenderedPageBreak/>
        <w:t>правната и политическата рамка на сектора, във връзка с изменението на климата и представя възможности за адаптация към изменящите се климатични условия.</w:t>
      </w:r>
    </w:p>
    <w:p w:rsidR="00AA4661" w:rsidRPr="00B73D7E" w:rsidRDefault="00AA4661" w:rsidP="00CF297A">
      <w:pPr>
        <w:pStyle w:val="BodyText"/>
        <w:numPr>
          <w:ilvl w:val="0"/>
          <w:numId w:val="41"/>
        </w:numPr>
        <w:ind w:left="0" w:firstLine="0"/>
        <w:rPr>
          <w:lang w:val="bg-BG"/>
        </w:rPr>
      </w:pPr>
      <w:bookmarkStart w:id="43" w:name="_Toc501557651"/>
      <w:r w:rsidRPr="00B73D7E">
        <w:rPr>
          <w:b/>
          <w:lang w:val="bg-BG"/>
        </w:rPr>
        <w:t>Настоящият доклад има за цел да информира за уязвимостта на българския селскостопански сектор и за идентифицирането на подходящи варианти за адаптиране към изменението на климата</w:t>
      </w:r>
      <w:r w:rsidRPr="00B73D7E">
        <w:rPr>
          <w:lang w:val="bg-BG"/>
        </w:rPr>
        <w:t>. Докладът е част от набор от девет отраслови доклада за оценка, разглеждани в рамките на Програмата за подпомагане на адаптирането към климата за България, която ще формира основата за Националната стратегия и План за действие за адаптиране към изменението на климата. Докладът следва общата логика и структура, предложени за всички сектори, и е разделена на три части: i) част първа от доклада (Глава 1) се съсредоточава върху оценката на рисковете и уязвимостта на изменението на климата; ii) част втора включва анализ на празнотите в политическия, правния и институционалния контекст (Глава 2); и iii) част трета се фокусира върху идентифицирането и приоритизирането на опциите за адаптиране. Тази секторна оценка бе проведена през март - ноември 2017 г. като комбинация от количествен и преди всичко качествен анализ. Бяха организирани няколко работни срещи като част от текущия процес на консултации, като се събра богат опит от различни заинтересовани страни.</w:t>
      </w:r>
    </w:p>
    <w:p w:rsidR="00AA4661" w:rsidRPr="00B73D7E" w:rsidRDefault="00AA4661" w:rsidP="00CF297A">
      <w:pPr>
        <w:pStyle w:val="BodyText"/>
        <w:numPr>
          <w:ilvl w:val="0"/>
          <w:numId w:val="41"/>
        </w:numPr>
        <w:ind w:left="0" w:firstLine="0"/>
        <w:rPr>
          <w:lang w:val="bg-BG"/>
        </w:rPr>
      </w:pPr>
      <w:r w:rsidRPr="00B73D7E">
        <w:rPr>
          <w:b/>
          <w:lang w:val="bg-BG"/>
        </w:rPr>
        <w:t>Докладът използва термините и определенията за вариантите за риск, уязвимост и адаптиране, въведени от AR5 на WGII (IPCC, 2014 г.).</w:t>
      </w:r>
      <w:r w:rsidRPr="00B73D7E">
        <w:rPr>
          <w:lang w:val="bg-BG"/>
        </w:rPr>
        <w:t xml:space="preserve"> Рискът от свързани с климата въздействия произтича от взаимодействието на опасностите, свързани с климата, с уязвимостта и експозицията. Промените както в климатичната система (лявата страна на </w:t>
      </w:r>
      <w:r w:rsidRPr="00B73D7E">
        <w:rPr>
          <w:b/>
          <w:i/>
          <w:lang w:val="bg-BG"/>
        </w:rPr>
        <w:t>фигура 4</w:t>
      </w:r>
      <w:r w:rsidRPr="00B73D7E">
        <w:rPr>
          <w:lang w:val="bg-BG"/>
        </w:rPr>
        <w:t xml:space="preserve">), така и в социално-икономическите процеси, включително адаптиране и смекчаване (дясната страна на </w:t>
      </w:r>
      <w:r w:rsidRPr="00B73D7E">
        <w:rPr>
          <w:b/>
          <w:i/>
          <w:lang w:val="bg-BG"/>
        </w:rPr>
        <w:t>фигура 4</w:t>
      </w:r>
      <w:r w:rsidRPr="00B73D7E">
        <w:rPr>
          <w:lang w:val="bg-BG"/>
        </w:rPr>
        <w:t>), са двигатели на опасностите, експозицията и уязвимостта. Това разбиране разкрива значението на възможностите за адаптация. Когато бъдат правилно идентифицирани и приложени своевременно, уязвимостта, опасността и/или експозицията ще бъдат намалени, като по този начин рискът ще бъде смекчен.</w:t>
      </w:r>
    </w:p>
    <w:p w:rsidR="00AA4661" w:rsidRPr="00F8728A" w:rsidRDefault="00AA4661" w:rsidP="00B73D7E">
      <w:pPr>
        <w:pStyle w:val="FiguresTablesCaption"/>
        <w:spacing w:after="80"/>
      </w:pPr>
      <w:bookmarkStart w:id="44" w:name="_Toc501579180"/>
      <w:bookmarkStart w:id="45" w:name="_Toc506143756"/>
      <w:bookmarkStart w:id="46" w:name="_Toc529286479"/>
      <w:bookmarkStart w:id="47" w:name="_Toc529286554"/>
      <w:r w:rsidRPr="00F8728A">
        <w:t xml:space="preserve">Фигура </w:t>
      </w:r>
      <w:r w:rsidRPr="00F8728A">
        <w:fldChar w:fldCharType="begin"/>
      </w:r>
      <w:r w:rsidRPr="00F8728A">
        <w:instrText xml:space="preserve"> SEQ Figure \* ARABIC </w:instrText>
      </w:r>
      <w:r w:rsidRPr="00F8728A">
        <w:fldChar w:fldCharType="separate"/>
      </w:r>
      <w:r w:rsidRPr="00F8728A">
        <w:t>4</w:t>
      </w:r>
      <w:r w:rsidRPr="00F8728A">
        <w:fldChar w:fldCharType="end"/>
      </w:r>
      <w:r w:rsidRPr="00F8728A">
        <w:t>. Обща концепция за AR5 на WGII</w:t>
      </w:r>
      <w:bookmarkEnd w:id="44"/>
      <w:bookmarkEnd w:id="45"/>
      <w:bookmarkEnd w:id="46"/>
      <w:bookmarkEnd w:id="47"/>
    </w:p>
    <w:p w:rsidR="00AA4661" w:rsidRPr="00F8728A" w:rsidRDefault="00084198" w:rsidP="00F067C1">
      <w:pPr>
        <w:spacing w:after="60"/>
        <w:jc w:val="center"/>
        <w:rPr>
          <w:rFonts w:ascii="Calibri" w:hAnsi="Calibri"/>
          <w:b/>
          <w:i/>
          <w:iCs/>
          <w:color w:val="44546A"/>
          <w:sz w:val="22"/>
          <w:szCs w:val="18"/>
          <w:lang w:eastAsia="bg-BG"/>
        </w:rPr>
      </w:pPr>
      <w:r w:rsidRPr="00B73D7E">
        <w:rPr>
          <w:rFonts w:ascii="Calibri" w:hAnsi="Calibri"/>
          <w:b/>
          <w:i/>
          <w:noProof/>
          <w:color w:val="44546A"/>
          <w:sz w:val="22"/>
          <w:szCs w:val="18"/>
          <w:lang w:val="en-US"/>
        </w:rPr>
        <w:drawing>
          <wp:inline distT="0" distB="0" distL="0" distR="0" wp14:anchorId="1DDE3B35" wp14:editId="71921946">
            <wp:extent cx="4253547" cy="2519916"/>
            <wp:effectExtent l="19050" t="19050" r="13970" b="13970"/>
            <wp:docPr id="3" name="Picture 61" descr="fig 4 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ig 4 B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29722" cy="2565044"/>
                    </a:xfrm>
                    <a:prstGeom prst="rect">
                      <a:avLst/>
                    </a:prstGeom>
                    <a:noFill/>
                    <a:ln w="6350" cmpd="sng">
                      <a:solidFill>
                        <a:srgbClr val="5B9BD5"/>
                      </a:solidFill>
                      <a:miter lim="800000"/>
                      <a:headEnd/>
                      <a:tailEnd/>
                    </a:ln>
                    <a:effectLst/>
                  </pic:spPr>
                </pic:pic>
              </a:graphicData>
            </a:graphic>
          </wp:inline>
        </w:drawing>
      </w:r>
    </w:p>
    <w:p w:rsidR="00AA4661" w:rsidRPr="00F8728A" w:rsidRDefault="00AA4661" w:rsidP="00F067C1">
      <w:pPr>
        <w:spacing w:before="60" w:after="0" w:line="276" w:lineRule="auto"/>
        <w:jc w:val="center"/>
        <w:rPr>
          <w:rFonts w:ascii="Calibri" w:hAnsi="Calibri"/>
          <w:b/>
          <w:bCs/>
          <w:color w:val="365F91"/>
          <w:sz w:val="32"/>
          <w:szCs w:val="28"/>
        </w:rPr>
      </w:pPr>
      <w:r w:rsidRPr="00F8728A">
        <w:rPr>
          <w:rFonts w:ascii="Calibri" w:hAnsi="Calibri"/>
          <w:bCs/>
          <w:i/>
          <w:iCs/>
          <w:szCs w:val="20"/>
          <w:lang w:eastAsia="bg-BG"/>
        </w:rPr>
        <w:t>Източник: IPCC, 2014 г.</w:t>
      </w:r>
      <w:r w:rsidRPr="00F8728A">
        <w:rPr>
          <w:rFonts w:ascii="Calibri" w:hAnsi="Calibri"/>
          <w:b/>
          <w:bCs/>
          <w:color w:val="365F91"/>
          <w:sz w:val="32"/>
          <w:szCs w:val="28"/>
        </w:rPr>
        <w:br w:type="page"/>
      </w:r>
    </w:p>
    <w:p w:rsidR="00AA4661" w:rsidRPr="00B73D7E" w:rsidRDefault="00AA4661" w:rsidP="00F8728A">
      <w:pPr>
        <w:pStyle w:val="Heading1"/>
        <w:spacing w:before="0" w:after="120"/>
        <w:jc w:val="both"/>
        <w:rPr>
          <w:rFonts w:eastAsia="Times New Roman"/>
          <w:bCs w:val="0"/>
          <w:color w:val="2F5496"/>
          <w:sz w:val="32"/>
          <w:szCs w:val="32"/>
          <w:lang w:val="bg-BG" w:eastAsia="en-US"/>
        </w:rPr>
      </w:pPr>
      <w:bookmarkStart w:id="48" w:name="_Toc501454827"/>
      <w:bookmarkStart w:id="49" w:name="_Toc522030529"/>
      <w:bookmarkStart w:id="50" w:name="_Toc529285514"/>
      <w:bookmarkEnd w:id="22"/>
      <w:bookmarkEnd w:id="23"/>
      <w:bookmarkEnd w:id="24"/>
      <w:bookmarkEnd w:id="25"/>
      <w:bookmarkEnd w:id="43"/>
      <w:r w:rsidRPr="00B73D7E">
        <w:rPr>
          <w:rFonts w:eastAsia="Times New Roman"/>
          <w:bCs w:val="0"/>
          <w:color w:val="2F5496"/>
          <w:sz w:val="32"/>
          <w:szCs w:val="32"/>
          <w:lang w:val="bg-BG" w:eastAsia="en-US"/>
        </w:rPr>
        <w:lastRenderedPageBreak/>
        <w:t>Глава 1. Оценка и анализ на риска и уязвимостта на градската среда</w:t>
      </w:r>
      <w:bookmarkEnd w:id="7"/>
      <w:bookmarkEnd w:id="48"/>
      <w:bookmarkEnd w:id="49"/>
      <w:bookmarkEnd w:id="50"/>
    </w:p>
    <w:p w:rsidR="00AA4661" w:rsidRPr="00B73D7E" w:rsidRDefault="00AA4661" w:rsidP="00CF297A">
      <w:pPr>
        <w:pStyle w:val="BodyText"/>
        <w:numPr>
          <w:ilvl w:val="0"/>
          <w:numId w:val="41"/>
        </w:numPr>
        <w:ind w:left="0" w:firstLine="0"/>
        <w:rPr>
          <w:lang w:val="bg-BG"/>
        </w:rPr>
      </w:pPr>
      <w:r w:rsidRPr="00B73D7E">
        <w:rPr>
          <w:lang w:val="bg-BG"/>
        </w:rPr>
        <w:t>В настоящата глава са представени основните тенденции в развитието на градовете в България и въздействието на изменението на климата (ИК) върху градското население, активи и услуги. В анализа са описани екстремни метеорологични явления, настъпили в България, и въздействието им върху градската среда, хората, сградите и инфраструктурата, текущата ситуация и бъдещите тенденции. Целта е да се определят и оценят слабите места в градската среда, населението и институциите, както и капацитета на последните да постигат адаптиране към изменението на климата (АИК).</w:t>
      </w:r>
    </w:p>
    <w:p w:rsidR="00AA4661" w:rsidRPr="00B73D7E" w:rsidRDefault="00AA4661" w:rsidP="00676435">
      <w:pPr>
        <w:pStyle w:val="Heading2"/>
        <w:ind w:left="0" w:firstLine="0"/>
        <w:rPr>
          <w:rFonts w:eastAsia="MS Gothic"/>
          <w:lang w:val="bg-BG"/>
        </w:rPr>
      </w:pPr>
      <w:bookmarkStart w:id="51" w:name="_Toc486942151"/>
      <w:bookmarkStart w:id="52" w:name="_Toc501454828"/>
      <w:bookmarkStart w:id="53" w:name="_Toc522030530"/>
      <w:bookmarkStart w:id="54" w:name="_Toc529285515"/>
      <w:bookmarkStart w:id="55" w:name="_Toc478368423"/>
      <w:r w:rsidRPr="00B73D7E">
        <w:rPr>
          <w:lang w:val="bg-BG"/>
        </w:rPr>
        <w:t>Характеристики и тенденции на градската среда</w:t>
      </w:r>
      <w:bookmarkEnd w:id="51"/>
      <w:bookmarkEnd w:id="52"/>
      <w:bookmarkEnd w:id="53"/>
      <w:bookmarkEnd w:id="54"/>
    </w:p>
    <w:p w:rsidR="00AA4661" w:rsidRPr="00B73D7E" w:rsidRDefault="00AA4661" w:rsidP="00676435">
      <w:pPr>
        <w:pStyle w:val="Heading3"/>
        <w:ind w:left="0" w:firstLine="0"/>
        <w:rPr>
          <w:lang w:val="bg-BG"/>
        </w:rPr>
      </w:pPr>
      <w:bookmarkStart w:id="56" w:name="_Toc486942152"/>
      <w:bookmarkStart w:id="57" w:name="_Toc501454829"/>
      <w:bookmarkStart w:id="58" w:name="_Toc522030531"/>
      <w:bookmarkStart w:id="59" w:name="_Toc529285516"/>
      <w:bookmarkEnd w:id="55"/>
      <w:r w:rsidRPr="00B73D7E">
        <w:rPr>
          <w:lang w:val="bg-BG"/>
        </w:rPr>
        <w:t>Урбанизация и демографски тенденции</w:t>
      </w:r>
      <w:bookmarkEnd w:id="56"/>
      <w:bookmarkEnd w:id="57"/>
      <w:bookmarkEnd w:id="58"/>
      <w:bookmarkEnd w:id="59"/>
    </w:p>
    <w:p w:rsidR="00AA4661" w:rsidRPr="00B73D7E" w:rsidRDefault="00AA4661" w:rsidP="00491557">
      <w:pPr>
        <w:pStyle w:val="Heading4"/>
        <w:rPr>
          <w:lang w:val="bg-BG"/>
        </w:rPr>
      </w:pPr>
      <w:r w:rsidRPr="00B73D7E">
        <w:rPr>
          <w:lang w:val="bg-BG"/>
        </w:rPr>
        <w:t>Население</w:t>
      </w:r>
    </w:p>
    <w:p w:rsidR="00AA4661" w:rsidRPr="00B73D7E" w:rsidRDefault="00AA4661" w:rsidP="00CF297A">
      <w:pPr>
        <w:pStyle w:val="BodyText"/>
        <w:numPr>
          <w:ilvl w:val="0"/>
          <w:numId w:val="41"/>
        </w:numPr>
        <w:ind w:left="0" w:firstLine="0"/>
        <w:rPr>
          <w:lang w:val="bg-BG"/>
        </w:rPr>
      </w:pPr>
      <w:r w:rsidRPr="00B73D7E">
        <w:rPr>
          <w:lang w:val="bg-BG"/>
        </w:rPr>
        <w:t>Населението на градовете в България постепенно се увеличава до 80-те години на ХХ век. След това настъпва постепенен спад, първоначално в малките градове, а към края на века и във всички градове с изключение на 23 града, чието население нараства. Основните причини за това са застаряването, намаляването на раждаемостта и миграцията. В края на 2016 г. населението на България е 7</w:t>
      </w:r>
      <w:r w:rsidR="00381124">
        <w:rPr>
          <w:lang w:val="en-US"/>
        </w:rPr>
        <w:t xml:space="preserve"> </w:t>
      </w:r>
      <w:r w:rsidRPr="00B73D7E">
        <w:rPr>
          <w:lang w:val="bg-BG"/>
        </w:rPr>
        <w:t>101</w:t>
      </w:r>
      <w:r w:rsidR="00381124">
        <w:rPr>
          <w:lang w:val="en-US"/>
        </w:rPr>
        <w:t xml:space="preserve"> </w:t>
      </w:r>
      <w:r w:rsidRPr="00B73D7E">
        <w:rPr>
          <w:lang w:val="bg-BG"/>
        </w:rPr>
        <w:t>859, което се равнява на спад от 51</w:t>
      </w:r>
      <w:r w:rsidR="00381124">
        <w:rPr>
          <w:lang w:val="en-US"/>
        </w:rPr>
        <w:t xml:space="preserve"> </w:t>
      </w:r>
      <w:r w:rsidRPr="00B73D7E">
        <w:rPr>
          <w:lang w:val="bg-BG"/>
        </w:rPr>
        <w:t>925 (0,7 процента) в сравнение с 2015 г.</w:t>
      </w:r>
      <w:r w:rsidRPr="00B73D7E">
        <w:rPr>
          <w:rStyle w:val="FootnoteReference"/>
          <w:color w:val="000000"/>
          <w:lang w:val="bg-BG"/>
        </w:rPr>
        <w:footnoteReference w:id="2"/>
      </w:r>
      <w:r w:rsidRPr="00B73D7E">
        <w:rPr>
          <w:lang w:val="bg-BG"/>
        </w:rPr>
        <w:t>. През същия период населението в градовете в България е 5</w:t>
      </w:r>
      <w:r w:rsidR="00381124">
        <w:rPr>
          <w:lang w:val="en-US"/>
        </w:rPr>
        <w:t xml:space="preserve"> </w:t>
      </w:r>
      <w:r w:rsidRPr="00B73D7E">
        <w:rPr>
          <w:lang w:val="bg-BG"/>
        </w:rPr>
        <w:t>204</w:t>
      </w:r>
      <w:r w:rsidR="00381124">
        <w:rPr>
          <w:lang w:val="en-US"/>
        </w:rPr>
        <w:t xml:space="preserve"> </w:t>
      </w:r>
      <w:r w:rsidRPr="00B73D7E">
        <w:rPr>
          <w:lang w:val="bg-BG"/>
        </w:rPr>
        <w:t xml:space="preserve">385 или 73,2 процента от общото население. </w:t>
      </w:r>
    </w:p>
    <w:p w:rsidR="00AA4661" w:rsidRPr="00F8728A" w:rsidRDefault="00AA4661" w:rsidP="00B73D7E">
      <w:pPr>
        <w:pStyle w:val="FiguresTablesCaption"/>
      </w:pPr>
      <w:bookmarkStart w:id="60" w:name="_Toc506143757"/>
      <w:bookmarkStart w:id="61" w:name="_Toc529286480"/>
      <w:bookmarkStart w:id="62" w:name="_Toc529286555"/>
      <w:r w:rsidRPr="00F8728A">
        <w:t xml:space="preserve">Фигура </w:t>
      </w:r>
      <w:r w:rsidRPr="00F8728A">
        <w:fldChar w:fldCharType="begin"/>
      </w:r>
      <w:r w:rsidRPr="00F8728A">
        <w:instrText xml:space="preserve"> SEQ Figure \* ARABIC </w:instrText>
      </w:r>
      <w:r w:rsidRPr="00F8728A">
        <w:fldChar w:fldCharType="separate"/>
      </w:r>
      <w:r w:rsidRPr="00F8728A">
        <w:t>5</w:t>
      </w:r>
      <w:r w:rsidRPr="00F8728A">
        <w:fldChar w:fldCharType="end"/>
      </w:r>
      <w:r w:rsidRPr="00F8728A">
        <w:t>.  Общо население, градско население, застаряващо население</w:t>
      </w:r>
      <w:bookmarkEnd w:id="60"/>
      <w:bookmarkEnd w:id="61"/>
      <w:bookmarkEnd w:id="62"/>
    </w:p>
    <w:p w:rsidR="00AA4661" w:rsidRPr="00F8728A" w:rsidRDefault="00084198" w:rsidP="00F067C1">
      <w:pPr>
        <w:spacing w:after="0"/>
        <w:jc w:val="center"/>
        <w:rPr>
          <w:rFonts w:ascii="Calibri" w:hAnsi="Calibri"/>
          <w:i/>
          <w:szCs w:val="20"/>
        </w:rPr>
      </w:pPr>
      <w:r w:rsidRPr="00B73D7E">
        <w:rPr>
          <w:rFonts w:cs="Arial"/>
          <w:b/>
          <w:noProof/>
          <w:szCs w:val="20"/>
          <w:lang w:val="en-US"/>
        </w:rPr>
        <w:drawing>
          <wp:inline distT="0" distB="0" distL="0" distR="0" wp14:anchorId="68E5F712" wp14:editId="5944668C">
            <wp:extent cx="4653280" cy="2800985"/>
            <wp:effectExtent l="19050" t="19050" r="0" b="0"/>
            <wp:docPr id="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53280" cy="2800985"/>
                    </a:xfrm>
                    <a:prstGeom prst="rect">
                      <a:avLst/>
                    </a:prstGeom>
                    <a:noFill/>
                    <a:ln w="9525" cmpd="sng">
                      <a:solidFill>
                        <a:srgbClr val="5B9BD5"/>
                      </a:solidFill>
                      <a:miter lim="800000"/>
                      <a:headEnd/>
                      <a:tailEnd/>
                    </a:ln>
                    <a:effectLst/>
                  </pic:spPr>
                </pic:pic>
              </a:graphicData>
            </a:graphic>
          </wp:inline>
        </w:drawing>
      </w:r>
    </w:p>
    <w:p w:rsidR="00AA4661" w:rsidRPr="00F8728A" w:rsidRDefault="00AA4661" w:rsidP="00F067C1">
      <w:pPr>
        <w:spacing w:before="60" w:after="200"/>
        <w:jc w:val="center"/>
        <w:rPr>
          <w:rFonts w:ascii="Calibri" w:hAnsi="Calibri"/>
          <w:i/>
          <w:szCs w:val="20"/>
        </w:rPr>
      </w:pPr>
      <w:r w:rsidRPr="00F8728A">
        <w:rPr>
          <w:rFonts w:ascii="Calibri" w:hAnsi="Calibri"/>
          <w:i/>
          <w:szCs w:val="20"/>
        </w:rPr>
        <w:t>Източник: НСИ (данни, 2017 г.), обработка на данните и графика – НЦТР.</w:t>
      </w:r>
    </w:p>
    <w:p w:rsidR="00AA4661" w:rsidRPr="00B73D7E" w:rsidRDefault="00AA4661" w:rsidP="00CF297A">
      <w:pPr>
        <w:pStyle w:val="BodyText"/>
        <w:numPr>
          <w:ilvl w:val="0"/>
          <w:numId w:val="41"/>
        </w:numPr>
        <w:ind w:left="0" w:firstLine="0"/>
        <w:rPr>
          <w:lang w:val="bg-BG"/>
        </w:rPr>
      </w:pPr>
      <w:r w:rsidRPr="00B73D7E">
        <w:rPr>
          <w:lang w:val="bg-BG"/>
        </w:rPr>
        <w:t>Броят на хората на възраст над 65 години е 1</w:t>
      </w:r>
      <w:r w:rsidR="00381124">
        <w:rPr>
          <w:lang w:val="en-US"/>
        </w:rPr>
        <w:t xml:space="preserve"> </w:t>
      </w:r>
      <w:r w:rsidRPr="00B73D7E">
        <w:rPr>
          <w:lang w:val="bg-BG"/>
        </w:rPr>
        <w:t>472</w:t>
      </w:r>
      <w:r w:rsidR="00381124">
        <w:rPr>
          <w:lang w:val="en-US"/>
        </w:rPr>
        <w:t xml:space="preserve"> </w:t>
      </w:r>
      <w:r w:rsidRPr="00B73D7E">
        <w:rPr>
          <w:lang w:val="bg-BG"/>
        </w:rPr>
        <w:t>116, което се равнява на 20,7 процента от общото население, и представлява 3,8 процента увеличение в сравнение с 2001 г.</w:t>
      </w:r>
    </w:p>
    <w:p w:rsidR="00AA4661" w:rsidRPr="00F8728A" w:rsidRDefault="00AA4661" w:rsidP="00B73D7E">
      <w:pPr>
        <w:pStyle w:val="FiguresTablesCaption"/>
      </w:pPr>
      <w:bookmarkStart w:id="63" w:name="_Toc506143758"/>
      <w:bookmarkStart w:id="64" w:name="_Toc529286481"/>
      <w:bookmarkStart w:id="65" w:name="_Toc529286556"/>
      <w:r w:rsidRPr="00F8728A">
        <w:lastRenderedPageBreak/>
        <w:t xml:space="preserve">Фигура </w:t>
      </w:r>
      <w:r w:rsidRPr="00F8728A">
        <w:fldChar w:fldCharType="begin"/>
      </w:r>
      <w:r w:rsidRPr="00F8728A">
        <w:instrText xml:space="preserve"> SEQ Figure \* ARABIC </w:instrText>
      </w:r>
      <w:r w:rsidRPr="00F8728A">
        <w:fldChar w:fldCharType="separate"/>
      </w:r>
      <w:r w:rsidRPr="00F8728A">
        <w:t>6</w:t>
      </w:r>
      <w:r w:rsidRPr="00F8728A">
        <w:fldChar w:fldCharType="end"/>
      </w:r>
      <w:r w:rsidRPr="00F8728A">
        <w:t>. Относителен дял на градското население на възраст над 65 години</w:t>
      </w:r>
      <w:r w:rsidRPr="00F8728A">
        <w:br/>
        <w:t>(2011–2016 г.)</w:t>
      </w:r>
      <w:bookmarkEnd w:id="63"/>
      <w:bookmarkEnd w:id="64"/>
      <w:bookmarkEnd w:id="65"/>
    </w:p>
    <w:p w:rsidR="00AA4661" w:rsidRPr="00F8728A" w:rsidRDefault="00084198" w:rsidP="00123161">
      <w:pPr>
        <w:spacing w:after="60"/>
        <w:jc w:val="center"/>
        <w:rPr>
          <w:rFonts w:cs="Arial"/>
          <w:szCs w:val="20"/>
        </w:rPr>
      </w:pPr>
      <w:r w:rsidRPr="00B73D7E">
        <w:rPr>
          <w:rFonts w:cs="Arial"/>
          <w:noProof/>
          <w:szCs w:val="20"/>
          <w:lang w:val="en-US"/>
        </w:rPr>
        <w:drawing>
          <wp:inline distT="0" distB="0" distL="0" distR="0" wp14:anchorId="19872B09" wp14:editId="718AC777">
            <wp:extent cx="4294505" cy="2430780"/>
            <wp:effectExtent l="19050" t="19050" r="0" b="7620"/>
            <wp:docPr id="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94505" cy="2430780"/>
                    </a:xfrm>
                    <a:prstGeom prst="rect">
                      <a:avLst/>
                    </a:prstGeom>
                    <a:noFill/>
                    <a:ln w="9525" cmpd="sng">
                      <a:solidFill>
                        <a:srgbClr val="5B9BD5"/>
                      </a:solidFill>
                      <a:miter lim="800000"/>
                      <a:headEnd/>
                      <a:tailEnd/>
                    </a:ln>
                    <a:effectLst/>
                  </pic:spPr>
                </pic:pic>
              </a:graphicData>
            </a:graphic>
          </wp:inline>
        </w:drawing>
      </w:r>
    </w:p>
    <w:p w:rsidR="00AA4661" w:rsidRPr="00F8728A" w:rsidRDefault="00AA4661" w:rsidP="00B73D7E">
      <w:pPr>
        <w:spacing w:before="60" w:after="200"/>
        <w:jc w:val="center"/>
        <w:rPr>
          <w:rFonts w:ascii="Calibri" w:hAnsi="Calibri"/>
          <w:i/>
          <w:szCs w:val="20"/>
        </w:rPr>
      </w:pPr>
      <w:r w:rsidRPr="00F8728A">
        <w:rPr>
          <w:rFonts w:ascii="Calibri" w:hAnsi="Calibri"/>
          <w:i/>
          <w:szCs w:val="20"/>
        </w:rPr>
        <w:t>Източник: НСИ (данни, 2017 г.), обработка на данните и графика – НЦТР.</w:t>
      </w:r>
    </w:p>
    <w:p w:rsidR="00AA4661" w:rsidRPr="00B73D7E" w:rsidRDefault="00AA4661" w:rsidP="00CF297A">
      <w:pPr>
        <w:pStyle w:val="BodyText"/>
        <w:numPr>
          <w:ilvl w:val="0"/>
          <w:numId w:val="41"/>
        </w:numPr>
        <w:ind w:left="0" w:firstLine="0"/>
        <w:rPr>
          <w:lang w:val="bg-BG"/>
        </w:rPr>
      </w:pPr>
      <w:r w:rsidRPr="00B73D7E">
        <w:rPr>
          <w:lang w:val="bg-BG"/>
        </w:rPr>
        <w:t>В страната има 5</w:t>
      </w:r>
      <w:r w:rsidR="00381124">
        <w:rPr>
          <w:lang w:val="en-US"/>
        </w:rPr>
        <w:t xml:space="preserve"> </w:t>
      </w:r>
      <w:r w:rsidRPr="00B73D7E">
        <w:rPr>
          <w:lang w:val="bg-BG"/>
        </w:rPr>
        <w:t>256 населени места, включително 257 градове. За целите на пространственото планиране градовете са класифицирани в пет категории – много големи, големи, малки и много малки.</w:t>
      </w:r>
      <w:r w:rsidRPr="00B73D7E">
        <w:rPr>
          <w:rStyle w:val="FootnoteReference"/>
          <w:color w:val="000000"/>
          <w:lang w:val="bg-BG"/>
        </w:rPr>
        <w:footnoteReference w:id="3"/>
      </w:r>
      <w:r w:rsidRPr="00B73D7E">
        <w:rPr>
          <w:lang w:val="bg-BG"/>
        </w:rPr>
        <w:t xml:space="preserve"> За целите на настоящия доклад градовете са прегрупирани в три категории – големи, средни и малки. Последната категория съответства на официалното определение за селски райони.</w:t>
      </w:r>
      <w:r w:rsidRPr="00B73D7E">
        <w:rPr>
          <w:rStyle w:val="FootnoteReference"/>
          <w:lang w:val="bg-BG"/>
        </w:rPr>
        <w:footnoteReference w:id="4"/>
      </w:r>
    </w:p>
    <w:p w:rsidR="00AA4661" w:rsidRPr="00F8728A" w:rsidRDefault="00AA4661" w:rsidP="00B73D7E">
      <w:pPr>
        <w:pStyle w:val="FiguresTablesCaption"/>
      </w:pPr>
      <w:bookmarkStart w:id="66" w:name="_Toc529286628"/>
      <w:r w:rsidRPr="00F8728A">
        <w:t xml:space="preserve">Таблица </w:t>
      </w:r>
      <w:r w:rsidRPr="00F8728A">
        <w:fldChar w:fldCharType="begin"/>
      </w:r>
      <w:r w:rsidRPr="00F8728A">
        <w:instrText xml:space="preserve"> SEQ Table \* ARABIC </w:instrText>
      </w:r>
      <w:r w:rsidRPr="00F8728A">
        <w:fldChar w:fldCharType="separate"/>
      </w:r>
      <w:r w:rsidRPr="00F8728A">
        <w:t>1</w:t>
      </w:r>
      <w:r w:rsidRPr="00F8728A">
        <w:fldChar w:fldCharType="end"/>
      </w:r>
      <w:r w:rsidRPr="00F8728A">
        <w:t>. Размер на градовете според населението (2016 г.)</w:t>
      </w:r>
      <w:bookmarkEnd w:id="66"/>
    </w:p>
    <w:tbl>
      <w:tblPr>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2831"/>
        <w:gridCol w:w="1123"/>
        <w:gridCol w:w="1134"/>
        <w:gridCol w:w="1283"/>
        <w:gridCol w:w="1484"/>
      </w:tblGrid>
      <w:tr w:rsidR="00AA4661" w:rsidRPr="00F8728A" w:rsidTr="00123161">
        <w:trPr>
          <w:jc w:val="center"/>
        </w:trPr>
        <w:tc>
          <w:tcPr>
            <w:tcW w:w="2831" w:type="dxa"/>
            <w:vMerge w:val="restart"/>
            <w:shd w:val="clear" w:color="auto" w:fill="365F91"/>
            <w:vAlign w:val="center"/>
          </w:tcPr>
          <w:p w:rsidR="00AA4661" w:rsidRPr="00F8728A" w:rsidRDefault="00AA4661" w:rsidP="00EB06C0">
            <w:pPr>
              <w:spacing w:before="40" w:after="40"/>
              <w:jc w:val="center"/>
              <w:rPr>
                <w:rFonts w:ascii="Calibri" w:hAnsi="Calibri" w:cs="Calibri"/>
                <w:b/>
                <w:color w:val="FFFFFF"/>
                <w:sz w:val="22"/>
              </w:rPr>
            </w:pPr>
            <w:r w:rsidRPr="00F8728A">
              <w:rPr>
                <w:rFonts w:ascii="Calibri" w:hAnsi="Calibri" w:cs="Calibri"/>
                <w:b/>
                <w:color w:val="FFFFFF"/>
                <w:sz w:val="22"/>
              </w:rPr>
              <w:t>Групи градове по население</w:t>
            </w:r>
          </w:p>
        </w:tc>
        <w:tc>
          <w:tcPr>
            <w:tcW w:w="2257" w:type="dxa"/>
            <w:gridSpan w:val="2"/>
            <w:shd w:val="clear" w:color="auto" w:fill="365F91"/>
            <w:vAlign w:val="center"/>
          </w:tcPr>
          <w:p w:rsidR="00AA4661" w:rsidRPr="00F8728A" w:rsidRDefault="00AA4661" w:rsidP="00EB06C0">
            <w:pPr>
              <w:spacing w:before="40" w:after="40"/>
              <w:jc w:val="center"/>
              <w:rPr>
                <w:rFonts w:ascii="Calibri" w:hAnsi="Calibri" w:cs="Calibri"/>
                <w:b/>
                <w:color w:val="FFFFFF"/>
                <w:sz w:val="22"/>
              </w:rPr>
            </w:pPr>
            <w:r w:rsidRPr="00F8728A">
              <w:rPr>
                <w:rFonts w:ascii="Calibri" w:hAnsi="Calibri" w:cs="Calibri"/>
                <w:b/>
                <w:color w:val="FFFFFF"/>
                <w:sz w:val="22"/>
              </w:rPr>
              <w:t>Градове</w:t>
            </w:r>
          </w:p>
        </w:tc>
        <w:tc>
          <w:tcPr>
            <w:tcW w:w="2767" w:type="dxa"/>
            <w:gridSpan w:val="2"/>
            <w:shd w:val="clear" w:color="auto" w:fill="365F91"/>
            <w:vAlign w:val="center"/>
          </w:tcPr>
          <w:p w:rsidR="00AA4661" w:rsidRPr="00F8728A" w:rsidRDefault="00AA4661" w:rsidP="00EB06C0">
            <w:pPr>
              <w:spacing w:before="40" w:after="40"/>
              <w:jc w:val="center"/>
              <w:rPr>
                <w:rFonts w:ascii="Calibri" w:hAnsi="Calibri" w:cs="Calibri"/>
                <w:b/>
                <w:color w:val="FFFFFF"/>
                <w:sz w:val="22"/>
              </w:rPr>
            </w:pPr>
            <w:r w:rsidRPr="00F8728A">
              <w:rPr>
                <w:rFonts w:ascii="Calibri" w:hAnsi="Calibri" w:cs="Calibri"/>
                <w:b/>
                <w:color w:val="FFFFFF"/>
                <w:sz w:val="22"/>
              </w:rPr>
              <w:t>Население</w:t>
            </w:r>
          </w:p>
        </w:tc>
      </w:tr>
      <w:tr w:rsidR="00AA4661" w:rsidRPr="00F8728A" w:rsidTr="005E006B">
        <w:trPr>
          <w:jc w:val="center"/>
        </w:trPr>
        <w:tc>
          <w:tcPr>
            <w:tcW w:w="2831" w:type="dxa"/>
            <w:vMerge/>
            <w:shd w:val="clear" w:color="auto" w:fill="365F91"/>
            <w:vAlign w:val="center"/>
          </w:tcPr>
          <w:p w:rsidR="00AA4661" w:rsidRPr="00F8728A" w:rsidRDefault="00AA4661" w:rsidP="00676435">
            <w:pPr>
              <w:spacing w:before="40" w:after="40"/>
              <w:jc w:val="both"/>
              <w:rPr>
                <w:rFonts w:ascii="Calibri" w:hAnsi="Calibri" w:cs="Calibri"/>
                <w:b/>
                <w:color w:val="FFFFFF"/>
                <w:sz w:val="22"/>
              </w:rPr>
            </w:pPr>
          </w:p>
        </w:tc>
        <w:tc>
          <w:tcPr>
            <w:tcW w:w="1123" w:type="dxa"/>
            <w:shd w:val="clear" w:color="auto" w:fill="D9D9D9"/>
            <w:vAlign w:val="center"/>
          </w:tcPr>
          <w:p w:rsidR="00AA4661" w:rsidRPr="00F8728A" w:rsidRDefault="00AA4661" w:rsidP="00EB06C0">
            <w:pPr>
              <w:spacing w:before="40" w:after="40"/>
              <w:jc w:val="center"/>
              <w:rPr>
                <w:rFonts w:ascii="Calibri" w:hAnsi="Calibri" w:cs="Calibri"/>
                <w:b/>
                <w:sz w:val="22"/>
              </w:rPr>
            </w:pPr>
            <w:r w:rsidRPr="00F8728A">
              <w:rPr>
                <w:rFonts w:ascii="Calibri" w:hAnsi="Calibri" w:cs="Calibri"/>
                <w:b/>
                <w:sz w:val="22"/>
              </w:rPr>
              <w:t>брой</w:t>
            </w:r>
          </w:p>
        </w:tc>
        <w:tc>
          <w:tcPr>
            <w:tcW w:w="1134" w:type="dxa"/>
            <w:shd w:val="clear" w:color="auto" w:fill="D9D9D9"/>
            <w:vAlign w:val="center"/>
          </w:tcPr>
          <w:p w:rsidR="00AA4661" w:rsidRPr="00F8728A" w:rsidRDefault="00AA4661" w:rsidP="00EB06C0">
            <w:pPr>
              <w:spacing w:before="40" w:after="40"/>
              <w:jc w:val="center"/>
              <w:rPr>
                <w:rFonts w:ascii="Calibri" w:hAnsi="Calibri" w:cs="Calibri"/>
                <w:b/>
                <w:sz w:val="22"/>
              </w:rPr>
            </w:pPr>
            <w:r w:rsidRPr="00F8728A">
              <w:rPr>
                <w:rFonts w:ascii="Calibri" w:hAnsi="Calibri" w:cs="Calibri"/>
                <w:b/>
                <w:sz w:val="22"/>
              </w:rPr>
              <w:t>процента</w:t>
            </w:r>
          </w:p>
        </w:tc>
        <w:tc>
          <w:tcPr>
            <w:tcW w:w="1283" w:type="dxa"/>
            <w:shd w:val="clear" w:color="auto" w:fill="D9D9D9"/>
            <w:vAlign w:val="center"/>
          </w:tcPr>
          <w:p w:rsidR="00AA4661" w:rsidRPr="00F8728A" w:rsidRDefault="00AA4661" w:rsidP="00EB06C0">
            <w:pPr>
              <w:spacing w:before="40" w:after="40"/>
              <w:jc w:val="center"/>
              <w:rPr>
                <w:rFonts w:ascii="Calibri" w:hAnsi="Calibri" w:cs="Calibri"/>
                <w:b/>
                <w:sz w:val="22"/>
              </w:rPr>
            </w:pPr>
            <w:r w:rsidRPr="00F8728A">
              <w:rPr>
                <w:rFonts w:ascii="Calibri" w:hAnsi="Calibri" w:cs="Calibri"/>
                <w:b/>
                <w:sz w:val="22"/>
              </w:rPr>
              <w:t>жители</w:t>
            </w:r>
          </w:p>
        </w:tc>
        <w:tc>
          <w:tcPr>
            <w:tcW w:w="1484" w:type="dxa"/>
            <w:shd w:val="clear" w:color="auto" w:fill="D9D9D9"/>
            <w:vAlign w:val="center"/>
          </w:tcPr>
          <w:p w:rsidR="00AA4661" w:rsidRPr="00F8728A" w:rsidRDefault="00AA4661" w:rsidP="00EB06C0">
            <w:pPr>
              <w:spacing w:before="40" w:after="40"/>
              <w:jc w:val="center"/>
              <w:rPr>
                <w:rFonts w:ascii="Calibri" w:hAnsi="Calibri" w:cs="Calibri"/>
                <w:b/>
                <w:sz w:val="22"/>
              </w:rPr>
            </w:pPr>
            <w:r w:rsidRPr="00F8728A">
              <w:rPr>
                <w:rFonts w:ascii="Calibri" w:hAnsi="Calibri" w:cs="Calibri"/>
                <w:b/>
                <w:sz w:val="22"/>
              </w:rPr>
              <w:t>процента</w:t>
            </w:r>
          </w:p>
        </w:tc>
      </w:tr>
      <w:tr w:rsidR="00AA4661" w:rsidRPr="00F8728A" w:rsidTr="005E006B">
        <w:trPr>
          <w:jc w:val="center"/>
        </w:trPr>
        <w:tc>
          <w:tcPr>
            <w:tcW w:w="2831" w:type="dxa"/>
            <w:shd w:val="clear" w:color="auto" w:fill="B8CCE4"/>
            <w:vAlign w:val="center"/>
          </w:tcPr>
          <w:p w:rsidR="00AA4661" w:rsidRPr="00F8728A" w:rsidRDefault="00AA4661" w:rsidP="00676435">
            <w:pPr>
              <w:spacing w:before="40" w:after="40"/>
              <w:jc w:val="both"/>
              <w:rPr>
                <w:rFonts w:ascii="Calibri" w:hAnsi="Calibri" w:cs="Calibri"/>
                <w:b/>
                <w:sz w:val="22"/>
              </w:rPr>
            </w:pPr>
            <w:r w:rsidRPr="00F8728A">
              <w:rPr>
                <w:rFonts w:ascii="Calibri" w:hAnsi="Calibri" w:cs="Calibri"/>
                <w:b/>
                <w:sz w:val="22"/>
              </w:rPr>
              <w:t>Общо</w:t>
            </w:r>
          </w:p>
        </w:tc>
        <w:tc>
          <w:tcPr>
            <w:tcW w:w="1123" w:type="dxa"/>
            <w:vAlign w:val="center"/>
          </w:tcPr>
          <w:p w:rsidR="00AA4661" w:rsidRPr="00F8728A" w:rsidRDefault="00AA4661" w:rsidP="00E40B3E">
            <w:pPr>
              <w:spacing w:before="40" w:after="40"/>
              <w:jc w:val="center"/>
              <w:rPr>
                <w:rFonts w:ascii="Calibri" w:hAnsi="Calibri" w:cs="Calibri"/>
                <w:b/>
                <w:sz w:val="22"/>
              </w:rPr>
            </w:pPr>
            <w:r w:rsidRPr="00F8728A">
              <w:rPr>
                <w:rFonts w:ascii="Calibri" w:hAnsi="Calibri" w:cs="Calibri"/>
                <w:b/>
                <w:sz w:val="22"/>
              </w:rPr>
              <w:t>257</w:t>
            </w:r>
          </w:p>
        </w:tc>
        <w:tc>
          <w:tcPr>
            <w:tcW w:w="1134" w:type="dxa"/>
            <w:vAlign w:val="center"/>
          </w:tcPr>
          <w:p w:rsidR="00AA4661" w:rsidRPr="00F8728A" w:rsidRDefault="00AA4661" w:rsidP="00E40B3E">
            <w:pPr>
              <w:spacing w:before="40" w:after="40"/>
              <w:jc w:val="center"/>
              <w:rPr>
                <w:rFonts w:ascii="Calibri" w:hAnsi="Calibri" w:cs="Calibri"/>
                <w:b/>
                <w:sz w:val="22"/>
              </w:rPr>
            </w:pPr>
            <w:r w:rsidRPr="00F8728A">
              <w:rPr>
                <w:rFonts w:ascii="Calibri" w:hAnsi="Calibri" w:cs="Calibri"/>
                <w:b/>
                <w:sz w:val="22"/>
              </w:rPr>
              <w:t>100</w:t>
            </w:r>
          </w:p>
        </w:tc>
        <w:tc>
          <w:tcPr>
            <w:tcW w:w="1283" w:type="dxa"/>
            <w:vAlign w:val="center"/>
          </w:tcPr>
          <w:p w:rsidR="00AA4661" w:rsidRPr="00F8728A" w:rsidRDefault="00AA4661" w:rsidP="00E40B3E">
            <w:pPr>
              <w:spacing w:before="40" w:after="40"/>
              <w:jc w:val="center"/>
              <w:rPr>
                <w:rFonts w:ascii="Calibri" w:hAnsi="Calibri" w:cs="Calibri"/>
                <w:b/>
                <w:sz w:val="22"/>
              </w:rPr>
            </w:pPr>
            <w:r w:rsidRPr="00F8728A">
              <w:rPr>
                <w:rFonts w:ascii="Calibri" w:hAnsi="Calibri" w:cs="Calibri"/>
                <w:b/>
                <w:sz w:val="22"/>
              </w:rPr>
              <w:t>5</w:t>
            </w:r>
            <w:r w:rsidR="00381124">
              <w:rPr>
                <w:rFonts w:ascii="Calibri" w:hAnsi="Calibri" w:cs="Calibri"/>
                <w:b/>
                <w:sz w:val="22"/>
              </w:rPr>
              <w:t xml:space="preserve"> </w:t>
            </w:r>
            <w:r w:rsidRPr="00F8728A">
              <w:rPr>
                <w:rFonts w:ascii="Calibri" w:hAnsi="Calibri" w:cs="Calibri"/>
                <w:b/>
                <w:sz w:val="22"/>
              </w:rPr>
              <w:t>204</w:t>
            </w:r>
            <w:r w:rsidR="00381124">
              <w:rPr>
                <w:rFonts w:ascii="Calibri" w:hAnsi="Calibri" w:cs="Calibri"/>
                <w:b/>
                <w:sz w:val="22"/>
              </w:rPr>
              <w:t xml:space="preserve"> </w:t>
            </w:r>
            <w:r w:rsidRPr="00F8728A">
              <w:rPr>
                <w:rFonts w:ascii="Calibri" w:hAnsi="Calibri" w:cs="Calibri"/>
                <w:b/>
                <w:sz w:val="22"/>
              </w:rPr>
              <w:t>385</w:t>
            </w:r>
          </w:p>
        </w:tc>
        <w:tc>
          <w:tcPr>
            <w:tcW w:w="1484" w:type="dxa"/>
            <w:vAlign w:val="center"/>
          </w:tcPr>
          <w:p w:rsidR="00AA4661" w:rsidRPr="00F8728A" w:rsidRDefault="00AA4661" w:rsidP="00E40B3E">
            <w:pPr>
              <w:spacing w:before="40" w:after="40"/>
              <w:jc w:val="center"/>
              <w:rPr>
                <w:rFonts w:ascii="Calibri" w:hAnsi="Calibri" w:cs="Calibri"/>
                <w:b/>
                <w:sz w:val="22"/>
              </w:rPr>
            </w:pPr>
            <w:r w:rsidRPr="00F8728A">
              <w:rPr>
                <w:rFonts w:ascii="Calibri" w:hAnsi="Calibri" w:cs="Calibri"/>
                <w:b/>
                <w:sz w:val="22"/>
              </w:rPr>
              <w:t>100</w:t>
            </w:r>
          </w:p>
        </w:tc>
      </w:tr>
      <w:tr w:rsidR="00AA4661" w:rsidRPr="00F8728A" w:rsidTr="005E006B">
        <w:trPr>
          <w:jc w:val="center"/>
        </w:trPr>
        <w:tc>
          <w:tcPr>
            <w:tcW w:w="2831" w:type="dxa"/>
            <w:shd w:val="clear" w:color="auto" w:fill="B8CCE4"/>
            <w:vAlign w:val="center"/>
          </w:tcPr>
          <w:p w:rsidR="00AA4661" w:rsidRPr="00F8728A" w:rsidRDefault="00AA4661" w:rsidP="00676435">
            <w:pPr>
              <w:spacing w:before="40" w:after="40"/>
              <w:jc w:val="both"/>
              <w:rPr>
                <w:rFonts w:ascii="Calibri" w:hAnsi="Calibri" w:cs="Calibri"/>
                <w:sz w:val="22"/>
              </w:rPr>
            </w:pPr>
            <w:r w:rsidRPr="00F8728A">
              <w:rPr>
                <w:rFonts w:ascii="Calibri" w:hAnsi="Calibri" w:cs="Calibri"/>
                <w:sz w:val="22"/>
              </w:rPr>
              <w:t>Големи – над 100 000</w:t>
            </w:r>
          </w:p>
        </w:tc>
        <w:tc>
          <w:tcPr>
            <w:tcW w:w="1123" w:type="dxa"/>
            <w:vAlign w:val="center"/>
          </w:tcPr>
          <w:p w:rsidR="00AA4661" w:rsidRPr="00F8728A" w:rsidRDefault="00AA4661" w:rsidP="00E40B3E">
            <w:pPr>
              <w:spacing w:before="40" w:after="40"/>
              <w:jc w:val="center"/>
              <w:rPr>
                <w:rFonts w:ascii="Calibri" w:hAnsi="Calibri" w:cs="Calibri"/>
                <w:sz w:val="22"/>
              </w:rPr>
            </w:pPr>
            <w:r w:rsidRPr="00F8728A">
              <w:rPr>
                <w:rFonts w:ascii="Calibri" w:hAnsi="Calibri" w:cs="Calibri"/>
                <w:sz w:val="22"/>
              </w:rPr>
              <w:t>6</w:t>
            </w:r>
          </w:p>
        </w:tc>
        <w:tc>
          <w:tcPr>
            <w:tcW w:w="1134" w:type="dxa"/>
            <w:vAlign w:val="center"/>
          </w:tcPr>
          <w:p w:rsidR="00AA4661" w:rsidRPr="00F8728A" w:rsidRDefault="00AA4661" w:rsidP="00E40B3E">
            <w:pPr>
              <w:spacing w:before="40" w:after="40"/>
              <w:jc w:val="center"/>
              <w:rPr>
                <w:rFonts w:ascii="Calibri" w:hAnsi="Calibri" w:cs="Calibri"/>
                <w:sz w:val="22"/>
              </w:rPr>
            </w:pPr>
            <w:r w:rsidRPr="00F8728A">
              <w:rPr>
                <w:rFonts w:ascii="Calibri" w:hAnsi="Calibri" w:cs="Calibri"/>
                <w:sz w:val="22"/>
              </w:rPr>
              <w:t>2</w:t>
            </w:r>
          </w:p>
        </w:tc>
        <w:tc>
          <w:tcPr>
            <w:tcW w:w="1283" w:type="dxa"/>
            <w:vAlign w:val="center"/>
          </w:tcPr>
          <w:p w:rsidR="00AA4661" w:rsidRPr="00F8728A" w:rsidRDefault="00AA4661" w:rsidP="00E40B3E">
            <w:pPr>
              <w:spacing w:before="40" w:after="40"/>
              <w:jc w:val="center"/>
              <w:rPr>
                <w:rFonts w:ascii="Calibri" w:hAnsi="Calibri" w:cs="Calibri"/>
                <w:sz w:val="22"/>
              </w:rPr>
            </w:pPr>
            <w:r w:rsidRPr="00F8728A">
              <w:rPr>
                <w:rFonts w:ascii="Calibri" w:hAnsi="Calibri" w:cs="Calibri"/>
                <w:sz w:val="22"/>
              </w:rPr>
              <w:t>2</w:t>
            </w:r>
            <w:r w:rsidR="00381124">
              <w:rPr>
                <w:rFonts w:ascii="Calibri" w:hAnsi="Calibri" w:cs="Calibri"/>
                <w:sz w:val="22"/>
              </w:rPr>
              <w:t xml:space="preserve"> </w:t>
            </w:r>
            <w:r w:rsidRPr="00F8728A">
              <w:rPr>
                <w:rFonts w:ascii="Calibri" w:hAnsi="Calibri" w:cs="Calibri"/>
                <w:sz w:val="22"/>
              </w:rPr>
              <w:t>399</w:t>
            </w:r>
            <w:r w:rsidR="00381124">
              <w:rPr>
                <w:rFonts w:ascii="Calibri" w:hAnsi="Calibri" w:cs="Calibri"/>
                <w:sz w:val="22"/>
              </w:rPr>
              <w:t xml:space="preserve"> </w:t>
            </w:r>
            <w:r w:rsidRPr="00F8728A">
              <w:rPr>
                <w:rFonts w:ascii="Calibri" w:hAnsi="Calibri" w:cs="Calibri"/>
                <w:sz w:val="22"/>
              </w:rPr>
              <w:t>131</w:t>
            </w:r>
          </w:p>
        </w:tc>
        <w:tc>
          <w:tcPr>
            <w:tcW w:w="1484" w:type="dxa"/>
            <w:vAlign w:val="center"/>
          </w:tcPr>
          <w:p w:rsidR="00AA4661" w:rsidRPr="00F8728A" w:rsidRDefault="00AA4661" w:rsidP="00E40B3E">
            <w:pPr>
              <w:spacing w:before="40" w:after="40"/>
              <w:jc w:val="center"/>
              <w:rPr>
                <w:rFonts w:ascii="Calibri" w:hAnsi="Calibri" w:cs="Calibri"/>
                <w:sz w:val="22"/>
              </w:rPr>
            </w:pPr>
            <w:r w:rsidRPr="00F8728A">
              <w:rPr>
                <w:rFonts w:ascii="Calibri" w:hAnsi="Calibri" w:cs="Calibri"/>
                <w:sz w:val="22"/>
              </w:rPr>
              <w:t>46</w:t>
            </w:r>
          </w:p>
        </w:tc>
      </w:tr>
      <w:tr w:rsidR="00AA4661" w:rsidRPr="00F8728A" w:rsidTr="005E006B">
        <w:trPr>
          <w:jc w:val="center"/>
        </w:trPr>
        <w:tc>
          <w:tcPr>
            <w:tcW w:w="2831" w:type="dxa"/>
            <w:shd w:val="clear" w:color="auto" w:fill="B8CCE4"/>
            <w:vAlign w:val="center"/>
          </w:tcPr>
          <w:p w:rsidR="00AA4661" w:rsidRPr="00F8728A" w:rsidRDefault="00AA4661" w:rsidP="00676435">
            <w:pPr>
              <w:spacing w:before="40" w:after="40"/>
              <w:jc w:val="both"/>
              <w:rPr>
                <w:rFonts w:ascii="Calibri" w:hAnsi="Calibri" w:cs="Calibri"/>
                <w:sz w:val="22"/>
              </w:rPr>
            </w:pPr>
            <w:r w:rsidRPr="00F8728A">
              <w:rPr>
                <w:rFonts w:ascii="Calibri" w:hAnsi="Calibri" w:cs="Calibri"/>
                <w:sz w:val="22"/>
              </w:rPr>
              <w:t>Средни – 30 000 до 100 000</w:t>
            </w:r>
          </w:p>
        </w:tc>
        <w:tc>
          <w:tcPr>
            <w:tcW w:w="1123" w:type="dxa"/>
            <w:vAlign w:val="center"/>
          </w:tcPr>
          <w:p w:rsidR="00AA4661" w:rsidRPr="00F8728A" w:rsidRDefault="00AA4661" w:rsidP="00E40B3E">
            <w:pPr>
              <w:spacing w:before="40" w:after="40"/>
              <w:jc w:val="center"/>
              <w:rPr>
                <w:rFonts w:ascii="Calibri" w:hAnsi="Calibri" w:cs="Calibri"/>
                <w:sz w:val="22"/>
              </w:rPr>
            </w:pPr>
            <w:r w:rsidRPr="00F8728A">
              <w:rPr>
                <w:rFonts w:ascii="Calibri" w:hAnsi="Calibri" w:cs="Calibri"/>
                <w:sz w:val="22"/>
              </w:rPr>
              <w:t>24</w:t>
            </w:r>
          </w:p>
        </w:tc>
        <w:tc>
          <w:tcPr>
            <w:tcW w:w="1134" w:type="dxa"/>
            <w:vAlign w:val="center"/>
          </w:tcPr>
          <w:p w:rsidR="00AA4661" w:rsidRPr="00F8728A" w:rsidRDefault="00AA4661" w:rsidP="00E40B3E">
            <w:pPr>
              <w:spacing w:before="40" w:after="40"/>
              <w:jc w:val="center"/>
              <w:rPr>
                <w:rFonts w:ascii="Calibri" w:hAnsi="Calibri" w:cs="Calibri"/>
                <w:sz w:val="22"/>
              </w:rPr>
            </w:pPr>
            <w:r w:rsidRPr="00F8728A">
              <w:rPr>
                <w:rFonts w:ascii="Calibri" w:hAnsi="Calibri" w:cs="Calibri"/>
                <w:sz w:val="22"/>
              </w:rPr>
              <w:t>9</w:t>
            </w:r>
          </w:p>
        </w:tc>
        <w:tc>
          <w:tcPr>
            <w:tcW w:w="1283" w:type="dxa"/>
            <w:vAlign w:val="center"/>
          </w:tcPr>
          <w:p w:rsidR="00AA4661" w:rsidRPr="00F8728A" w:rsidRDefault="00AA4661" w:rsidP="00E40B3E">
            <w:pPr>
              <w:spacing w:before="40" w:after="40"/>
              <w:jc w:val="center"/>
              <w:rPr>
                <w:rFonts w:ascii="Calibri" w:hAnsi="Calibri" w:cs="Calibri"/>
                <w:sz w:val="22"/>
              </w:rPr>
            </w:pPr>
            <w:r w:rsidRPr="00F8728A">
              <w:rPr>
                <w:rFonts w:ascii="Calibri" w:hAnsi="Calibri" w:cs="Calibri"/>
                <w:sz w:val="22"/>
              </w:rPr>
              <w:t>1</w:t>
            </w:r>
            <w:r w:rsidR="00381124">
              <w:rPr>
                <w:rFonts w:ascii="Calibri" w:hAnsi="Calibri" w:cs="Calibri"/>
                <w:sz w:val="22"/>
              </w:rPr>
              <w:t xml:space="preserve"> </w:t>
            </w:r>
            <w:r w:rsidRPr="00F8728A">
              <w:rPr>
                <w:rFonts w:ascii="Calibri" w:hAnsi="Calibri" w:cs="Calibri"/>
                <w:sz w:val="22"/>
              </w:rPr>
              <w:t>337</w:t>
            </w:r>
            <w:r w:rsidR="00381124">
              <w:rPr>
                <w:rFonts w:ascii="Calibri" w:hAnsi="Calibri" w:cs="Calibri"/>
                <w:sz w:val="22"/>
              </w:rPr>
              <w:t xml:space="preserve"> </w:t>
            </w:r>
            <w:r w:rsidRPr="00F8728A">
              <w:rPr>
                <w:rFonts w:ascii="Calibri" w:hAnsi="Calibri" w:cs="Calibri"/>
                <w:sz w:val="22"/>
              </w:rPr>
              <w:t>111</w:t>
            </w:r>
          </w:p>
        </w:tc>
        <w:tc>
          <w:tcPr>
            <w:tcW w:w="1484" w:type="dxa"/>
            <w:vAlign w:val="center"/>
          </w:tcPr>
          <w:p w:rsidR="00AA4661" w:rsidRPr="00F8728A" w:rsidRDefault="00AA4661" w:rsidP="00E40B3E">
            <w:pPr>
              <w:spacing w:before="40" w:after="40"/>
              <w:jc w:val="center"/>
              <w:rPr>
                <w:rFonts w:ascii="Calibri" w:hAnsi="Calibri" w:cs="Calibri"/>
                <w:sz w:val="22"/>
              </w:rPr>
            </w:pPr>
            <w:r w:rsidRPr="00F8728A">
              <w:rPr>
                <w:rFonts w:ascii="Calibri" w:hAnsi="Calibri" w:cs="Calibri"/>
                <w:sz w:val="22"/>
              </w:rPr>
              <w:t>26</w:t>
            </w:r>
          </w:p>
        </w:tc>
      </w:tr>
      <w:tr w:rsidR="00AA4661" w:rsidRPr="00F8728A" w:rsidTr="005E006B">
        <w:trPr>
          <w:jc w:val="center"/>
        </w:trPr>
        <w:tc>
          <w:tcPr>
            <w:tcW w:w="2831" w:type="dxa"/>
            <w:shd w:val="clear" w:color="auto" w:fill="B8CCE4"/>
            <w:vAlign w:val="center"/>
          </w:tcPr>
          <w:p w:rsidR="00AA4661" w:rsidRPr="00F8728A" w:rsidRDefault="00AA4661" w:rsidP="00676435">
            <w:pPr>
              <w:spacing w:before="40" w:after="40"/>
              <w:jc w:val="both"/>
              <w:rPr>
                <w:rFonts w:ascii="Calibri" w:hAnsi="Calibri" w:cs="Calibri"/>
                <w:sz w:val="22"/>
              </w:rPr>
            </w:pPr>
            <w:r w:rsidRPr="00F8728A">
              <w:rPr>
                <w:rFonts w:ascii="Calibri" w:hAnsi="Calibri" w:cs="Calibri"/>
                <w:sz w:val="22"/>
              </w:rPr>
              <w:t>Малки – под 30 000</w:t>
            </w:r>
          </w:p>
        </w:tc>
        <w:tc>
          <w:tcPr>
            <w:tcW w:w="1123" w:type="dxa"/>
            <w:vAlign w:val="center"/>
          </w:tcPr>
          <w:p w:rsidR="00AA4661" w:rsidRPr="00F8728A" w:rsidRDefault="00AA4661" w:rsidP="00E40B3E">
            <w:pPr>
              <w:spacing w:before="40" w:after="40"/>
              <w:jc w:val="center"/>
              <w:rPr>
                <w:rFonts w:ascii="Calibri" w:hAnsi="Calibri" w:cs="Calibri"/>
                <w:sz w:val="22"/>
              </w:rPr>
            </w:pPr>
            <w:r w:rsidRPr="00F8728A">
              <w:rPr>
                <w:rFonts w:ascii="Calibri" w:hAnsi="Calibri" w:cs="Calibri"/>
                <w:sz w:val="22"/>
              </w:rPr>
              <w:t>227</w:t>
            </w:r>
          </w:p>
        </w:tc>
        <w:tc>
          <w:tcPr>
            <w:tcW w:w="1134" w:type="dxa"/>
            <w:vAlign w:val="center"/>
          </w:tcPr>
          <w:p w:rsidR="00AA4661" w:rsidRPr="00F8728A" w:rsidRDefault="00AA4661" w:rsidP="00E40B3E">
            <w:pPr>
              <w:spacing w:before="40" w:after="40"/>
              <w:jc w:val="center"/>
              <w:rPr>
                <w:rFonts w:ascii="Calibri" w:hAnsi="Calibri" w:cs="Calibri"/>
                <w:sz w:val="22"/>
              </w:rPr>
            </w:pPr>
            <w:r w:rsidRPr="00F8728A">
              <w:rPr>
                <w:rFonts w:ascii="Calibri" w:hAnsi="Calibri" w:cs="Calibri"/>
                <w:sz w:val="22"/>
              </w:rPr>
              <w:t>88</w:t>
            </w:r>
          </w:p>
        </w:tc>
        <w:tc>
          <w:tcPr>
            <w:tcW w:w="1283" w:type="dxa"/>
            <w:vAlign w:val="center"/>
          </w:tcPr>
          <w:p w:rsidR="00AA4661" w:rsidRPr="00F8728A" w:rsidRDefault="00AA4661" w:rsidP="00E40B3E">
            <w:pPr>
              <w:spacing w:before="40" w:after="40"/>
              <w:jc w:val="center"/>
              <w:rPr>
                <w:rFonts w:ascii="Calibri" w:hAnsi="Calibri" w:cs="Calibri"/>
                <w:sz w:val="22"/>
              </w:rPr>
            </w:pPr>
            <w:r w:rsidRPr="00F8728A">
              <w:rPr>
                <w:rFonts w:ascii="Calibri" w:hAnsi="Calibri" w:cs="Calibri"/>
                <w:sz w:val="22"/>
              </w:rPr>
              <w:t>1</w:t>
            </w:r>
            <w:r w:rsidR="00381124">
              <w:rPr>
                <w:rFonts w:ascii="Calibri" w:hAnsi="Calibri" w:cs="Calibri"/>
                <w:sz w:val="22"/>
              </w:rPr>
              <w:t xml:space="preserve"> </w:t>
            </w:r>
            <w:r w:rsidRPr="00F8728A">
              <w:rPr>
                <w:rFonts w:ascii="Calibri" w:hAnsi="Calibri" w:cs="Calibri"/>
                <w:sz w:val="22"/>
              </w:rPr>
              <w:t>468</w:t>
            </w:r>
            <w:r w:rsidR="00381124">
              <w:rPr>
                <w:rFonts w:ascii="Calibri" w:hAnsi="Calibri" w:cs="Calibri"/>
                <w:sz w:val="22"/>
              </w:rPr>
              <w:t xml:space="preserve"> </w:t>
            </w:r>
            <w:r w:rsidRPr="00F8728A">
              <w:rPr>
                <w:rFonts w:ascii="Calibri" w:hAnsi="Calibri" w:cs="Calibri"/>
                <w:sz w:val="22"/>
              </w:rPr>
              <w:t>143</w:t>
            </w:r>
          </w:p>
        </w:tc>
        <w:tc>
          <w:tcPr>
            <w:tcW w:w="1484" w:type="dxa"/>
            <w:vAlign w:val="center"/>
          </w:tcPr>
          <w:p w:rsidR="00AA4661" w:rsidRPr="00F8728A" w:rsidRDefault="00AA4661" w:rsidP="00E40B3E">
            <w:pPr>
              <w:spacing w:before="40" w:after="40"/>
              <w:jc w:val="center"/>
              <w:rPr>
                <w:rFonts w:ascii="Calibri" w:hAnsi="Calibri" w:cs="Calibri"/>
                <w:sz w:val="22"/>
              </w:rPr>
            </w:pPr>
            <w:r w:rsidRPr="00F8728A">
              <w:rPr>
                <w:rFonts w:ascii="Calibri" w:hAnsi="Calibri" w:cs="Calibri"/>
                <w:sz w:val="22"/>
              </w:rPr>
              <w:t>28</w:t>
            </w:r>
          </w:p>
        </w:tc>
      </w:tr>
    </w:tbl>
    <w:p w:rsidR="00AA4661" w:rsidRPr="00F8728A" w:rsidRDefault="00AA4661" w:rsidP="005E006B">
      <w:pPr>
        <w:pStyle w:val="Source"/>
        <w:jc w:val="center"/>
      </w:pPr>
      <w:r w:rsidRPr="00F8728A">
        <w:t>Източник: НСИ (данни за  население 2016 г.), Обработка на данните: НЦТР.</w:t>
      </w:r>
    </w:p>
    <w:p w:rsidR="00AA4661" w:rsidRPr="00B73D7E" w:rsidRDefault="00AA4661" w:rsidP="00CF297A">
      <w:pPr>
        <w:pStyle w:val="BodyText"/>
        <w:numPr>
          <w:ilvl w:val="0"/>
          <w:numId w:val="41"/>
        </w:numPr>
        <w:ind w:left="0" w:firstLine="0"/>
        <w:rPr>
          <w:lang w:val="bg-BG"/>
        </w:rPr>
      </w:pPr>
      <w:r w:rsidRPr="00B73D7E">
        <w:rPr>
          <w:lang w:val="bg-BG"/>
        </w:rPr>
        <w:t>Около 46 процента от населението в градовете е концентрирано в шест големи градове, привлечено там от големия брой и разнообразие от работни места, по-висококачествени услуги и по-добра достъпност и мобилност. Населението в тази група от градове леко се е увеличило през 2016 г.</w:t>
      </w:r>
    </w:p>
    <w:p w:rsidR="00AA4661" w:rsidRPr="00F8728A" w:rsidRDefault="00AA4661">
      <w:pPr>
        <w:widowControl w:val="0"/>
        <w:spacing w:after="0"/>
        <w:rPr>
          <w:rFonts w:ascii="Calibri" w:eastAsia="MS Mincho" w:hAnsi="Calibri"/>
          <w:b/>
          <w:i/>
          <w:iCs/>
          <w:color w:val="44546A"/>
          <w:sz w:val="22"/>
          <w:szCs w:val="18"/>
          <w:lang w:eastAsia="bg-BG"/>
        </w:rPr>
      </w:pPr>
      <w:r w:rsidRPr="00F8728A">
        <w:rPr>
          <w:rFonts w:ascii="Calibri" w:hAnsi="Calibri"/>
          <w:b/>
          <w:i/>
          <w:iCs/>
          <w:color w:val="44546A"/>
          <w:sz w:val="22"/>
          <w:szCs w:val="18"/>
        </w:rPr>
        <w:br w:type="page"/>
      </w:r>
    </w:p>
    <w:p w:rsidR="00AA4661" w:rsidRPr="00F8728A" w:rsidRDefault="00AA4661" w:rsidP="00B73D7E">
      <w:pPr>
        <w:pStyle w:val="FiguresTablesCaption"/>
      </w:pPr>
      <w:bookmarkStart w:id="67" w:name="_Toc529286629"/>
      <w:r w:rsidRPr="00F8728A">
        <w:lastRenderedPageBreak/>
        <w:t xml:space="preserve">Таблица </w:t>
      </w:r>
      <w:r w:rsidRPr="00F8728A">
        <w:fldChar w:fldCharType="begin"/>
      </w:r>
      <w:r w:rsidRPr="00F8728A">
        <w:instrText xml:space="preserve"> SEQ Table \* ARABIC </w:instrText>
      </w:r>
      <w:r w:rsidRPr="00F8728A">
        <w:fldChar w:fldCharType="separate"/>
      </w:r>
      <w:r w:rsidRPr="00F8728A">
        <w:t>2</w:t>
      </w:r>
      <w:r w:rsidRPr="00F8728A">
        <w:fldChar w:fldCharType="end"/>
      </w:r>
      <w:r w:rsidRPr="00F8728A">
        <w:t>. Промяна в населението в шестте големи града (2001–2016 г.)</w:t>
      </w:r>
      <w:bookmarkEnd w:id="67"/>
    </w:p>
    <w:tbl>
      <w:tblPr>
        <w:tblW w:w="9354"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0A0" w:firstRow="1" w:lastRow="0" w:firstColumn="1" w:lastColumn="0" w:noHBand="0" w:noVBand="0"/>
      </w:tblPr>
      <w:tblGrid>
        <w:gridCol w:w="1454"/>
        <w:gridCol w:w="1131"/>
        <w:gridCol w:w="1134"/>
        <w:gridCol w:w="1134"/>
        <w:gridCol w:w="1134"/>
        <w:gridCol w:w="1134"/>
        <w:gridCol w:w="1134"/>
        <w:gridCol w:w="1099"/>
      </w:tblGrid>
      <w:tr w:rsidR="00AA4661" w:rsidRPr="00F8728A" w:rsidTr="00B155A6">
        <w:trPr>
          <w:jc w:val="center"/>
        </w:trPr>
        <w:tc>
          <w:tcPr>
            <w:tcW w:w="1454" w:type="dxa"/>
            <w:vMerge w:val="restart"/>
            <w:shd w:val="clear" w:color="auto" w:fill="365F91"/>
            <w:tcMar>
              <w:left w:w="72" w:type="dxa"/>
              <w:right w:w="72" w:type="dxa"/>
            </w:tcMar>
            <w:vAlign w:val="center"/>
          </w:tcPr>
          <w:p w:rsidR="00AA4661" w:rsidRPr="00F8728A" w:rsidRDefault="00AA4661" w:rsidP="00B155A6">
            <w:pPr>
              <w:spacing w:before="40" w:after="40"/>
              <w:jc w:val="center"/>
              <w:rPr>
                <w:rFonts w:ascii="Calibri" w:hAnsi="Calibri" w:cs="Calibri"/>
                <w:b/>
                <w:color w:val="FFFFFF"/>
                <w:sz w:val="22"/>
              </w:rPr>
            </w:pPr>
            <w:r w:rsidRPr="00F8728A">
              <w:rPr>
                <w:rFonts w:ascii="Calibri" w:hAnsi="Calibri" w:cs="Calibri"/>
                <w:b/>
                <w:color w:val="FFFFFF"/>
                <w:sz w:val="22"/>
              </w:rPr>
              <w:t>Град</w:t>
            </w:r>
          </w:p>
        </w:tc>
        <w:tc>
          <w:tcPr>
            <w:tcW w:w="7900" w:type="dxa"/>
            <w:gridSpan w:val="7"/>
            <w:shd w:val="clear" w:color="auto" w:fill="365F91"/>
            <w:tcMar>
              <w:left w:w="72" w:type="dxa"/>
              <w:right w:w="72" w:type="dxa"/>
            </w:tcMar>
          </w:tcPr>
          <w:p w:rsidR="00AA4661" w:rsidRPr="00F8728A" w:rsidRDefault="00AA4661" w:rsidP="00B155A6">
            <w:pPr>
              <w:spacing w:before="40" w:after="40"/>
              <w:jc w:val="center"/>
              <w:rPr>
                <w:rFonts w:ascii="Calibri" w:hAnsi="Calibri" w:cs="Calibri"/>
                <w:b/>
                <w:color w:val="FFFFFF"/>
                <w:sz w:val="22"/>
              </w:rPr>
            </w:pPr>
            <w:r w:rsidRPr="00F8728A">
              <w:rPr>
                <w:rFonts w:ascii="Calibri" w:hAnsi="Calibri" w:cs="Calibri"/>
                <w:b/>
                <w:color w:val="FFFFFF"/>
                <w:sz w:val="22"/>
              </w:rPr>
              <w:t>Население</w:t>
            </w:r>
          </w:p>
        </w:tc>
      </w:tr>
      <w:tr w:rsidR="00AA4661" w:rsidRPr="00F8728A" w:rsidTr="00B155A6">
        <w:trPr>
          <w:jc w:val="center"/>
        </w:trPr>
        <w:tc>
          <w:tcPr>
            <w:tcW w:w="1454" w:type="dxa"/>
            <w:vMerge/>
            <w:shd w:val="clear" w:color="auto" w:fill="365F91"/>
            <w:tcMar>
              <w:left w:w="72" w:type="dxa"/>
              <w:right w:w="72" w:type="dxa"/>
            </w:tcMar>
          </w:tcPr>
          <w:p w:rsidR="00AA4661" w:rsidRPr="00F8728A" w:rsidRDefault="00AA4661" w:rsidP="00B155A6">
            <w:pPr>
              <w:spacing w:before="40" w:after="40"/>
              <w:jc w:val="center"/>
              <w:rPr>
                <w:rFonts w:ascii="Calibri" w:hAnsi="Calibri" w:cs="Calibri"/>
                <w:b/>
                <w:color w:val="FFFFFF"/>
                <w:sz w:val="22"/>
              </w:rPr>
            </w:pPr>
          </w:p>
        </w:tc>
        <w:tc>
          <w:tcPr>
            <w:tcW w:w="1131" w:type="dxa"/>
            <w:shd w:val="clear" w:color="auto" w:fill="D9D9D9"/>
            <w:tcMar>
              <w:left w:w="72" w:type="dxa"/>
              <w:right w:w="72" w:type="dxa"/>
            </w:tcMar>
          </w:tcPr>
          <w:p w:rsidR="00AA4661" w:rsidRPr="00F8728A" w:rsidRDefault="00AA4661" w:rsidP="00B155A6">
            <w:pPr>
              <w:spacing w:before="40" w:after="40"/>
              <w:jc w:val="center"/>
              <w:rPr>
                <w:rFonts w:ascii="Calibri" w:hAnsi="Calibri" w:cs="Calibri"/>
                <w:b/>
                <w:sz w:val="22"/>
              </w:rPr>
            </w:pPr>
            <w:r w:rsidRPr="00F8728A">
              <w:rPr>
                <w:rFonts w:ascii="Calibri" w:hAnsi="Calibri" w:cs="Calibri"/>
                <w:b/>
                <w:sz w:val="22"/>
              </w:rPr>
              <w:t>2001 г.</w:t>
            </w:r>
          </w:p>
        </w:tc>
        <w:tc>
          <w:tcPr>
            <w:tcW w:w="1134" w:type="dxa"/>
            <w:shd w:val="clear" w:color="auto" w:fill="D9D9D9"/>
            <w:tcMar>
              <w:left w:w="72" w:type="dxa"/>
              <w:right w:w="72" w:type="dxa"/>
            </w:tcMar>
          </w:tcPr>
          <w:p w:rsidR="00AA4661" w:rsidRPr="00F8728A" w:rsidRDefault="00AA4661" w:rsidP="00B155A6">
            <w:pPr>
              <w:spacing w:before="40" w:after="40"/>
              <w:jc w:val="center"/>
              <w:rPr>
                <w:rFonts w:ascii="Calibri" w:hAnsi="Calibri" w:cs="Calibri"/>
                <w:b/>
                <w:sz w:val="22"/>
              </w:rPr>
            </w:pPr>
            <w:r w:rsidRPr="00F8728A">
              <w:rPr>
                <w:rFonts w:ascii="Calibri" w:hAnsi="Calibri" w:cs="Calibri"/>
                <w:b/>
                <w:sz w:val="22"/>
              </w:rPr>
              <w:t>2011 г.</w:t>
            </w:r>
          </w:p>
        </w:tc>
        <w:tc>
          <w:tcPr>
            <w:tcW w:w="1134" w:type="dxa"/>
            <w:shd w:val="clear" w:color="auto" w:fill="D9D9D9"/>
            <w:tcMar>
              <w:left w:w="72" w:type="dxa"/>
              <w:right w:w="72" w:type="dxa"/>
            </w:tcMar>
          </w:tcPr>
          <w:p w:rsidR="00AA4661" w:rsidRPr="00F8728A" w:rsidRDefault="00AA4661" w:rsidP="00B155A6">
            <w:pPr>
              <w:spacing w:before="40" w:after="40"/>
              <w:jc w:val="center"/>
              <w:rPr>
                <w:rFonts w:ascii="Calibri" w:hAnsi="Calibri" w:cs="Calibri"/>
                <w:b/>
                <w:sz w:val="22"/>
              </w:rPr>
            </w:pPr>
            <w:r w:rsidRPr="00F8728A">
              <w:rPr>
                <w:rFonts w:ascii="Calibri" w:hAnsi="Calibri" w:cs="Calibri"/>
                <w:b/>
                <w:sz w:val="22"/>
              </w:rPr>
              <w:t>2012 г.</w:t>
            </w:r>
          </w:p>
        </w:tc>
        <w:tc>
          <w:tcPr>
            <w:tcW w:w="1134" w:type="dxa"/>
            <w:shd w:val="clear" w:color="auto" w:fill="D9D9D9"/>
            <w:tcMar>
              <w:left w:w="72" w:type="dxa"/>
              <w:right w:w="72" w:type="dxa"/>
            </w:tcMar>
          </w:tcPr>
          <w:p w:rsidR="00AA4661" w:rsidRPr="00F8728A" w:rsidRDefault="00AA4661" w:rsidP="00B155A6">
            <w:pPr>
              <w:spacing w:before="40" w:after="40"/>
              <w:jc w:val="center"/>
              <w:rPr>
                <w:rFonts w:ascii="Calibri" w:hAnsi="Calibri" w:cs="Calibri"/>
                <w:b/>
                <w:sz w:val="22"/>
              </w:rPr>
            </w:pPr>
            <w:r w:rsidRPr="00F8728A">
              <w:rPr>
                <w:rFonts w:ascii="Calibri" w:hAnsi="Calibri" w:cs="Calibri"/>
                <w:b/>
                <w:sz w:val="22"/>
              </w:rPr>
              <w:t>2013 г.</w:t>
            </w:r>
          </w:p>
        </w:tc>
        <w:tc>
          <w:tcPr>
            <w:tcW w:w="1134" w:type="dxa"/>
            <w:shd w:val="clear" w:color="auto" w:fill="D9D9D9"/>
            <w:tcMar>
              <w:left w:w="72" w:type="dxa"/>
              <w:right w:w="72" w:type="dxa"/>
            </w:tcMar>
          </w:tcPr>
          <w:p w:rsidR="00AA4661" w:rsidRPr="00F8728A" w:rsidRDefault="00AA4661" w:rsidP="00B155A6">
            <w:pPr>
              <w:spacing w:before="40" w:after="40"/>
              <w:jc w:val="center"/>
              <w:rPr>
                <w:rFonts w:ascii="Calibri" w:hAnsi="Calibri" w:cs="Calibri"/>
                <w:b/>
                <w:sz w:val="22"/>
              </w:rPr>
            </w:pPr>
            <w:r w:rsidRPr="00F8728A">
              <w:rPr>
                <w:rFonts w:ascii="Calibri" w:hAnsi="Calibri" w:cs="Calibri"/>
                <w:b/>
                <w:sz w:val="22"/>
              </w:rPr>
              <w:t>2014 г.</w:t>
            </w:r>
          </w:p>
        </w:tc>
        <w:tc>
          <w:tcPr>
            <w:tcW w:w="1134" w:type="dxa"/>
            <w:shd w:val="clear" w:color="auto" w:fill="D9D9D9"/>
            <w:tcMar>
              <w:left w:w="72" w:type="dxa"/>
              <w:right w:w="72" w:type="dxa"/>
            </w:tcMar>
          </w:tcPr>
          <w:p w:rsidR="00AA4661" w:rsidRPr="00F8728A" w:rsidRDefault="00AA4661" w:rsidP="00B155A6">
            <w:pPr>
              <w:spacing w:before="40" w:after="40"/>
              <w:jc w:val="center"/>
              <w:rPr>
                <w:rFonts w:ascii="Calibri" w:hAnsi="Calibri" w:cs="Calibri"/>
                <w:b/>
                <w:sz w:val="22"/>
              </w:rPr>
            </w:pPr>
            <w:r w:rsidRPr="00F8728A">
              <w:rPr>
                <w:rFonts w:ascii="Calibri" w:hAnsi="Calibri" w:cs="Calibri"/>
                <w:b/>
                <w:sz w:val="22"/>
              </w:rPr>
              <w:t>2015 г.</w:t>
            </w:r>
          </w:p>
        </w:tc>
        <w:tc>
          <w:tcPr>
            <w:tcW w:w="1099" w:type="dxa"/>
            <w:shd w:val="clear" w:color="auto" w:fill="D9D9D9"/>
            <w:tcMar>
              <w:left w:w="72" w:type="dxa"/>
              <w:right w:w="72" w:type="dxa"/>
            </w:tcMar>
          </w:tcPr>
          <w:p w:rsidR="00AA4661" w:rsidRPr="00F8728A" w:rsidRDefault="00AA4661" w:rsidP="00B155A6">
            <w:pPr>
              <w:spacing w:before="40" w:after="40"/>
              <w:jc w:val="center"/>
              <w:rPr>
                <w:rFonts w:ascii="Calibri" w:hAnsi="Calibri" w:cs="Calibri"/>
                <w:b/>
                <w:sz w:val="22"/>
              </w:rPr>
            </w:pPr>
            <w:r w:rsidRPr="00F8728A">
              <w:rPr>
                <w:rFonts w:ascii="Calibri" w:hAnsi="Calibri" w:cs="Calibri"/>
                <w:b/>
                <w:sz w:val="22"/>
              </w:rPr>
              <w:t>2016 г.</w:t>
            </w:r>
          </w:p>
        </w:tc>
      </w:tr>
      <w:tr w:rsidR="00AA4661" w:rsidRPr="00F8728A" w:rsidTr="00B155A6">
        <w:trPr>
          <w:jc w:val="center"/>
        </w:trPr>
        <w:tc>
          <w:tcPr>
            <w:tcW w:w="1454" w:type="dxa"/>
            <w:shd w:val="clear" w:color="auto" w:fill="B8CCE4"/>
            <w:tcMar>
              <w:left w:w="72" w:type="dxa"/>
              <w:right w:w="72" w:type="dxa"/>
            </w:tcMar>
          </w:tcPr>
          <w:p w:rsidR="00AA4661" w:rsidRPr="00F8728A" w:rsidRDefault="00AA4661" w:rsidP="00B155A6">
            <w:pPr>
              <w:spacing w:before="40" w:after="40"/>
              <w:jc w:val="both"/>
              <w:rPr>
                <w:rFonts w:ascii="Calibri" w:hAnsi="Calibri" w:cs="Calibri"/>
                <w:b/>
                <w:sz w:val="22"/>
              </w:rPr>
            </w:pPr>
            <w:r w:rsidRPr="00F8728A">
              <w:rPr>
                <w:rFonts w:ascii="Calibri" w:hAnsi="Calibri" w:cs="Calibri"/>
                <w:b/>
                <w:sz w:val="22"/>
              </w:rPr>
              <w:t>София</w:t>
            </w:r>
          </w:p>
        </w:tc>
        <w:tc>
          <w:tcPr>
            <w:tcW w:w="1131"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w:t>
            </w:r>
            <w:r w:rsidR="00381124">
              <w:rPr>
                <w:rFonts w:ascii="Calibri" w:hAnsi="Calibri" w:cs="Calibri"/>
                <w:sz w:val="22"/>
              </w:rPr>
              <w:t xml:space="preserve"> </w:t>
            </w:r>
            <w:r w:rsidRPr="00F8728A">
              <w:rPr>
                <w:rFonts w:ascii="Calibri" w:hAnsi="Calibri" w:cs="Calibri"/>
                <w:sz w:val="22"/>
              </w:rPr>
              <w:t>113</w:t>
            </w:r>
            <w:r w:rsidR="00381124">
              <w:rPr>
                <w:rFonts w:ascii="Calibri" w:hAnsi="Calibri" w:cs="Calibri"/>
                <w:sz w:val="22"/>
              </w:rPr>
              <w:t xml:space="preserve"> </w:t>
            </w:r>
            <w:r w:rsidRPr="00F8728A">
              <w:rPr>
                <w:rFonts w:ascii="Calibri" w:hAnsi="Calibri" w:cs="Calibri"/>
                <w:sz w:val="22"/>
              </w:rPr>
              <w:t>742 </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w:t>
            </w:r>
            <w:r w:rsidR="00381124">
              <w:rPr>
                <w:rFonts w:ascii="Calibri" w:hAnsi="Calibri" w:cs="Calibri"/>
                <w:sz w:val="22"/>
              </w:rPr>
              <w:t xml:space="preserve"> </w:t>
            </w:r>
            <w:r w:rsidRPr="00F8728A">
              <w:rPr>
                <w:rFonts w:ascii="Calibri" w:hAnsi="Calibri" w:cs="Calibri"/>
                <w:sz w:val="22"/>
              </w:rPr>
              <w:t>208</w:t>
            </w:r>
            <w:r w:rsidR="00381124">
              <w:rPr>
                <w:rFonts w:ascii="Calibri" w:hAnsi="Calibri" w:cs="Calibri"/>
                <w:sz w:val="22"/>
              </w:rPr>
              <w:t xml:space="preserve"> </w:t>
            </w:r>
            <w:r w:rsidRPr="00F8728A">
              <w:rPr>
                <w:rFonts w:ascii="Calibri" w:hAnsi="Calibri" w:cs="Calibri"/>
                <w:sz w:val="22"/>
              </w:rPr>
              <w:t>097</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w:t>
            </w:r>
            <w:r w:rsidR="00381124">
              <w:rPr>
                <w:rFonts w:ascii="Calibri" w:hAnsi="Calibri" w:cs="Calibri"/>
                <w:sz w:val="22"/>
              </w:rPr>
              <w:t xml:space="preserve"> </w:t>
            </w:r>
            <w:r w:rsidRPr="00F8728A">
              <w:rPr>
                <w:rFonts w:ascii="Calibri" w:hAnsi="Calibri" w:cs="Calibri"/>
                <w:sz w:val="22"/>
              </w:rPr>
              <w:t>213</w:t>
            </w:r>
            <w:r w:rsidR="00381124">
              <w:rPr>
                <w:rFonts w:ascii="Calibri" w:hAnsi="Calibri" w:cs="Calibri"/>
                <w:sz w:val="22"/>
              </w:rPr>
              <w:t xml:space="preserve"> </w:t>
            </w:r>
            <w:r w:rsidRPr="00F8728A">
              <w:rPr>
                <w:rFonts w:ascii="Calibri" w:hAnsi="Calibri" w:cs="Calibri"/>
                <w:sz w:val="22"/>
              </w:rPr>
              <w:t>542</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w:t>
            </w:r>
            <w:r w:rsidR="00381124">
              <w:rPr>
                <w:rFonts w:ascii="Calibri" w:hAnsi="Calibri" w:cs="Calibri"/>
                <w:sz w:val="22"/>
              </w:rPr>
              <w:t xml:space="preserve"> </w:t>
            </w:r>
            <w:r w:rsidRPr="00F8728A">
              <w:rPr>
                <w:rFonts w:ascii="Calibri" w:hAnsi="Calibri" w:cs="Calibri"/>
                <w:sz w:val="22"/>
              </w:rPr>
              <w:t>221</w:t>
            </w:r>
            <w:r w:rsidR="00381124">
              <w:rPr>
                <w:rFonts w:ascii="Calibri" w:hAnsi="Calibri" w:cs="Calibri"/>
                <w:sz w:val="22"/>
              </w:rPr>
              <w:t xml:space="preserve"> </w:t>
            </w:r>
            <w:r w:rsidRPr="00F8728A">
              <w:rPr>
                <w:rFonts w:ascii="Calibri" w:hAnsi="Calibri" w:cs="Calibri"/>
                <w:sz w:val="22"/>
              </w:rPr>
              <w:t>292</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w:t>
            </w:r>
            <w:r w:rsidR="00381124">
              <w:rPr>
                <w:rFonts w:ascii="Calibri" w:hAnsi="Calibri" w:cs="Calibri"/>
                <w:sz w:val="22"/>
              </w:rPr>
              <w:t xml:space="preserve"> </w:t>
            </w:r>
            <w:r w:rsidRPr="00F8728A">
              <w:rPr>
                <w:rFonts w:ascii="Calibri" w:hAnsi="Calibri" w:cs="Calibri"/>
                <w:sz w:val="22"/>
              </w:rPr>
              <w:t>228</w:t>
            </w:r>
            <w:r w:rsidR="00381124">
              <w:rPr>
                <w:rFonts w:ascii="Calibri" w:hAnsi="Calibri" w:cs="Calibri"/>
                <w:sz w:val="22"/>
              </w:rPr>
              <w:t xml:space="preserve"> </w:t>
            </w:r>
            <w:r w:rsidRPr="00F8728A">
              <w:rPr>
                <w:rFonts w:ascii="Calibri" w:hAnsi="Calibri" w:cs="Calibri"/>
                <w:sz w:val="22"/>
              </w:rPr>
              <w:t>282</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w:t>
            </w:r>
            <w:r w:rsidR="00381124">
              <w:rPr>
                <w:rFonts w:ascii="Calibri" w:hAnsi="Calibri" w:cs="Calibri"/>
                <w:sz w:val="22"/>
              </w:rPr>
              <w:t xml:space="preserve"> </w:t>
            </w:r>
            <w:r w:rsidRPr="00F8728A">
              <w:rPr>
                <w:rFonts w:ascii="Calibri" w:hAnsi="Calibri" w:cs="Calibri"/>
                <w:sz w:val="22"/>
              </w:rPr>
              <w:t>231</w:t>
            </w:r>
            <w:r w:rsidR="00381124">
              <w:rPr>
                <w:rFonts w:ascii="Calibri" w:hAnsi="Calibri" w:cs="Calibri"/>
                <w:sz w:val="22"/>
              </w:rPr>
              <w:t xml:space="preserve"> </w:t>
            </w:r>
            <w:r w:rsidRPr="00F8728A">
              <w:rPr>
                <w:rFonts w:ascii="Calibri" w:hAnsi="Calibri" w:cs="Calibri"/>
                <w:sz w:val="22"/>
              </w:rPr>
              <w:t>981</w:t>
            </w:r>
          </w:p>
        </w:tc>
        <w:tc>
          <w:tcPr>
            <w:tcW w:w="1099"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w:t>
            </w:r>
            <w:r w:rsidR="00381124">
              <w:rPr>
                <w:rFonts w:ascii="Calibri" w:hAnsi="Calibri" w:cs="Calibri"/>
                <w:sz w:val="22"/>
              </w:rPr>
              <w:t xml:space="preserve"> </w:t>
            </w:r>
            <w:r w:rsidRPr="00F8728A">
              <w:rPr>
                <w:rFonts w:ascii="Calibri" w:hAnsi="Calibri" w:cs="Calibri"/>
                <w:sz w:val="22"/>
              </w:rPr>
              <w:t>236</w:t>
            </w:r>
            <w:r w:rsidR="00381124">
              <w:rPr>
                <w:rFonts w:ascii="Calibri" w:hAnsi="Calibri" w:cs="Calibri"/>
                <w:sz w:val="22"/>
              </w:rPr>
              <w:t xml:space="preserve"> </w:t>
            </w:r>
            <w:r w:rsidRPr="00F8728A">
              <w:rPr>
                <w:rFonts w:ascii="Calibri" w:hAnsi="Calibri" w:cs="Calibri"/>
                <w:sz w:val="22"/>
              </w:rPr>
              <w:t>047</w:t>
            </w:r>
          </w:p>
        </w:tc>
      </w:tr>
      <w:tr w:rsidR="00AA4661" w:rsidRPr="00F8728A" w:rsidTr="00B155A6">
        <w:trPr>
          <w:jc w:val="center"/>
        </w:trPr>
        <w:tc>
          <w:tcPr>
            <w:tcW w:w="1454" w:type="dxa"/>
            <w:shd w:val="clear" w:color="auto" w:fill="B8CCE4"/>
            <w:tcMar>
              <w:left w:w="72" w:type="dxa"/>
              <w:right w:w="72" w:type="dxa"/>
            </w:tcMar>
          </w:tcPr>
          <w:p w:rsidR="00AA4661" w:rsidRPr="00F8728A" w:rsidRDefault="00AA4661" w:rsidP="00B155A6">
            <w:pPr>
              <w:spacing w:before="40" w:after="40"/>
              <w:jc w:val="both"/>
              <w:rPr>
                <w:rFonts w:ascii="Calibri" w:hAnsi="Calibri" w:cs="Calibri"/>
                <w:b/>
                <w:sz w:val="22"/>
              </w:rPr>
            </w:pPr>
            <w:r w:rsidRPr="00F8728A">
              <w:rPr>
                <w:rFonts w:ascii="Calibri" w:hAnsi="Calibri" w:cs="Calibri"/>
                <w:b/>
                <w:sz w:val="22"/>
              </w:rPr>
              <w:t>Пловдив</w:t>
            </w:r>
          </w:p>
        </w:tc>
        <w:tc>
          <w:tcPr>
            <w:tcW w:w="1131"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340</w:t>
            </w:r>
            <w:r w:rsidR="00381124">
              <w:rPr>
                <w:rFonts w:ascii="Calibri" w:hAnsi="Calibri" w:cs="Calibri"/>
                <w:sz w:val="22"/>
              </w:rPr>
              <w:t xml:space="preserve"> </w:t>
            </w:r>
            <w:r w:rsidRPr="00F8728A">
              <w:rPr>
                <w:rFonts w:ascii="Calibri" w:hAnsi="Calibri" w:cs="Calibri"/>
                <w:sz w:val="22"/>
              </w:rPr>
              <w:t>475</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338</w:t>
            </w:r>
            <w:r w:rsidR="00381124">
              <w:rPr>
                <w:rFonts w:ascii="Calibri" w:hAnsi="Calibri" w:cs="Calibri"/>
                <w:sz w:val="22"/>
              </w:rPr>
              <w:t xml:space="preserve"> </w:t>
            </w:r>
            <w:r w:rsidRPr="00F8728A">
              <w:rPr>
                <w:rFonts w:ascii="Calibri" w:hAnsi="Calibri" w:cs="Calibri"/>
                <w:sz w:val="22"/>
              </w:rPr>
              <w:t>184</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339</w:t>
            </w:r>
            <w:r w:rsidR="00381124">
              <w:rPr>
                <w:rFonts w:ascii="Calibri" w:hAnsi="Calibri" w:cs="Calibri"/>
                <w:sz w:val="22"/>
              </w:rPr>
              <w:t xml:space="preserve"> </w:t>
            </w:r>
            <w:r w:rsidRPr="00F8728A">
              <w:rPr>
                <w:rFonts w:ascii="Calibri" w:hAnsi="Calibri" w:cs="Calibri"/>
                <w:sz w:val="22"/>
              </w:rPr>
              <w:t>129</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341</w:t>
            </w:r>
            <w:r w:rsidR="00381124">
              <w:rPr>
                <w:rFonts w:ascii="Calibri" w:hAnsi="Calibri" w:cs="Calibri"/>
                <w:sz w:val="22"/>
              </w:rPr>
              <w:t xml:space="preserve"> </w:t>
            </w:r>
            <w:r w:rsidRPr="00F8728A">
              <w:rPr>
                <w:rFonts w:ascii="Calibri" w:hAnsi="Calibri" w:cs="Calibri"/>
                <w:sz w:val="22"/>
              </w:rPr>
              <w:t>041</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341</w:t>
            </w:r>
            <w:r w:rsidR="00381124">
              <w:rPr>
                <w:rFonts w:ascii="Calibri" w:hAnsi="Calibri" w:cs="Calibri"/>
                <w:sz w:val="22"/>
              </w:rPr>
              <w:t xml:space="preserve"> </w:t>
            </w:r>
            <w:r w:rsidRPr="00F8728A">
              <w:rPr>
                <w:rFonts w:ascii="Calibri" w:hAnsi="Calibri" w:cs="Calibri"/>
                <w:sz w:val="22"/>
              </w:rPr>
              <w:t>567</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341</w:t>
            </w:r>
            <w:r w:rsidR="00381124">
              <w:rPr>
                <w:rFonts w:ascii="Calibri" w:hAnsi="Calibri" w:cs="Calibri"/>
                <w:sz w:val="22"/>
              </w:rPr>
              <w:t xml:space="preserve"> </w:t>
            </w:r>
            <w:r w:rsidRPr="00F8728A">
              <w:rPr>
                <w:rFonts w:ascii="Calibri" w:hAnsi="Calibri" w:cs="Calibri"/>
                <w:sz w:val="22"/>
              </w:rPr>
              <w:t>625</w:t>
            </w:r>
          </w:p>
        </w:tc>
        <w:tc>
          <w:tcPr>
            <w:tcW w:w="1099"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343</w:t>
            </w:r>
            <w:r w:rsidR="00381124">
              <w:rPr>
                <w:rFonts w:ascii="Calibri" w:hAnsi="Calibri" w:cs="Calibri"/>
                <w:sz w:val="22"/>
              </w:rPr>
              <w:t xml:space="preserve"> </w:t>
            </w:r>
            <w:r w:rsidRPr="00F8728A">
              <w:rPr>
                <w:rFonts w:ascii="Calibri" w:hAnsi="Calibri" w:cs="Calibri"/>
                <w:sz w:val="22"/>
              </w:rPr>
              <w:t>424</w:t>
            </w:r>
          </w:p>
        </w:tc>
      </w:tr>
      <w:tr w:rsidR="00AA4661" w:rsidRPr="00F8728A" w:rsidTr="00B155A6">
        <w:trPr>
          <w:jc w:val="center"/>
        </w:trPr>
        <w:tc>
          <w:tcPr>
            <w:tcW w:w="1454" w:type="dxa"/>
            <w:shd w:val="clear" w:color="auto" w:fill="B8CCE4"/>
            <w:tcMar>
              <w:left w:w="72" w:type="dxa"/>
              <w:right w:w="72" w:type="dxa"/>
            </w:tcMar>
          </w:tcPr>
          <w:p w:rsidR="00AA4661" w:rsidRPr="00F8728A" w:rsidRDefault="00AA4661" w:rsidP="00B155A6">
            <w:pPr>
              <w:spacing w:before="40" w:after="40"/>
              <w:jc w:val="both"/>
              <w:rPr>
                <w:rFonts w:ascii="Calibri" w:hAnsi="Calibri" w:cs="Calibri"/>
                <w:b/>
                <w:sz w:val="22"/>
              </w:rPr>
            </w:pPr>
            <w:r w:rsidRPr="00F8728A">
              <w:rPr>
                <w:rFonts w:ascii="Calibri" w:hAnsi="Calibri" w:cs="Calibri"/>
                <w:b/>
                <w:sz w:val="22"/>
              </w:rPr>
              <w:t>Варна</w:t>
            </w:r>
          </w:p>
        </w:tc>
        <w:tc>
          <w:tcPr>
            <w:tcW w:w="1131"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313</w:t>
            </w:r>
            <w:r w:rsidR="00381124">
              <w:rPr>
                <w:rFonts w:ascii="Calibri" w:hAnsi="Calibri" w:cs="Calibri"/>
                <w:sz w:val="22"/>
              </w:rPr>
              <w:t xml:space="preserve"> </w:t>
            </w:r>
            <w:r w:rsidRPr="00F8728A">
              <w:rPr>
                <w:rFonts w:ascii="Calibri" w:hAnsi="Calibri" w:cs="Calibri"/>
                <w:sz w:val="22"/>
              </w:rPr>
              <w:t>408</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334</w:t>
            </w:r>
            <w:r w:rsidR="00381124">
              <w:rPr>
                <w:rFonts w:ascii="Calibri" w:hAnsi="Calibri" w:cs="Calibri"/>
                <w:sz w:val="22"/>
              </w:rPr>
              <w:t xml:space="preserve"> </w:t>
            </w:r>
            <w:r w:rsidRPr="00F8728A">
              <w:rPr>
                <w:rFonts w:ascii="Calibri" w:hAnsi="Calibri" w:cs="Calibri"/>
                <w:sz w:val="22"/>
              </w:rPr>
              <w:t>781</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334</w:t>
            </w:r>
            <w:r w:rsidR="00381124">
              <w:rPr>
                <w:rFonts w:ascii="Calibri" w:hAnsi="Calibri" w:cs="Calibri"/>
                <w:sz w:val="22"/>
              </w:rPr>
              <w:t xml:space="preserve"> </w:t>
            </w:r>
            <w:r w:rsidRPr="00F8728A">
              <w:rPr>
                <w:rFonts w:ascii="Calibri" w:hAnsi="Calibri" w:cs="Calibri"/>
                <w:sz w:val="22"/>
              </w:rPr>
              <w:t>744</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335</w:t>
            </w:r>
            <w:r w:rsidR="00381124">
              <w:rPr>
                <w:rFonts w:ascii="Calibri" w:hAnsi="Calibri" w:cs="Calibri"/>
                <w:sz w:val="22"/>
              </w:rPr>
              <w:t xml:space="preserve"> </w:t>
            </w:r>
            <w:r w:rsidRPr="00F8728A">
              <w:rPr>
                <w:rFonts w:ascii="Calibri" w:hAnsi="Calibri" w:cs="Calibri"/>
                <w:sz w:val="22"/>
              </w:rPr>
              <w:t>819</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335</w:t>
            </w:r>
            <w:r w:rsidR="00381124">
              <w:rPr>
                <w:rFonts w:ascii="Calibri" w:hAnsi="Calibri" w:cs="Calibri"/>
                <w:sz w:val="22"/>
              </w:rPr>
              <w:t xml:space="preserve"> </w:t>
            </w:r>
            <w:r w:rsidRPr="00F8728A">
              <w:rPr>
                <w:rFonts w:ascii="Calibri" w:hAnsi="Calibri" w:cs="Calibri"/>
                <w:sz w:val="22"/>
              </w:rPr>
              <w:t>949</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334</w:t>
            </w:r>
            <w:r w:rsidR="00381124">
              <w:rPr>
                <w:rFonts w:ascii="Calibri" w:hAnsi="Calibri" w:cs="Calibri"/>
                <w:sz w:val="22"/>
              </w:rPr>
              <w:t xml:space="preserve"> </w:t>
            </w:r>
            <w:r w:rsidRPr="00F8728A">
              <w:rPr>
                <w:rFonts w:ascii="Calibri" w:hAnsi="Calibri" w:cs="Calibri"/>
                <w:sz w:val="22"/>
              </w:rPr>
              <w:t>466</w:t>
            </w:r>
          </w:p>
        </w:tc>
        <w:tc>
          <w:tcPr>
            <w:tcW w:w="1099"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335</w:t>
            </w:r>
            <w:r w:rsidR="00381124">
              <w:rPr>
                <w:rFonts w:ascii="Calibri" w:hAnsi="Calibri" w:cs="Calibri"/>
                <w:sz w:val="22"/>
              </w:rPr>
              <w:t xml:space="preserve"> </w:t>
            </w:r>
            <w:r w:rsidRPr="00F8728A">
              <w:rPr>
                <w:rFonts w:ascii="Calibri" w:hAnsi="Calibri" w:cs="Calibri"/>
                <w:sz w:val="22"/>
              </w:rPr>
              <w:t>177</w:t>
            </w:r>
          </w:p>
        </w:tc>
      </w:tr>
      <w:tr w:rsidR="00AA4661" w:rsidRPr="00F8728A" w:rsidTr="00B155A6">
        <w:trPr>
          <w:jc w:val="center"/>
        </w:trPr>
        <w:tc>
          <w:tcPr>
            <w:tcW w:w="1454" w:type="dxa"/>
            <w:shd w:val="clear" w:color="auto" w:fill="B8CCE4"/>
            <w:tcMar>
              <w:left w:w="72" w:type="dxa"/>
              <w:right w:w="72" w:type="dxa"/>
            </w:tcMar>
          </w:tcPr>
          <w:p w:rsidR="00AA4661" w:rsidRPr="00F8728A" w:rsidRDefault="00AA4661" w:rsidP="00B155A6">
            <w:pPr>
              <w:spacing w:before="40" w:after="40"/>
              <w:jc w:val="both"/>
              <w:rPr>
                <w:rFonts w:ascii="Calibri" w:hAnsi="Calibri" w:cs="Calibri"/>
                <w:b/>
                <w:sz w:val="22"/>
              </w:rPr>
            </w:pPr>
            <w:r w:rsidRPr="00F8728A">
              <w:rPr>
                <w:rFonts w:ascii="Calibri" w:hAnsi="Calibri" w:cs="Calibri"/>
                <w:b/>
                <w:sz w:val="22"/>
              </w:rPr>
              <w:t>Бургас</w:t>
            </w:r>
          </w:p>
        </w:tc>
        <w:tc>
          <w:tcPr>
            <w:tcW w:w="1131"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192</w:t>
            </w:r>
            <w:r w:rsidR="00381124">
              <w:rPr>
                <w:rFonts w:ascii="Calibri" w:hAnsi="Calibri" w:cs="Calibri"/>
                <w:sz w:val="22"/>
              </w:rPr>
              <w:t xml:space="preserve"> </w:t>
            </w:r>
            <w:r w:rsidRPr="00F8728A">
              <w:rPr>
                <w:rFonts w:ascii="Calibri" w:hAnsi="Calibri" w:cs="Calibri"/>
                <w:sz w:val="22"/>
              </w:rPr>
              <w:t>566</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199</w:t>
            </w:r>
            <w:r w:rsidR="00381124">
              <w:rPr>
                <w:rFonts w:ascii="Calibri" w:hAnsi="Calibri" w:cs="Calibri"/>
                <w:sz w:val="22"/>
              </w:rPr>
              <w:t xml:space="preserve"> </w:t>
            </w:r>
            <w:r w:rsidRPr="00F8728A">
              <w:rPr>
                <w:rFonts w:ascii="Calibri" w:hAnsi="Calibri" w:cs="Calibri"/>
                <w:sz w:val="22"/>
              </w:rPr>
              <w:t>484</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199</w:t>
            </w:r>
            <w:r w:rsidR="00381124">
              <w:rPr>
                <w:rFonts w:ascii="Calibri" w:hAnsi="Calibri" w:cs="Calibri"/>
                <w:sz w:val="22"/>
              </w:rPr>
              <w:t xml:space="preserve"> </w:t>
            </w:r>
            <w:r w:rsidRPr="00F8728A">
              <w:rPr>
                <w:rFonts w:ascii="Calibri" w:hAnsi="Calibri" w:cs="Calibri"/>
                <w:sz w:val="22"/>
              </w:rPr>
              <w:t>083</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199</w:t>
            </w:r>
            <w:r w:rsidR="00381124">
              <w:rPr>
                <w:rFonts w:ascii="Calibri" w:hAnsi="Calibri" w:cs="Calibri"/>
                <w:sz w:val="22"/>
              </w:rPr>
              <w:t xml:space="preserve"> </w:t>
            </w:r>
            <w:r w:rsidRPr="00F8728A">
              <w:rPr>
                <w:rFonts w:ascii="Calibri" w:hAnsi="Calibri" w:cs="Calibri"/>
                <w:sz w:val="22"/>
              </w:rPr>
              <w:t>364</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198</w:t>
            </w:r>
            <w:r w:rsidR="00381124">
              <w:rPr>
                <w:rFonts w:ascii="Calibri" w:hAnsi="Calibri" w:cs="Calibri"/>
                <w:sz w:val="22"/>
              </w:rPr>
              <w:t xml:space="preserve"> </w:t>
            </w:r>
            <w:r w:rsidRPr="00F8728A">
              <w:rPr>
                <w:rFonts w:ascii="Calibri" w:hAnsi="Calibri" w:cs="Calibri"/>
                <w:sz w:val="22"/>
              </w:rPr>
              <w:t>725</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203</w:t>
            </w:r>
            <w:r w:rsidR="00381124">
              <w:rPr>
                <w:rFonts w:ascii="Calibri" w:hAnsi="Calibri" w:cs="Calibri"/>
                <w:sz w:val="22"/>
              </w:rPr>
              <w:t xml:space="preserve"> </w:t>
            </w:r>
            <w:r w:rsidRPr="00F8728A">
              <w:rPr>
                <w:rFonts w:ascii="Calibri" w:hAnsi="Calibri" w:cs="Calibri"/>
                <w:sz w:val="22"/>
              </w:rPr>
              <w:t>017</w:t>
            </w:r>
          </w:p>
        </w:tc>
        <w:tc>
          <w:tcPr>
            <w:tcW w:w="1099"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202</w:t>
            </w:r>
            <w:r w:rsidR="00381124">
              <w:rPr>
                <w:rFonts w:ascii="Calibri" w:hAnsi="Calibri" w:cs="Calibri"/>
                <w:sz w:val="22"/>
              </w:rPr>
              <w:t xml:space="preserve"> </w:t>
            </w:r>
            <w:r w:rsidRPr="00F8728A">
              <w:rPr>
                <w:rFonts w:ascii="Calibri" w:hAnsi="Calibri" w:cs="Calibri"/>
                <w:sz w:val="22"/>
              </w:rPr>
              <w:t>766</w:t>
            </w:r>
          </w:p>
        </w:tc>
      </w:tr>
      <w:tr w:rsidR="00AA4661" w:rsidRPr="00F8728A" w:rsidTr="00B155A6">
        <w:trPr>
          <w:jc w:val="center"/>
        </w:trPr>
        <w:tc>
          <w:tcPr>
            <w:tcW w:w="1454" w:type="dxa"/>
            <w:shd w:val="clear" w:color="auto" w:fill="B8CCE4"/>
            <w:tcMar>
              <w:left w:w="72" w:type="dxa"/>
              <w:right w:w="72" w:type="dxa"/>
            </w:tcMar>
          </w:tcPr>
          <w:p w:rsidR="00AA4661" w:rsidRPr="00F8728A" w:rsidRDefault="00AA4661" w:rsidP="00B155A6">
            <w:pPr>
              <w:spacing w:before="40" w:after="40"/>
              <w:jc w:val="both"/>
              <w:rPr>
                <w:rFonts w:ascii="Calibri" w:hAnsi="Calibri" w:cs="Calibri"/>
                <w:b/>
                <w:sz w:val="22"/>
              </w:rPr>
            </w:pPr>
            <w:r w:rsidRPr="00F8728A">
              <w:rPr>
                <w:rFonts w:ascii="Calibri" w:hAnsi="Calibri" w:cs="Calibri"/>
                <w:b/>
                <w:sz w:val="22"/>
              </w:rPr>
              <w:t>Русе</w:t>
            </w:r>
          </w:p>
        </w:tc>
        <w:tc>
          <w:tcPr>
            <w:tcW w:w="1131"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160</w:t>
            </w:r>
            <w:r w:rsidR="00381124">
              <w:rPr>
                <w:rFonts w:ascii="Calibri" w:hAnsi="Calibri" w:cs="Calibri"/>
                <w:sz w:val="22"/>
              </w:rPr>
              <w:t xml:space="preserve"> </w:t>
            </w:r>
            <w:r w:rsidRPr="00F8728A">
              <w:rPr>
                <w:rFonts w:ascii="Calibri" w:hAnsi="Calibri" w:cs="Calibri"/>
                <w:sz w:val="22"/>
              </w:rPr>
              <w:t>006</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149</w:t>
            </w:r>
            <w:r w:rsidR="00381124">
              <w:rPr>
                <w:rFonts w:ascii="Calibri" w:hAnsi="Calibri" w:cs="Calibri"/>
                <w:sz w:val="22"/>
              </w:rPr>
              <w:t xml:space="preserve"> </w:t>
            </w:r>
            <w:r w:rsidRPr="00F8728A">
              <w:rPr>
                <w:rFonts w:ascii="Calibri" w:hAnsi="Calibri" w:cs="Calibri"/>
                <w:sz w:val="22"/>
              </w:rPr>
              <w:t>134</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148</w:t>
            </w:r>
            <w:r w:rsidR="00381124">
              <w:rPr>
                <w:rFonts w:ascii="Calibri" w:hAnsi="Calibri" w:cs="Calibri"/>
                <w:sz w:val="22"/>
              </w:rPr>
              <w:t xml:space="preserve"> </w:t>
            </w:r>
            <w:r w:rsidRPr="00F8728A">
              <w:rPr>
                <w:rFonts w:ascii="Calibri" w:hAnsi="Calibri" w:cs="Calibri"/>
                <w:sz w:val="22"/>
              </w:rPr>
              <w:t>350</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147</w:t>
            </w:r>
            <w:r w:rsidR="00381124">
              <w:rPr>
                <w:rFonts w:ascii="Calibri" w:hAnsi="Calibri" w:cs="Calibri"/>
                <w:sz w:val="22"/>
              </w:rPr>
              <w:t xml:space="preserve"> </w:t>
            </w:r>
            <w:r w:rsidRPr="00F8728A">
              <w:rPr>
                <w:rFonts w:ascii="Calibri" w:hAnsi="Calibri" w:cs="Calibri"/>
                <w:sz w:val="22"/>
              </w:rPr>
              <w:t>817</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147</w:t>
            </w:r>
            <w:r w:rsidR="00381124">
              <w:rPr>
                <w:rFonts w:ascii="Calibri" w:hAnsi="Calibri" w:cs="Calibri"/>
                <w:sz w:val="22"/>
              </w:rPr>
              <w:t xml:space="preserve"> </w:t>
            </w:r>
            <w:r w:rsidRPr="00F8728A">
              <w:rPr>
                <w:rFonts w:ascii="Calibri" w:hAnsi="Calibri" w:cs="Calibri"/>
                <w:sz w:val="22"/>
              </w:rPr>
              <w:t>055</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145</w:t>
            </w:r>
            <w:r w:rsidR="00381124">
              <w:rPr>
                <w:rFonts w:ascii="Calibri" w:hAnsi="Calibri" w:cs="Calibri"/>
                <w:sz w:val="22"/>
              </w:rPr>
              <w:t xml:space="preserve"> </w:t>
            </w:r>
            <w:r w:rsidRPr="00F8728A">
              <w:rPr>
                <w:rFonts w:ascii="Calibri" w:hAnsi="Calibri" w:cs="Calibri"/>
                <w:sz w:val="22"/>
              </w:rPr>
              <w:t>765</w:t>
            </w:r>
          </w:p>
        </w:tc>
        <w:tc>
          <w:tcPr>
            <w:tcW w:w="1099"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144</w:t>
            </w:r>
            <w:r w:rsidR="00381124">
              <w:rPr>
                <w:rFonts w:ascii="Calibri" w:hAnsi="Calibri" w:cs="Calibri"/>
                <w:sz w:val="22"/>
              </w:rPr>
              <w:t xml:space="preserve"> </w:t>
            </w:r>
            <w:r w:rsidRPr="00F8728A">
              <w:rPr>
                <w:rFonts w:ascii="Calibri" w:hAnsi="Calibri" w:cs="Calibri"/>
                <w:sz w:val="22"/>
              </w:rPr>
              <w:t>936</w:t>
            </w:r>
          </w:p>
        </w:tc>
      </w:tr>
      <w:tr w:rsidR="00AA4661" w:rsidRPr="00F8728A" w:rsidTr="00B155A6">
        <w:trPr>
          <w:jc w:val="center"/>
        </w:trPr>
        <w:tc>
          <w:tcPr>
            <w:tcW w:w="1454" w:type="dxa"/>
            <w:shd w:val="clear" w:color="auto" w:fill="B8CCE4"/>
            <w:tcMar>
              <w:left w:w="72" w:type="dxa"/>
              <w:right w:w="72" w:type="dxa"/>
            </w:tcMar>
          </w:tcPr>
          <w:p w:rsidR="00AA4661" w:rsidRPr="00F8728A" w:rsidRDefault="00AA4661" w:rsidP="00B155A6">
            <w:pPr>
              <w:spacing w:before="40" w:after="40"/>
              <w:jc w:val="both"/>
              <w:rPr>
                <w:rFonts w:ascii="Calibri" w:hAnsi="Calibri" w:cs="Calibri"/>
                <w:b/>
                <w:sz w:val="22"/>
              </w:rPr>
            </w:pPr>
            <w:r w:rsidRPr="00F8728A">
              <w:rPr>
                <w:rFonts w:ascii="Calibri" w:hAnsi="Calibri" w:cs="Calibri"/>
                <w:b/>
                <w:sz w:val="22"/>
              </w:rPr>
              <w:t>Стара Загора</w:t>
            </w:r>
          </w:p>
        </w:tc>
        <w:tc>
          <w:tcPr>
            <w:tcW w:w="1131"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143</w:t>
            </w:r>
            <w:r w:rsidR="00381124">
              <w:rPr>
                <w:rFonts w:ascii="Calibri" w:hAnsi="Calibri" w:cs="Calibri"/>
                <w:sz w:val="22"/>
              </w:rPr>
              <w:t xml:space="preserve"> </w:t>
            </w:r>
            <w:r w:rsidRPr="00F8728A">
              <w:rPr>
                <w:rFonts w:ascii="Calibri" w:hAnsi="Calibri" w:cs="Calibri"/>
                <w:sz w:val="22"/>
              </w:rPr>
              <w:t>871</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137</w:t>
            </w:r>
            <w:r w:rsidR="00381124">
              <w:rPr>
                <w:rFonts w:ascii="Calibri" w:hAnsi="Calibri" w:cs="Calibri"/>
                <w:sz w:val="22"/>
              </w:rPr>
              <w:t xml:space="preserve"> </w:t>
            </w:r>
            <w:r w:rsidRPr="00F8728A">
              <w:rPr>
                <w:rFonts w:ascii="Calibri" w:hAnsi="Calibri" w:cs="Calibri"/>
                <w:sz w:val="22"/>
              </w:rPr>
              <w:t>416</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137</w:t>
            </w:r>
            <w:r w:rsidR="00381124">
              <w:rPr>
                <w:rFonts w:ascii="Calibri" w:hAnsi="Calibri" w:cs="Calibri"/>
                <w:sz w:val="22"/>
              </w:rPr>
              <w:t xml:space="preserve"> </w:t>
            </w:r>
            <w:r w:rsidRPr="00F8728A">
              <w:rPr>
                <w:rFonts w:ascii="Calibri" w:hAnsi="Calibri" w:cs="Calibri"/>
                <w:sz w:val="22"/>
              </w:rPr>
              <w:t>881</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137</w:t>
            </w:r>
            <w:r w:rsidR="00381124">
              <w:rPr>
                <w:rFonts w:ascii="Calibri" w:hAnsi="Calibri" w:cs="Calibri"/>
                <w:sz w:val="22"/>
              </w:rPr>
              <w:t xml:space="preserve"> </w:t>
            </w:r>
            <w:r w:rsidRPr="00F8728A">
              <w:rPr>
                <w:rFonts w:ascii="Calibri" w:hAnsi="Calibri" w:cs="Calibri"/>
                <w:sz w:val="22"/>
              </w:rPr>
              <w:t>834</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137</w:t>
            </w:r>
            <w:r w:rsidR="00381124">
              <w:rPr>
                <w:rFonts w:ascii="Calibri" w:hAnsi="Calibri" w:cs="Calibri"/>
                <w:sz w:val="22"/>
              </w:rPr>
              <w:t xml:space="preserve"> </w:t>
            </w:r>
            <w:r w:rsidRPr="00F8728A">
              <w:rPr>
                <w:rFonts w:ascii="Calibri" w:hAnsi="Calibri" w:cs="Calibri"/>
                <w:sz w:val="22"/>
              </w:rPr>
              <w:t>729</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136</w:t>
            </w:r>
            <w:r w:rsidR="00381124">
              <w:rPr>
                <w:rFonts w:ascii="Calibri" w:hAnsi="Calibri" w:cs="Calibri"/>
                <w:sz w:val="22"/>
              </w:rPr>
              <w:t xml:space="preserve"> </w:t>
            </w:r>
            <w:r w:rsidRPr="00F8728A">
              <w:rPr>
                <w:rFonts w:ascii="Calibri" w:hAnsi="Calibri" w:cs="Calibri"/>
                <w:sz w:val="22"/>
              </w:rPr>
              <w:t>807</w:t>
            </w:r>
          </w:p>
        </w:tc>
        <w:tc>
          <w:tcPr>
            <w:tcW w:w="1099"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136</w:t>
            </w:r>
            <w:r w:rsidR="00381124">
              <w:rPr>
                <w:rFonts w:ascii="Calibri" w:hAnsi="Calibri" w:cs="Calibri"/>
                <w:sz w:val="22"/>
              </w:rPr>
              <w:t xml:space="preserve"> </w:t>
            </w:r>
            <w:r w:rsidRPr="00F8728A">
              <w:rPr>
                <w:rFonts w:ascii="Calibri" w:hAnsi="Calibri" w:cs="Calibri"/>
                <w:sz w:val="22"/>
              </w:rPr>
              <w:t>781</w:t>
            </w:r>
          </w:p>
        </w:tc>
      </w:tr>
    </w:tbl>
    <w:p w:rsidR="00AA4661" w:rsidRPr="00F8728A" w:rsidRDefault="00AA4661" w:rsidP="00123161">
      <w:pPr>
        <w:pStyle w:val="Source"/>
        <w:jc w:val="center"/>
      </w:pPr>
      <w:r w:rsidRPr="00F8728A">
        <w:t>Източник: НСИ.</w:t>
      </w:r>
    </w:p>
    <w:p w:rsidR="00AA4661" w:rsidRPr="00B73D7E" w:rsidRDefault="00AA4661" w:rsidP="00CF297A">
      <w:pPr>
        <w:pStyle w:val="BodyText"/>
        <w:numPr>
          <w:ilvl w:val="0"/>
          <w:numId w:val="41"/>
        </w:numPr>
        <w:ind w:left="0" w:firstLine="0"/>
        <w:rPr>
          <w:lang w:val="bg-BG"/>
        </w:rPr>
      </w:pPr>
      <w:r w:rsidRPr="00B73D7E">
        <w:rPr>
          <w:lang w:val="bg-BG"/>
        </w:rPr>
        <w:t xml:space="preserve">Най-малките градове са Мелник с население от 199 души и Маджарово с 587 души. До края на 2016 г. населението се увеличава само в 23 града, включително 4 областни центъра (София, Варна, Пловдив и Велико Търново), и 5 града по Черноморското крайбрежие. Населението в останалите 234 града се свива, а периферните постепенно се обезлюдяват. </w:t>
      </w:r>
    </w:p>
    <w:p w:rsidR="00AA4661" w:rsidRPr="00F8728A" w:rsidRDefault="00AA4661" w:rsidP="00B73D7E">
      <w:pPr>
        <w:pStyle w:val="FiguresTablesCaption"/>
      </w:pPr>
      <w:bookmarkStart w:id="68" w:name="_Toc506143759"/>
      <w:bookmarkStart w:id="69" w:name="_Toc529286482"/>
      <w:bookmarkStart w:id="70" w:name="_Toc529286557"/>
      <w:r w:rsidRPr="00F8728A">
        <w:t xml:space="preserve">Фигура </w:t>
      </w:r>
      <w:r w:rsidRPr="00F8728A">
        <w:fldChar w:fldCharType="begin"/>
      </w:r>
      <w:r w:rsidRPr="00F8728A">
        <w:instrText xml:space="preserve"> SEQ Figure \* ARABIC </w:instrText>
      </w:r>
      <w:r w:rsidRPr="00F8728A">
        <w:fldChar w:fldCharType="separate"/>
      </w:r>
      <w:r w:rsidRPr="00F8728A">
        <w:t>7</w:t>
      </w:r>
      <w:r w:rsidRPr="00F8728A">
        <w:fldChar w:fldCharType="end"/>
      </w:r>
      <w:r w:rsidRPr="00F8728A">
        <w:t>. Градове по размер и местоположение</w:t>
      </w:r>
      <w:bookmarkEnd w:id="68"/>
      <w:bookmarkEnd w:id="69"/>
      <w:bookmarkEnd w:id="70"/>
    </w:p>
    <w:p w:rsidR="00AA4661" w:rsidRPr="00F8728A" w:rsidRDefault="00084198" w:rsidP="00676435">
      <w:pPr>
        <w:spacing w:after="0"/>
        <w:jc w:val="both"/>
      </w:pPr>
      <w:r w:rsidRPr="00B73D7E">
        <w:rPr>
          <w:noProof/>
          <w:lang w:val="en-US"/>
        </w:rPr>
        <w:drawing>
          <wp:inline distT="0" distB="0" distL="0" distR="0" wp14:anchorId="390E2175" wp14:editId="6E264A6F">
            <wp:extent cx="5659755" cy="3970020"/>
            <wp:effectExtent l="19050" t="19050" r="17145" b="11430"/>
            <wp:docPr id="6"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30">
                      <a:extLst>
                        <a:ext uri="{28A0092B-C50C-407E-A947-70E740481C1C}">
                          <a14:useLocalDpi xmlns:a14="http://schemas.microsoft.com/office/drawing/2010/main" val="0"/>
                        </a:ext>
                      </a:extLst>
                    </a:blip>
                    <a:srcRect l="827" t="1308" r="948" b="1292"/>
                    <a:stretch>
                      <a:fillRect/>
                    </a:stretch>
                  </pic:blipFill>
                  <pic:spPr bwMode="auto">
                    <a:xfrm>
                      <a:off x="0" y="0"/>
                      <a:ext cx="5659755" cy="3970020"/>
                    </a:xfrm>
                    <a:prstGeom prst="rect">
                      <a:avLst/>
                    </a:prstGeom>
                    <a:noFill/>
                    <a:ln w="6350" cmpd="sng" algn="ctr">
                      <a:solidFill>
                        <a:srgbClr val="5B9BD5"/>
                      </a:solidFill>
                      <a:miter lim="800000"/>
                      <a:headEnd/>
                      <a:tailEnd/>
                    </a:ln>
                    <a:effectLst/>
                  </pic:spPr>
                </pic:pic>
              </a:graphicData>
            </a:graphic>
          </wp:inline>
        </w:drawing>
      </w:r>
    </w:p>
    <w:p w:rsidR="00AA4661" w:rsidRPr="00F8728A" w:rsidRDefault="00AA4661" w:rsidP="00E40B3E">
      <w:pPr>
        <w:pStyle w:val="Source"/>
        <w:jc w:val="center"/>
      </w:pPr>
      <w:r w:rsidRPr="00F8728A">
        <w:t>Източник: НСИ, данни за население за 2016 г., Обработка на данните и карта, НЦТР ЕАД.</w:t>
      </w:r>
    </w:p>
    <w:p w:rsidR="00AA4661" w:rsidRPr="00B73D7E" w:rsidRDefault="00AA4661" w:rsidP="00CF297A">
      <w:pPr>
        <w:pStyle w:val="BodyText"/>
        <w:numPr>
          <w:ilvl w:val="0"/>
          <w:numId w:val="41"/>
        </w:numPr>
        <w:ind w:left="0" w:firstLine="0"/>
        <w:rPr>
          <w:lang w:val="bg-BG"/>
        </w:rPr>
      </w:pPr>
      <w:r w:rsidRPr="00B73D7E">
        <w:rPr>
          <w:lang w:val="bg-BG"/>
        </w:rPr>
        <w:t>Прогнозата на НСИ за населението до 2070 г. показва, че определени тенденции относно общото население на България ще се запазят, както и различията между регионите и областите (</w:t>
      </w:r>
      <w:r w:rsidRPr="00B73D7E">
        <w:rPr>
          <w:b/>
          <w:i/>
          <w:lang w:val="bg-BG"/>
        </w:rPr>
        <w:t>таблица 3</w:t>
      </w:r>
      <w:r w:rsidRPr="00B73D7E">
        <w:rPr>
          <w:lang w:val="bg-BG"/>
        </w:rPr>
        <w:t>).</w:t>
      </w:r>
    </w:p>
    <w:p w:rsidR="00AA4661" w:rsidRPr="00F8728A" w:rsidRDefault="00AA4661" w:rsidP="00B73D7E">
      <w:pPr>
        <w:pStyle w:val="FiguresTablesCaption"/>
        <w:spacing w:after="100"/>
      </w:pPr>
      <w:bookmarkStart w:id="71" w:name="_Toc529286630"/>
      <w:r w:rsidRPr="00F8728A">
        <w:lastRenderedPageBreak/>
        <w:t xml:space="preserve">Таблица </w:t>
      </w:r>
      <w:r w:rsidRPr="00F8728A">
        <w:fldChar w:fldCharType="begin"/>
      </w:r>
      <w:r w:rsidRPr="00F8728A">
        <w:instrText xml:space="preserve"> SEQ Table \* ARABIC </w:instrText>
      </w:r>
      <w:r w:rsidRPr="00F8728A">
        <w:fldChar w:fldCharType="separate"/>
      </w:r>
      <w:r w:rsidRPr="00F8728A">
        <w:t>3</w:t>
      </w:r>
      <w:r w:rsidRPr="00F8728A">
        <w:fldChar w:fldCharType="end"/>
      </w:r>
      <w:r w:rsidRPr="00F8728A">
        <w:t>. Прогнози за населението</w:t>
      </w:r>
      <w:r w:rsidRPr="00F8728A">
        <w:rPr>
          <w:vertAlign w:val="superscript"/>
        </w:rPr>
        <w:footnoteReference w:id="5"/>
      </w:r>
      <w:bookmarkEnd w:id="71"/>
    </w:p>
    <w:tbl>
      <w:tblPr>
        <w:tblW w:w="9191"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2075"/>
        <w:gridCol w:w="1016"/>
        <w:gridCol w:w="1016"/>
        <w:gridCol w:w="1016"/>
        <w:gridCol w:w="1016"/>
        <w:gridCol w:w="1020"/>
        <w:gridCol w:w="1016"/>
        <w:gridCol w:w="1016"/>
      </w:tblGrid>
      <w:tr w:rsidR="00AA4661" w:rsidRPr="00F8728A" w:rsidTr="00B155A6">
        <w:trPr>
          <w:trHeight w:val="320"/>
          <w:jc w:val="center"/>
        </w:trPr>
        <w:tc>
          <w:tcPr>
            <w:tcW w:w="2075" w:type="dxa"/>
            <w:vMerge w:val="restart"/>
            <w:shd w:val="clear" w:color="auto" w:fill="365F91"/>
            <w:vAlign w:val="center"/>
          </w:tcPr>
          <w:p w:rsidR="00AA4661" w:rsidRPr="00F8728A" w:rsidRDefault="00AA4661" w:rsidP="00B155A6">
            <w:pPr>
              <w:spacing w:before="40" w:after="40"/>
              <w:jc w:val="center"/>
              <w:rPr>
                <w:rFonts w:ascii="Calibri" w:hAnsi="Calibri" w:cs="Calibri"/>
                <w:b/>
                <w:color w:val="FFFFFF"/>
                <w:sz w:val="22"/>
              </w:rPr>
            </w:pPr>
            <w:r w:rsidRPr="00F8728A">
              <w:rPr>
                <w:rFonts w:ascii="Calibri" w:hAnsi="Calibri" w:cs="Calibri"/>
                <w:b/>
                <w:color w:val="FFFFFF"/>
                <w:sz w:val="22"/>
              </w:rPr>
              <w:t>Сценарий</w:t>
            </w:r>
            <w:r w:rsidRPr="00F8728A">
              <w:rPr>
                <w:rFonts w:ascii="Calibri" w:hAnsi="Calibri" w:cs="Calibri"/>
                <w:b/>
                <w:color w:val="FFFFFF"/>
                <w:sz w:val="22"/>
              </w:rPr>
              <w:br/>
              <w:t>(Вариант)</w:t>
            </w:r>
          </w:p>
        </w:tc>
        <w:tc>
          <w:tcPr>
            <w:tcW w:w="7116" w:type="dxa"/>
            <w:gridSpan w:val="7"/>
            <w:shd w:val="clear" w:color="auto" w:fill="365F91"/>
          </w:tcPr>
          <w:p w:rsidR="00AA4661" w:rsidRPr="00F8728A" w:rsidRDefault="00AA4661" w:rsidP="00B155A6">
            <w:pPr>
              <w:spacing w:before="40" w:after="40"/>
              <w:jc w:val="center"/>
              <w:rPr>
                <w:rFonts w:ascii="Calibri" w:hAnsi="Calibri" w:cs="Calibri"/>
                <w:color w:val="FFFFFF"/>
                <w:sz w:val="22"/>
              </w:rPr>
            </w:pPr>
            <w:r w:rsidRPr="00F8728A">
              <w:rPr>
                <w:rFonts w:ascii="Calibri" w:hAnsi="Calibri" w:cs="Calibri"/>
                <w:b/>
                <w:color w:val="FFFFFF"/>
                <w:sz w:val="22"/>
              </w:rPr>
              <w:t>Общо население</w:t>
            </w:r>
          </w:p>
        </w:tc>
      </w:tr>
      <w:tr w:rsidR="00AA4661" w:rsidRPr="00F8728A" w:rsidTr="00B155A6">
        <w:trPr>
          <w:jc w:val="center"/>
        </w:trPr>
        <w:tc>
          <w:tcPr>
            <w:tcW w:w="2075" w:type="dxa"/>
            <w:vMerge/>
            <w:shd w:val="clear" w:color="auto" w:fill="365F91"/>
          </w:tcPr>
          <w:p w:rsidR="00AA4661" w:rsidRPr="00F8728A" w:rsidRDefault="00AA4661" w:rsidP="00B155A6">
            <w:pPr>
              <w:spacing w:before="40" w:after="40"/>
              <w:jc w:val="both"/>
              <w:rPr>
                <w:rFonts w:ascii="Calibri" w:hAnsi="Calibri" w:cs="Calibri"/>
                <w:color w:val="FFFFFF"/>
                <w:sz w:val="22"/>
              </w:rPr>
            </w:pPr>
          </w:p>
        </w:tc>
        <w:tc>
          <w:tcPr>
            <w:tcW w:w="1016" w:type="dxa"/>
            <w:shd w:val="clear" w:color="auto" w:fill="D9D9D9"/>
          </w:tcPr>
          <w:p w:rsidR="00AA4661" w:rsidRPr="00F8728A" w:rsidRDefault="00AA4661" w:rsidP="00B155A6">
            <w:pPr>
              <w:spacing w:before="40" w:after="40"/>
              <w:jc w:val="center"/>
              <w:rPr>
                <w:rFonts w:ascii="Calibri" w:hAnsi="Calibri" w:cs="Calibri"/>
                <w:b/>
                <w:sz w:val="22"/>
              </w:rPr>
            </w:pPr>
            <w:r w:rsidRPr="00F8728A">
              <w:rPr>
                <w:rFonts w:ascii="Calibri" w:hAnsi="Calibri" w:cs="Calibri"/>
                <w:b/>
                <w:sz w:val="22"/>
              </w:rPr>
              <w:t>2015 г.</w:t>
            </w:r>
          </w:p>
        </w:tc>
        <w:tc>
          <w:tcPr>
            <w:tcW w:w="1016" w:type="dxa"/>
            <w:shd w:val="clear" w:color="auto" w:fill="D9D9D9"/>
          </w:tcPr>
          <w:p w:rsidR="00AA4661" w:rsidRPr="00F8728A" w:rsidRDefault="00AA4661" w:rsidP="00B155A6">
            <w:pPr>
              <w:spacing w:before="40" w:after="40"/>
              <w:jc w:val="center"/>
              <w:rPr>
                <w:rFonts w:ascii="Calibri" w:hAnsi="Calibri" w:cs="Calibri"/>
                <w:b/>
                <w:sz w:val="22"/>
              </w:rPr>
            </w:pPr>
            <w:r w:rsidRPr="00F8728A">
              <w:rPr>
                <w:rFonts w:ascii="Calibri" w:hAnsi="Calibri" w:cs="Calibri"/>
                <w:b/>
                <w:sz w:val="22"/>
              </w:rPr>
              <w:t>2020 г.</w:t>
            </w:r>
          </w:p>
        </w:tc>
        <w:tc>
          <w:tcPr>
            <w:tcW w:w="1016" w:type="dxa"/>
            <w:shd w:val="clear" w:color="auto" w:fill="D9D9D9"/>
          </w:tcPr>
          <w:p w:rsidR="00AA4661" w:rsidRPr="00F8728A" w:rsidRDefault="00AA4661" w:rsidP="00B155A6">
            <w:pPr>
              <w:spacing w:before="40" w:after="40"/>
              <w:jc w:val="center"/>
              <w:rPr>
                <w:rFonts w:ascii="Calibri" w:hAnsi="Calibri" w:cs="Calibri"/>
                <w:b/>
                <w:sz w:val="22"/>
              </w:rPr>
            </w:pPr>
            <w:r w:rsidRPr="00F8728A">
              <w:rPr>
                <w:rFonts w:ascii="Calibri" w:hAnsi="Calibri" w:cs="Calibri"/>
                <w:b/>
                <w:sz w:val="22"/>
              </w:rPr>
              <w:t>2030 г.</w:t>
            </w:r>
          </w:p>
        </w:tc>
        <w:tc>
          <w:tcPr>
            <w:tcW w:w="1016" w:type="dxa"/>
            <w:shd w:val="clear" w:color="auto" w:fill="D9D9D9"/>
          </w:tcPr>
          <w:p w:rsidR="00AA4661" w:rsidRPr="00F8728A" w:rsidRDefault="00AA4661" w:rsidP="00B155A6">
            <w:pPr>
              <w:spacing w:before="40" w:after="40"/>
              <w:jc w:val="center"/>
              <w:rPr>
                <w:rFonts w:ascii="Calibri" w:hAnsi="Calibri" w:cs="Calibri"/>
                <w:b/>
                <w:sz w:val="22"/>
              </w:rPr>
            </w:pPr>
            <w:r w:rsidRPr="00F8728A">
              <w:rPr>
                <w:rFonts w:ascii="Calibri" w:hAnsi="Calibri" w:cs="Calibri"/>
                <w:b/>
                <w:sz w:val="22"/>
              </w:rPr>
              <w:t>2040 г.</w:t>
            </w:r>
          </w:p>
        </w:tc>
        <w:tc>
          <w:tcPr>
            <w:tcW w:w="1020" w:type="dxa"/>
            <w:shd w:val="clear" w:color="auto" w:fill="D9D9D9"/>
          </w:tcPr>
          <w:p w:rsidR="00AA4661" w:rsidRPr="00F8728A" w:rsidRDefault="00AA4661" w:rsidP="00B155A6">
            <w:pPr>
              <w:spacing w:before="40" w:after="40"/>
              <w:jc w:val="center"/>
              <w:rPr>
                <w:rFonts w:ascii="Calibri" w:hAnsi="Calibri" w:cs="Calibri"/>
                <w:b/>
                <w:sz w:val="22"/>
              </w:rPr>
            </w:pPr>
            <w:r w:rsidRPr="00F8728A">
              <w:rPr>
                <w:rFonts w:ascii="Calibri" w:hAnsi="Calibri" w:cs="Calibri"/>
                <w:b/>
                <w:sz w:val="22"/>
              </w:rPr>
              <w:t>2050 г.</w:t>
            </w:r>
          </w:p>
        </w:tc>
        <w:tc>
          <w:tcPr>
            <w:tcW w:w="1016" w:type="dxa"/>
            <w:shd w:val="clear" w:color="auto" w:fill="D9D9D9"/>
          </w:tcPr>
          <w:p w:rsidR="00AA4661" w:rsidRPr="00F8728A" w:rsidRDefault="00AA4661" w:rsidP="00B155A6">
            <w:pPr>
              <w:spacing w:before="40" w:after="40"/>
              <w:jc w:val="center"/>
              <w:rPr>
                <w:rFonts w:ascii="Calibri" w:hAnsi="Calibri" w:cs="Calibri"/>
                <w:b/>
                <w:sz w:val="22"/>
              </w:rPr>
            </w:pPr>
            <w:r w:rsidRPr="00F8728A">
              <w:rPr>
                <w:rFonts w:ascii="Calibri" w:hAnsi="Calibri" w:cs="Calibri"/>
                <w:b/>
                <w:sz w:val="22"/>
              </w:rPr>
              <w:t>2060 г.</w:t>
            </w:r>
          </w:p>
        </w:tc>
        <w:tc>
          <w:tcPr>
            <w:tcW w:w="1016" w:type="dxa"/>
            <w:shd w:val="clear" w:color="auto" w:fill="D9D9D9"/>
          </w:tcPr>
          <w:p w:rsidR="00AA4661" w:rsidRPr="00F8728A" w:rsidRDefault="00AA4661" w:rsidP="00B155A6">
            <w:pPr>
              <w:spacing w:before="40" w:after="40"/>
              <w:jc w:val="center"/>
              <w:rPr>
                <w:rFonts w:ascii="Calibri" w:hAnsi="Calibri" w:cs="Calibri"/>
                <w:b/>
                <w:sz w:val="22"/>
              </w:rPr>
            </w:pPr>
            <w:r w:rsidRPr="00F8728A">
              <w:rPr>
                <w:rFonts w:ascii="Calibri" w:hAnsi="Calibri" w:cs="Calibri"/>
                <w:b/>
                <w:sz w:val="22"/>
              </w:rPr>
              <w:t>2070 г.</w:t>
            </w:r>
          </w:p>
        </w:tc>
      </w:tr>
      <w:tr w:rsidR="00AA4661" w:rsidRPr="00F8728A" w:rsidTr="00B155A6">
        <w:trPr>
          <w:jc w:val="center"/>
        </w:trPr>
        <w:tc>
          <w:tcPr>
            <w:tcW w:w="2075" w:type="dxa"/>
            <w:shd w:val="clear" w:color="auto" w:fill="B8CCE4"/>
            <w:vAlign w:val="center"/>
          </w:tcPr>
          <w:p w:rsidR="00AA4661" w:rsidRPr="00F8728A" w:rsidRDefault="00AA4661" w:rsidP="00B155A6">
            <w:pPr>
              <w:spacing w:before="20" w:after="20"/>
              <w:rPr>
                <w:rFonts w:ascii="Calibri" w:hAnsi="Calibri" w:cs="Calibri"/>
                <w:b/>
                <w:szCs w:val="20"/>
              </w:rPr>
            </w:pPr>
            <w:r w:rsidRPr="00F8728A">
              <w:rPr>
                <w:rFonts w:ascii="Calibri" w:hAnsi="Calibri" w:cs="Calibri"/>
                <w:b/>
              </w:rPr>
              <w:t>I – Цел (реалистична)</w:t>
            </w:r>
          </w:p>
        </w:tc>
        <w:tc>
          <w:tcPr>
            <w:tcW w:w="1016" w:type="dxa"/>
            <w:vAlign w:val="center"/>
          </w:tcPr>
          <w:p w:rsidR="00AA4661" w:rsidRPr="00F8728A" w:rsidRDefault="00AA4661" w:rsidP="00B155A6">
            <w:pPr>
              <w:spacing w:before="20" w:after="20"/>
              <w:jc w:val="right"/>
              <w:rPr>
                <w:rFonts w:ascii="Calibri" w:hAnsi="Calibri" w:cs="Calibri"/>
              </w:rPr>
            </w:pPr>
            <w:r w:rsidRPr="00F8728A">
              <w:rPr>
                <w:rFonts w:ascii="Calibri" w:hAnsi="Calibri" w:cs="Calibri"/>
              </w:rPr>
              <w:t>7</w:t>
            </w:r>
            <w:r w:rsidR="00381124">
              <w:rPr>
                <w:rFonts w:ascii="Calibri" w:hAnsi="Calibri" w:cs="Calibri"/>
              </w:rPr>
              <w:t xml:space="preserve"> </w:t>
            </w:r>
            <w:r w:rsidRPr="00F8728A">
              <w:rPr>
                <w:rFonts w:ascii="Calibri" w:hAnsi="Calibri" w:cs="Calibri"/>
              </w:rPr>
              <w:t>168</w:t>
            </w:r>
            <w:r w:rsidR="00381124">
              <w:rPr>
                <w:rFonts w:ascii="Calibri" w:hAnsi="Calibri" w:cs="Calibri"/>
              </w:rPr>
              <w:t xml:space="preserve"> </w:t>
            </w:r>
            <w:r w:rsidRPr="00F8728A">
              <w:rPr>
                <w:rFonts w:ascii="Calibri" w:hAnsi="Calibri" w:cs="Calibri"/>
              </w:rPr>
              <w:t>009</w:t>
            </w:r>
          </w:p>
        </w:tc>
        <w:tc>
          <w:tcPr>
            <w:tcW w:w="1016" w:type="dxa"/>
            <w:vAlign w:val="center"/>
          </w:tcPr>
          <w:p w:rsidR="00AA4661" w:rsidRPr="00F8728A" w:rsidRDefault="00AA4661" w:rsidP="00B155A6">
            <w:pPr>
              <w:spacing w:before="20" w:after="20"/>
              <w:jc w:val="right"/>
              <w:rPr>
                <w:rFonts w:ascii="Calibri" w:hAnsi="Calibri" w:cs="Calibri"/>
              </w:rPr>
            </w:pPr>
            <w:r w:rsidRPr="00F8728A">
              <w:rPr>
                <w:rFonts w:ascii="Calibri" w:hAnsi="Calibri" w:cs="Calibri"/>
              </w:rPr>
              <w:t>6</w:t>
            </w:r>
            <w:r w:rsidR="00381124">
              <w:rPr>
                <w:rFonts w:ascii="Calibri" w:hAnsi="Calibri" w:cs="Calibri"/>
              </w:rPr>
              <w:t xml:space="preserve"> </w:t>
            </w:r>
            <w:r w:rsidRPr="00F8728A">
              <w:rPr>
                <w:rFonts w:ascii="Calibri" w:hAnsi="Calibri" w:cs="Calibri"/>
              </w:rPr>
              <w:t>966</w:t>
            </w:r>
            <w:r w:rsidR="00381124">
              <w:rPr>
                <w:rFonts w:ascii="Calibri" w:hAnsi="Calibri" w:cs="Calibri"/>
              </w:rPr>
              <w:t xml:space="preserve"> </w:t>
            </w:r>
            <w:r w:rsidRPr="00F8728A">
              <w:rPr>
                <w:rFonts w:ascii="Calibri" w:hAnsi="Calibri" w:cs="Calibri"/>
              </w:rPr>
              <w:t>607</w:t>
            </w:r>
          </w:p>
        </w:tc>
        <w:tc>
          <w:tcPr>
            <w:tcW w:w="1016" w:type="dxa"/>
            <w:vAlign w:val="center"/>
          </w:tcPr>
          <w:p w:rsidR="00AA4661" w:rsidRPr="00F8728A" w:rsidRDefault="00AA4661" w:rsidP="00B155A6">
            <w:pPr>
              <w:spacing w:before="20" w:after="20"/>
              <w:jc w:val="right"/>
              <w:rPr>
                <w:rFonts w:ascii="Calibri" w:hAnsi="Calibri" w:cs="Calibri"/>
              </w:rPr>
            </w:pPr>
            <w:r w:rsidRPr="00F8728A">
              <w:rPr>
                <w:rFonts w:ascii="Calibri" w:hAnsi="Calibri" w:cs="Calibri"/>
              </w:rPr>
              <w:t>6</w:t>
            </w:r>
            <w:r w:rsidR="00381124">
              <w:rPr>
                <w:rFonts w:ascii="Calibri" w:hAnsi="Calibri" w:cs="Calibri"/>
              </w:rPr>
              <w:t xml:space="preserve"> </w:t>
            </w:r>
            <w:r w:rsidRPr="00F8728A">
              <w:rPr>
                <w:rFonts w:ascii="Calibri" w:hAnsi="Calibri" w:cs="Calibri"/>
              </w:rPr>
              <w:t>554</w:t>
            </w:r>
            <w:r w:rsidR="00381124">
              <w:rPr>
                <w:rFonts w:ascii="Calibri" w:hAnsi="Calibri" w:cs="Calibri"/>
              </w:rPr>
              <w:t xml:space="preserve"> </w:t>
            </w:r>
            <w:r w:rsidRPr="00F8728A">
              <w:rPr>
                <w:rFonts w:ascii="Calibri" w:hAnsi="Calibri" w:cs="Calibri"/>
              </w:rPr>
              <w:t>784</w:t>
            </w:r>
          </w:p>
        </w:tc>
        <w:tc>
          <w:tcPr>
            <w:tcW w:w="1016" w:type="dxa"/>
            <w:vAlign w:val="center"/>
          </w:tcPr>
          <w:p w:rsidR="00AA4661" w:rsidRPr="00F8728A" w:rsidRDefault="00AA4661" w:rsidP="00B155A6">
            <w:pPr>
              <w:spacing w:before="20" w:after="20"/>
              <w:jc w:val="right"/>
              <w:rPr>
                <w:rFonts w:ascii="Calibri" w:hAnsi="Calibri" w:cs="Calibri"/>
              </w:rPr>
            </w:pPr>
            <w:r w:rsidRPr="00F8728A">
              <w:rPr>
                <w:rFonts w:ascii="Calibri" w:hAnsi="Calibri" w:cs="Calibri"/>
              </w:rPr>
              <w:t>6</w:t>
            </w:r>
            <w:r w:rsidR="00381124">
              <w:rPr>
                <w:rFonts w:ascii="Calibri" w:hAnsi="Calibri" w:cs="Calibri"/>
              </w:rPr>
              <w:t xml:space="preserve"> </w:t>
            </w:r>
            <w:r w:rsidRPr="00F8728A">
              <w:rPr>
                <w:rFonts w:ascii="Calibri" w:hAnsi="Calibri" w:cs="Calibri"/>
              </w:rPr>
              <w:t>167</w:t>
            </w:r>
            <w:r w:rsidR="00381124">
              <w:rPr>
                <w:rFonts w:ascii="Calibri" w:hAnsi="Calibri" w:cs="Calibri"/>
              </w:rPr>
              <w:t xml:space="preserve"> </w:t>
            </w:r>
            <w:r w:rsidRPr="00F8728A">
              <w:rPr>
                <w:rFonts w:ascii="Calibri" w:hAnsi="Calibri" w:cs="Calibri"/>
              </w:rPr>
              <w:t>774</w:t>
            </w:r>
          </w:p>
        </w:tc>
        <w:tc>
          <w:tcPr>
            <w:tcW w:w="1020" w:type="dxa"/>
            <w:vAlign w:val="center"/>
          </w:tcPr>
          <w:p w:rsidR="00AA4661" w:rsidRPr="00F8728A" w:rsidRDefault="00AA4661" w:rsidP="00B155A6">
            <w:pPr>
              <w:spacing w:before="20" w:after="20"/>
              <w:jc w:val="right"/>
              <w:rPr>
                <w:rFonts w:ascii="Calibri" w:hAnsi="Calibri" w:cs="Calibri"/>
              </w:rPr>
            </w:pPr>
            <w:r w:rsidRPr="00F8728A">
              <w:rPr>
                <w:rFonts w:ascii="Calibri" w:hAnsi="Calibri" w:cs="Calibri"/>
              </w:rPr>
              <w:t>5</w:t>
            </w:r>
            <w:r w:rsidR="00381124">
              <w:rPr>
                <w:rFonts w:ascii="Calibri" w:hAnsi="Calibri" w:cs="Calibri"/>
              </w:rPr>
              <w:t xml:space="preserve"> </w:t>
            </w:r>
            <w:r w:rsidRPr="00F8728A">
              <w:rPr>
                <w:rFonts w:ascii="Calibri" w:hAnsi="Calibri" w:cs="Calibri"/>
              </w:rPr>
              <w:t>813</w:t>
            </w:r>
            <w:r w:rsidR="00381124">
              <w:rPr>
                <w:rFonts w:ascii="Calibri" w:hAnsi="Calibri" w:cs="Calibri"/>
              </w:rPr>
              <w:t xml:space="preserve"> </w:t>
            </w:r>
            <w:r w:rsidRPr="00F8728A">
              <w:rPr>
                <w:rFonts w:ascii="Calibri" w:hAnsi="Calibri" w:cs="Calibri"/>
              </w:rPr>
              <w:t>550</w:t>
            </w:r>
          </w:p>
        </w:tc>
        <w:tc>
          <w:tcPr>
            <w:tcW w:w="1016" w:type="dxa"/>
            <w:vAlign w:val="center"/>
          </w:tcPr>
          <w:p w:rsidR="00AA4661" w:rsidRPr="00F8728A" w:rsidRDefault="00AA4661" w:rsidP="00B155A6">
            <w:pPr>
              <w:spacing w:before="20" w:after="20"/>
              <w:jc w:val="right"/>
              <w:rPr>
                <w:rFonts w:ascii="Calibri" w:hAnsi="Calibri" w:cs="Calibri"/>
              </w:rPr>
            </w:pPr>
            <w:r w:rsidRPr="00F8728A">
              <w:rPr>
                <w:rFonts w:ascii="Calibri" w:hAnsi="Calibri" w:cs="Calibri"/>
              </w:rPr>
              <w:t>5</w:t>
            </w:r>
            <w:r w:rsidR="00381124">
              <w:rPr>
                <w:rFonts w:ascii="Calibri" w:hAnsi="Calibri" w:cs="Calibri"/>
              </w:rPr>
              <w:t xml:space="preserve"> </w:t>
            </w:r>
            <w:r w:rsidRPr="00F8728A">
              <w:rPr>
                <w:rFonts w:ascii="Calibri" w:hAnsi="Calibri" w:cs="Calibri"/>
              </w:rPr>
              <w:t>467</w:t>
            </w:r>
            <w:r w:rsidR="00381124">
              <w:rPr>
                <w:rFonts w:ascii="Calibri" w:hAnsi="Calibri" w:cs="Calibri"/>
              </w:rPr>
              <w:t xml:space="preserve"> </w:t>
            </w:r>
            <w:r w:rsidRPr="00F8728A">
              <w:rPr>
                <w:rFonts w:ascii="Calibri" w:hAnsi="Calibri" w:cs="Calibri"/>
              </w:rPr>
              <w:t>629</w:t>
            </w:r>
          </w:p>
        </w:tc>
        <w:tc>
          <w:tcPr>
            <w:tcW w:w="1016" w:type="dxa"/>
            <w:vAlign w:val="center"/>
          </w:tcPr>
          <w:p w:rsidR="00AA4661" w:rsidRPr="00F8728A" w:rsidRDefault="00AA4661" w:rsidP="00B155A6">
            <w:pPr>
              <w:spacing w:before="20" w:after="20"/>
              <w:jc w:val="right"/>
              <w:rPr>
                <w:rFonts w:ascii="Calibri" w:hAnsi="Calibri" w:cs="Calibri"/>
              </w:rPr>
            </w:pPr>
            <w:r w:rsidRPr="00F8728A">
              <w:rPr>
                <w:rFonts w:ascii="Calibri" w:hAnsi="Calibri" w:cs="Calibri"/>
              </w:rPr>
              <w:t>5</w:t>
            </w:r>
            <w:r w:rsidR="00381124">
              <w:rPr>
                <w:rFonts w:ascii="Calibri" w:hAnsi="Calibri" w:cs="Calibri"/>
              </w:rPr>
              <w:t xml:space="preserve"> </w:t>
            </w:r>
            <w:r w:rsidRPr="00F8728A">
              <w:rPr>
                <w:rFonts w:ascii="Calibri" w:hAnsi="Calibri" w:cs="Calibri"/>
              </w:rPr>
              <w:t>132</w:t>
            </w:r>
            <w:r w:rsidR="00381124">
              <w:rPr>
                <w:rFonts w:ascii="Calibri" w:hAnsi="Calibri" w:cs="Calibri"/>
              </w:rPr>
              <w:t xml:space="preserve"> </w:t>
            </w:r>
            <w:r w:rsidRPr="00F8728A">
              <w:rPr>
                <w:rFonts w:ascii="Calibri" w:hAnsi="Calibri" w:cs="Calibri"/>
              </w:rPr>
              <w:t>023</w:t>
            </w:r>
          </w:p>
        </w:tc>
      </w:tr>
      <w:tr w:rsidR="00AA4661" w:rsidRPr="00F8728A" w:rsidTr="00B155A6">
        <w:trPr>
          <w:jc w:val="center"/>
        </w:trPr>
        <w:tc>
          <w:tcPr>
            <w:tcW w:w="2075" w:type="dxa"/>
            <w:shd w:val="clear" w:color="auto" w:fill="B8CCE4"/>
            <w:vAlign w:val="center"/>
          </w:tcPr>
          <w:p w:rsidR="00AA4661" w:rsidRPr="00F8728A" w:rsidRDefault="00AA4661" w:rsidP="00B155A6">
            <w:pPr>
              <w:spacing w:before="20" w:after="20"/>
              <w:rPr>
                <w:rFonts w:ascii="Calibri" w:hAnsi="Calibri" w:cs="Calibri"/>
                <w:b/>
                <w:szCs w:val="20"/>
              </w:rPr>
            </w:pPr>
            <w:r w:rsidRPr="00F8728A">
              <w:rPr>
                <w:rFonts w:ascii="Calibri" w:hAnsi="Calibri" w:cs="Calibri"/>
                <w:b/>
              </w:rPr>
              <w:t>II – Сравнително ускорение</w:t>
            </w:r>
          </w:p>
        </w:tc>
        <w:tc>
          <w:tcPr>
            <w:tcW w:w="1016" w:type="dxa"/>
            <w:vAlign w:val="center"/>
          </w:tcPr>
          <w:p w:rsidR="00AA4661" w:rsidRPr="00F8728A" w:rsidRDefault="00AA4661" w:rsidP="00B155A6">
            <w:pPr>
              <w:spacing w:before="20" w:after="20"/>
              <w:jc w:val="right"/>
              <w:rPr>
                <w:rFonts w:ascii="Calibri" w:hAnsi="Calibri" w:cs="Calibri"/>
              </w:rPr>
            </w:pPr>
            <w:r w:rsidRPr="00F8728A">
              <w:rPr>
                <w:rFonts w:ascii="Calibri" w:hAnsi="Calibri" w:cs="Calibri"/>
              </w:rPr>
              <w:t>7</w:t>
            </w:r>
            <w:r w:rsidR="00381124">
              <w:rPr>
                <w:rFonts w:ascii="Calibri" w:hAnsi="Calibri" w:cs="Calibri"/>
              </w:rPr>
              <w:t xml:space="preserve"> </w:t>
            </w:r>
            <w:r w:rsidRPr="00F8728A">
              <w:rPr>
                <w:rFonts w:ascii="Calibri" w:hAnsi="Calibri" w:cs="Calibri"/>
              </w:rPr>
              <w:t>178</w:t>
            </w:r>
            <w:r w:rsidR="00381124">
              <w:rPr>
                <w:rFonts w:ascii="Calibri" w:hAnsi="Calibri" w:cs="Calibri"/>
              </w:rPr>
              <w:t xml:space="preserve"> </w:t>
            </w:r>
            <w:r w:rsidRPr="00F8728A">
              <w:rPr>
                <w:rFonts w:ascii="Calibri" w:hAnsi="Calibri" w:cs="Calibri"/>
              </w:rPr>
              <w:t>343</w:t>
            </w:r>
          </w:p>
        </w:tc>
        <w:tc>
          <w:tcPr>
            <w:tcW w:w="1016" w:type="dxa"/>
            <w:vAlign w:val="center"/>
          </w:tcPr>
          <w:p w:rsidR="00AA4661" w:rsidRPr="00F8728A" w:rsidRDefault="00AA4661" w:rsidP="00B155A6">
            <w:pPr>
              <w:spacing w:before="20" w:after="20"/>
              <w:jc w:val="right"/>
              <w:rPr>
                <w:rFonts w:ascii="Calibri" w:hAnsi="Calibri" w:cs="Calibri"/>
              </w:rPr>
            </w:pPr>
            <w:r w:rsidRPr="00F8728A">
              <w:rPr>
                <w:rFonts w:ascii="Calibri" w:hAnsi="Calibri" w:cs="Calibri"/>
              </w:rPr>
              <w:t>7</w:t>
            </w:r>
            <w:r w:rsidR="00381124">
              <w:rPr>
                <w:rFonts w:ascii="Calibri" w:hAnsi="Calibri" w:cs="Calibri"/>
              </w:rPr>
              <w:t xml:space="preserve"> </w:t>
            </w:r>
            <w:r w:rsidRPr="00F8728A">
              <w:rPr>
                <w:rFonts w:ascii="Calibri" w:hAnsi="Calibri" w:cs="Calibri"/>
              </w:rPr>
              <w:t>006</w:t>
            </w:r>
            <w:r w:rsidR="00381124">
              <w:rPr>
                <w:rFonts w:ascii="Calibri" w:hAnsi="Calibri" w:cs="Calibri"/>
              </w:rPr>
              <w:t xml:space="preserve"> </w:t>
            </w:r>
            <w:r w:rsidRPr="00F8728A">
              <w:rPr>
                <w:rFonts w:ascii="Calibri" w:hAnsi="Calibri" w:cs="Calibri"/>
              </w:rPr>
              <w:t>278</w:t>
            </w:r>
          </w:p>
        </w:tc>
        <w:tc>
          <w:tcPr>
            <w:tcW w:w="1016" w:type="dxa"/>
            <w:vAlign w:val="center"/>
          </w:tcPr>
          <w:p w:rsidR="00AA4661" w:rsidRPr="00F8728A" w:rsidRDefault="00AA4661" w:rsidP="00B155A6">
            <w:pPr>
              <w:spacing w:before="20" w:after="20"/>
              <w:jc w:val="right"/>
              <w:rPr>
                <w:rFonts w:ascii="Calibri" w:hAnsi="Calibri" w:cs="Calibri"/>
              </w:rPr>
            </w:pPr>
            <w:r w:rsidRPr="00F8728A">
              <w:rPr>
                <w:rFonts w:ascii="Calibri" w:hAnsi="Calibri" w:cs="Calibri"/>
              </w:rPr>
              <w:t>6</w:t>
            </w:r>
            <w:r w:rsidR="00381124">
              <w:rPr>
                <w:rFonts w:ascii="Calibri" w:hAnsi="Calibri" w:cs="Calibri"/>
              </w:rPr>
              <w:t xml:space="preserve"> </w:t>
            </w:r>
            <w:r w:rsidRPr="00F8728A">
              <w:rPr>
                <w:rFonts w:ascii="Calibri" w:hAnsi="Calibri" w:cs="Calibri"/>
              </w:rPr>
              <w:t>677</w:t>
            </w:r>
            <w:r w:rsidR="00381124">
              <w:rPr>
                <w:rFonts w:ascii="Calibri" w:hAnsi="Calibri" w:cs="Calibri"/>
              </w:rPr>
              <w:t xml:space="preserve"> </w:t>
            </w:r>
            <w:r w:rsidRPr="00F8728A">
              <w:rPr>
                <w:rFonts w:ascii="Calibri" w:hAnsi="Calibri" w:cs="Calibri"/>
              </w:rPr>
              <w:t>652</w:t>
            </w:r>
          </w:p>
        </w:tc>
        <w:tc>
          <w:tcPr>
            <w:tcW w:w="1016" w:type="dxa"/>
            <w:vAlign w:val="center"/>
          </w:tcPr>
          <w:p w:rsidR="00AA4661" w:rsidRPr="00F8728A" w:rsidRDefault="00AA4661" w:rsidP="00B155A6">
            <w:pPr>
              <w:spacing w:before="20" w:after="20"/>
              <w:jc w:val="right"/>
              <w:rPr>
                <w:rFonts w:ascii="Calibri" w:hAnsi="Calibri" w:cs="Calibri"/>
              </w:rPr>
            </w:pPr>
            <w:r w:rsidRPr="00F8728A">
              <w:rPr>
                <w:rFonts w:ascii="Calibri" w:hAnsi="Calibri" w:cs="Calibri"/>
              </w:rPr>
              <w:t>6</w:t>
            </w:r>
            <w:r w:rsidR="00381124">
              <w:rPr>
                <w:rFonts w:ascii="Calibri" w:hAnsi="Calibri" w:cs="Calibri"/>
              </w:rPr>
              <w:t xml:space="preserve"> </w:t>
            </w:r>
            <w:r w:rsidRPr="00F8728A">
              <w:rPr>
                <w:rFonts w:ascii="Calibri" w:hAnsi="Calibri" w:cs="Calibri"/>
              </w:rPr>
              <w:t>377</w:t>
            </w:r>
            <w:r w:rsidR="00381124">
              <w:rPr>
                <w:rFonts w:ascii="Calibri" w:hAnsi="Calibri" w:cs="Calibri"/>
              </w:rPr>
              <w:t xml:space="preserve"> </w:t>
            </w:r>
            <w:r w:rsidRPr="00F8728A">
              <w:rPr>
                <w:rFonts w:ascii="Calibri" w:hAnsi="Calibri" w:cs="Calibri"/>
              </w:rPr>
              <w:t>962</w:t>
            </w:r>
          </w:p>
        </w:tc>
        <w:tc>
          <w:tcPr>
            <w:tcW w:w="1020" w:type="dxa"/>
            <w:vAlign w:val="center"/>
          </w:tcPr>
          <w:p w:rsidR="00AA4661" w:rsidRPr="00F8728A" w:rsidRDefault="00AA4661" w:rsidP="00B155A6">
            <w:pPr>
              <w:spacing w:before="20" w:after="20"/>
              <w:jc w:val="right"/>
              <w:rPr>
                <w:rFonts w:ascii="Calibri" w:hAnsi="Calibri" w:cs="Calibri"/>
              </w:rPr>
            </w:pPr>
            <w:r w:rsidRPr="00F8728A">
              <w:rPr>
                <w:rFonts w:ascii="Calibri" w:hAnsi="Calibri" w:cs="Calibri"/>
              </w:rPr>
              <w:t>6</w:t>
            </w:r>
            <w:r w:rsidR="00381124">
              <w:rPr>
                <w:rFonts w:ascii="Calibri" w:hAnsi="Calibri" w:cs="Calibri"/>
              </w:rPr>
              <w:t xml:space="preserve"> </w:t>
            </w:r>
            <w:r w:rsidRPr="00F8728A">
              <w:rPr>
                <w:rFonts w:ascii="Calibri" w:hAnsi="Calibri" w:cs="Calibri"/>
              </w:rPr>
              <w:t>097</w:t>
            </w:r>
            <w:r w:rsidR="00381124">
              <w:rPr>
                <w:rFonts w:ascii="Calibri" w:hAnsi="Calibri" w:cs="Calibri"/>
              </w:rPr>
              <w:t xml:space="preserve"> </w:t>
            </w:r>
            <w:r w:rsidRPr="00F8728A">
              <w:rPr>
                <w:rFonts w:ascii="Calibri" w:hAnsi="Calibri" w:cs="Calibri"/>
              </w:rPr>
              <w:t>764</w:t>
            </w:r>
          </w:p>
        </w:tc>
        <w:tc>
          <w:tcPr>
            <w:tcW w:w="1016" w:type="dxa"/>
            <w:vAlign w:val="center"/>
          </w:tcPr>
          <w:p w:rsidR="00AA4661" w:rsidRPr="00F8728A" w:rsidRDefault="00AA4661" w:rsidP="00B155A6">
            <w:pPr>
              <w:spacing w:before="20" w:after="20"/>
              <w:jc w:val="right"/>
              <w:rPr>
                <w:rFonts w:ascii="Calibri" w:hAnsi="Calibri" w:cs="Calibri"/>
              </w:rPr>
            </w:pPr>
            <w:r w:rsidRPr="00F8728A">
              <w:rPr>
                <w:rFonts w:ascii="Calibri" w:hAnsi="Calibri" w:cs="Calibri"/>
              </w:rPr>
              <w:t>5</w:t>
            </w:r>
            <w:r w:rsidR="00381124">
              <w:rPr>
                <w:rFonts w:ascii="Calibri" w:hAnsi="Calibri" w:cs="Calibri"/>
              </w:rPr>
              <w:t xml:space="preserve"> </w:t>
            </w:r>
            <w:r w:rsidRPr="00F8728A">
              <w:rPr>
                <w:rFonts w:ascii="Calibri" w:hAnsi="Calibri" w:cs="Calibri"/>
              </w:rPr>
              <w:t>810</w:t>
            </w:r>
            <w:r w:rsidR="00381124">
              <w:rPr>
                <w:rFonts w:ascii="Calibri" w:hAnsi="Calibri" w:cs="Calibri"/>
              </w:rPr>
              <w:t xml:space="preserve"> </w:t>
            </w:r>
            <w:r w:rsidRPr="00F8728A">
              <w:rPr>
                <w:rFonts w:ascii="Calibri" w:hAnsi="Calibri" w:cs="Calibri"/>
              </w:rPr>
              <w:t>092</w:t>
            </w:r>
          </w:p>
        </w:tc>
        <w:tc>
          <w:tcPr>
            <w:tcW w:w="1016" w:type="dxa"/>
            <w:vAlign w:val="center"/>
          </w:tcPr>
          <w:p w:rsidR="00AA4661" w:rsidRPr="00F8728A" w:rsidRDefault="00AA4661" w:rsidP="00B155A6">
            <w:pPr>
              <w:spacing w:before="20" w:after="20"/>
              <w:jc w:val="right"/>
              <w:rPr>
                <w:rFonts w:ascii="Calibri" w:hAnsi="Calibri" w:cs="Calibri"/>
              </w:rPr>
            </w:pPr>
            <w:r w:rsidRPr="00F8728A">
              <w:rPr>
                <w:rFonts w:ascii="Calibri" w:hAnsi="Calibri" w:cs="Calibri"/>
              </w:rPr>
              <w:t>5</w:t>
            </w:r>
            <w:r w:rsidR="00381124">
              <w:rPr>
                <w:rFonts w:ascii="Calibri" w:hAnsi="Calibri" w:cs="Calibri"/>
              </w:rPr>
              <w:t xml:space="preserve"> </w:t>
            </w:r>
            <w:r w:rsidRPr="00F8728A">
              <w:rPr>
                <w:rFonts w:ascii="Calibri" w:hAnsi="Calibri" w:cs="Calibri"/>
              </w:rPr>
              <w:t>500</w:t>
            </w:r>
            <w:r w:rsidR="00381124">
              <w:rPr>
                <w:rFonts w:ascii="Calibri" w:hAnsi="Calibri" w:cs="Calibri"/>
              </w:rPr>
              <w:t xml:space="preserve"> </w:t>
            </w:r>
            <w:r w:rsidRPr="00F8728A">
              <w:rPr>
                <w:rFonts w:ascii="Calibri" w:hAnsi="Calibri" w:cs="Calibri"/>
              </w:rPr>
              <w:t>114</w:t>
            </w:r>
          </w:p>
        </w:tc>
      </w:tr>
      <w:tr w:rsidR="00AA4661" w:rsidRPr="00F8728A" w:rsidTr="00B155A6">
        <w:trPr>
          <w:jc w:val="center"/>
        </w:trPr>
        <w:tc>
          <w:tcPr>
            <w:tcW w:w="2075" w:type="dxa"/>
            <w:shd w:val="clear" w:color="auto" w:fill="B8CCE4"/>
            <w:vAlign w:val="center"/>
          </w:tcPr>
          <w:p w:rsidR="00AA4661" w:rsidRPr="00F8728A" w:rsidRDefault="00AA4661" w:rsidP="00B155A6">
            <w:pPr>
              <w:spacing w:before="20" w:after="20"/>
              <w:rPr>
                <w:rFonts w:ascii="Calibri" w:hAnsi="Calibri" w:cs="Calibri"/>
                <w:b/>
                <w:szCs w:val="20"/>
              </w:rPr>
            </w:pPr>
            <w:r w:rsidRPr="00F8728A">
              <w:rPr>
                <w:rFonts w:ascii="Calibri" w:hAnsi="Calibri" w:cs="Calibri"/>
                <w:b/>
              </w:rPr>
              <w:t xml:space="preserve">III – </w:t>
            </w:r>
            <w:r w:rsidRPr="00F8728A">
              <w:rPr>
                <w:rFonts w:ascii="Calibri" w:hAnsi="Calibri" w:cs="Calibri"/>
                <w:b/>
                <w:color w:val="000000"/>
                <w:szCs w:val="20"/>
              </w:rPr>
              <w:t>Сравнително забавяне</w:t>
            </w:r>
          </w:p>
        </w:tc>
        <w:tc>
          <w:tcPr>
            <w:tcW w:w="1016" w:type="dxa"/>
            <w:vAlign w:val="center"/>
          </w:tcPr>
          <w:p w:rsidR="00AA4661" w:rsidRPr="00F8728A" w:rsidRDefault="00AA4661" w:rsidP="00B155A6">
            <w:pPr>
              <w:spacing w:before="20" w:after="20"/>
              <w:jc w:val="right"/>
              <w:rPr>
                <w:rFonts w:ascii="Calibri" w:hAnsi="Calibri" w:cs="Calibri"/>
              </w:rPr>
            </w:pPr>
            <w:r w:rsidRPr="00F8728A">
              <w:rPr>
                <w:rFonts w:ascii="Calibri" w:hAnsi="Calibri" w:cs="Calibri"/>
              </w:rPr>
              <w:t>7</w:t>
            </w:r>
            <w:r w:rsidR="00381124">
              <w:rPr>
                <w:rFonts w:ascii="Calibri" w:hAnsi="Calibri" w:cs="Calibri"/>
              </w:rPr>
              <w:t xml:space="preserve"> </w:t>
            </w:r>
            <w:r w:rsidRPr="00F8728A">
              <w:rPr>
                <w:rFonts w:ascii="Calibri" w:hAnsi="Calibri" w:cs="Calibri"/>
              </w:rPr>
              <w:t>163</w:t>
            </w:r>
            <w:r w:rsidR="00381124">
              <w:rPr>
                <w:rFonts w:ascii="Calibri" w:hAnsi="Calibri" w:cs="Calibri"/>
              </w:rPr>
              <w:t xml:space="preserve"> </w:t>
            </w:r>
            <w:r w:rsidRPr="00F8728A">
              <w:rPr>
                <w:rFonts w:ascii="Calibri" w:hAnsi="Calibri" w:cs="Calibri"/>
              </w:rPr>
              <w:t>065</w:t>
            </w:r>
          </w:p>
        </w:tc>
        <w:tc>
          <w:tcPr>
            <w:tcW w:w="1016" w:type="dxa"/>
            <w:vAlign w:val="center"/>
          </w:tcPr>
          <w:p w:rsidR="00AA4661" w:rsidRPr="00F8728A" w:rsidRDefault="00AA4661" w:rsidP="00B155A6">
            <w:pPr>
              <w:spacing w:before="20" w:after="20"/>
              <w:jc w:val="right"/>
              <w:rPr>
                <w:rFonts w:ascii="Calibri" w:hAnsi="Calibri" w:cs="Calibri"/>
              </w:rPr>
            </w:pPr>
            <w:r w:rsidRPr="00F8728A">
              <w:rPr>
                <w:rFonts w:ascii="Calibri" w:hAnsi="Calibri" w:cs="Calibri"/>
              </w:rPr>
              <w:t>6</w:t>
            </w:r>
            <w:r w:rsidR="00381124">
              <w:rPr>
                <w:rFonts w:ascii="Calibri" w:hAnsi="Calibri" w:cs="Calibri"/>
              </w:rPr>
              <w:t xml:space="preserve"> </w:t>
            </w:r>
            <w:r w:rsidRPr="00F8728A">
              <w:rPr>
                <w:rFonts w:ascii="Calibri" w:hAnsi="Calibri" w:cs="Calibri"/>
              </w:rPr>
              <w:t>947</w:t>
            </w:r>
            <w:r w:rsidR="00381124">
              <w:rPr>
                <w:rFonts w:ascii="Calibri" w:hAnsi="Calibri" w:cs="Calibri"/>
              </w:rPr>
              <w:t xml:space="preserve"> </w:t>
            </w:r>
            <w:r w:rsidRPr="00F8728A">
              <w:rPr>
                <w:rFonts w:ascii="Calibri" w:hAnsi="Calibri" w:cs="Calibri"/>
              </w:rPr>
              <w:t>381</w:t>
            </w:r>
          </w:p>
        </w:tc>
        <w:tc>
          <w:tcPr>
            <w:tcW w:w="1016" w:type="dxa"/>
            <w:vAlign w:val="center"/>
          </w:tcPr>
          <w:p w:rsidR="00AA4661" w:rsidRPr="00F8728A" w:rsidRDefault="00AA4661" w:rsidP="00B155A6">
            <w:pPr>
              <w:spacing w:before="20" w:after="20"/>
              <w:jc w:val="right"/>
              <w:rPr>
                <w:rFonts w:ascii="Calibri" w:hAnsi="Calibri" w:cs="Calibri"/>
              </w:rPr>
            </w:pPr>
            <w:r w:rsidRPr="00F8728A">
              <w:rPr>
                <w:rFonts w:ascii="Calibri" w:hAnsi="Calibri" w:cs="Calibri"/>
              </w:rPr>
              <w:t>6</w:t>
            </w:r>
            <w:r w:rsidR="00381124">
              <w:rPr>
                <w:rFonts w:ascii="Calibri" w:hAnsi="Calibri" w:cs="Calibri"/>
              </w:rPr>
              <w:t xml:space="preserve"> </w:t>
            </w:r>
            <w:r w:rsidRPr="00F8728A">
              <w:rPr>
                <w:rFonts w:ascii="Calibri" w:hAnsi="Calibri" w:cs="Calibri"/>
              </w:rPr>
              <w:t>493</w:t>
            </w:r>
            <w:r w:rsidR="00381124">
              <w:rPr>
                <w:rFonts w:ascii="Calibri" w:hAnsi="Calibri" w:cs="Calibri"/>
              </w:rPr>
              <w:t xml:space="preserve"> </w:t>
            </w:r>
            <w:r w:rsidRPr="00F8728A">
              <w:rPr>
                <w:rFonts w:ascii="Calibri" w:hAnsi="Calibri" w:cs="Calibri"/>
              </w:rPr>
              <w:t>971</w:t>
            </w:r>
          </w:p>
        </w:tc>
        <w:tc>
          <w:tcPr>
            <w:tcW w:w="1016" w:type="dxa"/>
            <w:vAlign w:val="center"/>
          </w:tcPr>
          <w:p w:rsidR="00AA4661" w:rsidRPr="00F8728A" w:rsidRDefault="00AA4661" w:rsidP="00B155A6">
            <w:pPr>
              <w:spacing w:before="20" w:after="20"/>
              <w:jc w:val="right"/>
              <w:rPr>
                <w:rFonts w:ascii="Calibri" w:hAnsi="Calibri" w:cs="Calibri"/>
              </w:rPr>
            </w:pPr>
            <w:r w:rsidRPr="00F8728A">
              <w:rPr>
                <w:rFonts w:ascii="Calibri" w:hAnsi="Calibri" w:cs="Calibri"/>
              </w:rPr>
              <w:t>6</w:t>
            </w:r>
            <w:r w:rsidR="00381124">
              <w:rPr>
                <w:rFonts w:ascii="Calibri" w:hAnsi="Calibri" w:cs="Calibri"/>
              </w:rPr>
              <w:t xml:space="preserve"> </w:t>
            </w:r>
            <w:r w:rsidRPr="00F8728A">
              <w:rPr>
                <w:rFonts w:ascii="Calibri" w:hAnsi="Calibri" w:cs="Calibri"/>
              </w:rPr>
              <w:t>062</w:t>
            </w:r>
            <w:r w:rsidR="00381124">
              <w:rPr>
                <w:rFonts w:ascii="Calibri" w:hAnsi="Calibri" w:cs="Calibri"/>
              </w:rPr>
              <w:t xml:space="preserve"> </w:t>
            </w:r>
            <w:r w:rsidRPr="00F8728A">
              <w:rPr>
                <w:rFonts w:ascii="Calibri" w:hAnsi="Calibri" w:cs="Calibri"/>
              </w:rPr>
              <w:t>456</w:t>
            </w:r>
          </w:p>
        </w:tc>
        <w:tc>
          <w:tcPr>
            <w:tcW w:w="1020" w:type="dxa"/>
            <w:vAlign w:val="center"/>
          </w:tcPr>
          <w:p w:rsidR="00AA4661" w:rsidRPr="00F8728A" w:rsidRDefault="00AA4661" w:rsidP="00B155A6">
            <w:pPr>
              <w:spacing w:before="20" w:after="20"/>
              <w:jc w:val="right"/>
              <w:rPr>
                <w:rFonts w:ascii="Calibri" w:hAnsi="Calibri" w:cs="Calibri"/>
              </w:rPr>
            </w:pPr>
            <w:r w:rsidRPr="00F8728A">
              <w:rPr>
                <w:rFonts w:ascii="Calibri" w:hAnsi="Calibri" w:cs="Calibri"/>
              </w:rPr>
              <w:t>5</w:t>
            </w:r>
            <w:r w:rsidR="00381124">
              <w:rPr>
                <w:rFonts w:ascii="Calibri" w:hAnsi="Calibri" w:cs="Calibri"/>
              </w:rPr>
              <w:t xml:space="preserve"> </w:t>
            </w:r>
            <w:r w:rsidRPr="00F8728A">
              <w:rPr>
                <w:rFonts w:ascii="Calibri" w:hAnsi="Calibri" w:cs="Calibri"/>
              </w:rPr>
              <w:t>668</w:t>
            </w:r>
            <w:r w:rsidR="00381124">
              <w:rPr>
                <w:rFonts w:ascii="Calibri" w:hAnsi="Calibri" w:cs="Calibri"/>
              </w:rPr>
              <w:t xml:space="preserve"> </w:t>
            </w:r>
            <w:r w:rsidRPr="00F8728A">
              <w:rPr>
                <w:rFonts w:ascii="Calibri" w:hAnsi="Calibri" w:cs="Calibri"/>
              </w:rPr>
              <w:t>504</w:t>
            </w:r>
          </w:p>
        </w:tc>
        <w:tc>
          <w:tcPr>
            <w:tcW w:w="1016" w:type="dxa"/>
            <w:vAlign w:val="center"/>
          </w:tcPr>
          <w:p w:rsidR="00AA4661" w:rsidRPr="00F8728A" w:rsidRDefault="00AA4661" w:rsidP="00B155A6">
            <w:pPr>
              <w:spacing w:before="20" w:after="20"/>
              <w:jc w:val="right"/>
              <w:rPr>
                <w:rFonts w:ascii="Calibri" w:hAnsi="Calibri" w:cs="Calibri"/>
              </w:rPr>
            </w:pPr>
            <w:r w:rsidRPr="00F8728A">
              <w:rPr>
                <w:rFonts w:ascii="Calibri" w:hAnsi="Calibri" w:cs="Calibri"/>
              </w:rPr>
              <w:t>5</w:t>
            </w:r>
            <w:r w:rsidR="00381124">
              <w:rPr>
                <w:rFonts w:ascii="Calibri" w:hAnsi="Calibri" w:cs="Calibri"/>
              </w:rPr>
              <w:t xml:space="preserve"> </w:t>
            </w:r>
            <w:r w:rsidRPr="00F8728A">
              <w:rPr>
                <w:rFonts w:ascii="Calibri" w:hAnsi="Calibri" w:cs="Calibri"/>
              </w:rPr>
              <w:t>289</w:t>
            </w:r>
            <w:r w:rsidR="00381124">
              <w:rPr>
                <w:rFonts w:ascii="Calibri" w:hAnsi="Calibri" w:cs="Calibri"/>
              </w:rPr>
              <w:t xml:space="preserve"> </w:t>
            </w:r>
            <w:r w:rsidRPr="00F8728A">
              <w:rPr>
                <w:rFonts w:ascii="Calibri" w:hAnsi="Calibri" w:cs="Calibri"/>
              </w:rPr>
              <w:t>923</w:t>
            </w:r>
          </w:p>
        </w:tc>
        <w:tc>
          <w:tcPr>
            <w:tcW w:w="1016" w:type="dxa"/>
            <w:vAlign w:val="center"/>
          </w:tcPr>
          <w:p w:rsidR="00AA4661" w:rsidRPr="00F8728A" w:rsidRDefault="00AA4661" w:rsidP="00B155A6">
            <w:pPr>
              <w:spacing w:before="20" w:after="20"/>
              <w:jc w:val="right"/>
              <w:rPr>
                <w:rFonts w:ascii="Calibri" w:hAnsi="Calibri" w:cs="Calibri"/>
              </w:rPr>
            </w:pPr>
            <w:r w:rsidRPr="00F8728A">
              <w:rPr>
                <w:rFonts w:ascii="Calibri" w:hAnsi="Calibri" w:cs="Calibri"/>
              </w:rPr>
              <w:t>4</w:t>
            </w:r>
            <w:r w:rsidR="00381124">
              <w:rPr>
                <w:rFonts w:ascii="Calibri" w:hAnsi="Calibri" w:cs="Calibri"/>
              </w:rPr>
              <w:t xml:space="preserve"> </w:t>
            </w:r>
            <w:r w:rsidRPr="00F8728A">
              <w:rPr>
                <w:rFonts w:ascii="Calibri" w:hAnsi="Calibri" w:cs="Calibri"/>
              </w:rPr>
              <w:t>938</w:t>
            </w:r>
            <w:r w:rsidR="00381124">
              <w:rPr>
                <w:rFonts w:ascii="Calibri" w:hAnsi="Calibri" w:cs="Calibri"/>
              </w:rPr>
              <w:t xml:space="preserve"> </w:t>
            </w:r>
            <w:r w:rsidRPr="00F8728A">
              <w:rPr>
                <w:rFonts w:ascii="Calibri" w:hAnsi="Calibri" w:cs="Calibri"/>
              </w:rPr>
              <w:t>709</w:t>
            </w:r>
          </w:p>
        </w:tc>
      </w:tr>
    </w:tbl>
    <w:p w:rsidR="00AA4661" w:rsidRPr="00F8728A" w:rsidRDefault="00AA4661" w:rsidP="001B57A4">
      <w:pPr>
        <w:pStyle w:val="Source"/>
        <w:spacing w:after="60"/>
        <w:jc w:val="center"/>
      </w:pPr>
      <w:r w:rsidRPr="00F8728A">
        <w:t>Източник: НСИ.</w:t>
      </w:r>
    </w:p>
    <w:p w:rsidR="00AA4661" w:rsidRPr="00B73D7E" w:rsidRDefault="00AA4661" w:rsidP="00491557">
      <w:pPr>
        <w:pStyle w:val="Heading4"/>
        <w:rPr>
          <w:lang w:val="bg-BG"/>
        </w:rPr>
      </w:pPr>
      <w:r w:rsidRPr="00B73D7E">
        <w:rPr>
          <w:lang w:val="bg-BG"/>
        </w:rPr>
        <w:t>Бедност</w:t>
      </w:r>
    </w:p>
    <w:p w:rsidR="00AA4661" w:rsidRPr="00B73D7E" w:rsidRDefault="00AA4661" w:rsidP="00CF297A">
      <w:pPr>
        <w:pStyle w:val="BodyText"/>
        <w:numPr>
          <w:ilvl w:val="0"/>
          <w:numId w:val="41"/>
        </w:numPr>
        <w:ind w:left="0" w:firstLine="0"/>
        <w:rPr>
          <w:lang w:val="bg-BG"/>
        </w:rPr>
      </w:pPr>
      <w:r w:rsidRPr="00B73D7E">
        <w:rPr>
          <w:lang w:val="bg-BG"/>
        </w:rPr>
        <w:t>Допълнителен проблем, наред с намаляването и застаряването на населението, е бедността. Делът на бедните през 2015 г. е 22 процента, като 25 процента от бедните са между 0 и 17 годишна възраст. Най-уязвими са едночленните домакинства на възраст над 65 години (53 процента) и възрастните с три или повече зависими деца (66 процента).</w:t>
      </w:r>
      <w:r w:rsidRPr="00B73D7E">
        <w:rPr>
          <w:rStyle w:val="FootnoteReference"/>
          <w:color w:val="000000"/>
          <w:lang w:val="bg-BG"/>
        </w:rPr>
        <w:footnoteReference w:id="6"/>
      </w:r>
      <w:r w:rsidRPr="00B73D7E">
        <w:rPr>
          <w:lang w:val="bg-BG"/>
        </w:rPr>
        <w:t xml:space="preserve"> Най-високият дял бедни лица по икономическа активност е при безработните (53 процента), и в зависимост от декларираната етническа група – при ромите (67 процента). През 2015 г. почти едно от осем (13 процента) пенсионирани лица в 28</w:t>
      </w:r>
      <w:r w:rsidR="00381124" w:rsidRPr="00B73D7E">
        <w:rPr>
          <w:vertAlign w:val="superscript"/>
          <w:lang w:val="en-US"/>
        </w:rPr>
        <w:t>-</w:t>
      </w:r>
      <w:r w:rsidRPr="00B73D7E">
        <w:rPr>
          <w:vertAlign w:val="superscript"/>
          <w:lang w:val="bg-BG"/>
        </w:rPr>
        <w:t>те</w:t>
      </w:r>
      <w:r w:rsidRPr="00B73D7E">
        <w:rPr>
          <w:lang w:val="bg-BG"/>
        </w:rPr>
        <w:t xml:space="preserve"> държави–членки на ЕС, са изложени на риск от бедност, докато в България тази цифра е повече от два пъти по-висока, а именно 30 процента)</w:t>
      </w:r>
      <w:r w:rsidRPr="00B73D7E">
        <w:rPr>
          <w:rStyle w:val="FootnoteReference"/>
          <w:color w:val="000000"/>
          <w:lang w:val="bg-BG"/>
        </w:rPr>
        <w:footnoteReference w:id="7"/>
      </w:r>
      <w:r w:rsidRPr="00B73D7E">
        <w:rPr>
          <w:lang w:val="bg-BG"/>
        </w:rPr>
        <w:t xml:space="preserve">. </w:t>
      </w:r>
    </w:p>
    <w:p w:rsidR="00AA4661" w:rsidRPr="00B73D7E" w:rsidRDefault="00AA4661" w:rsidP="00CF297A">
      <w:pPr>
        <w:pStyle w:val="BodyText"/>
        <w:numPr>
          <w:ilvl w:val="0"/>
          <w:numId w:val="41"/>
        </w:numPr>
        <w:ind w:left="0" w:firstLine="0"/>
        <w:rPr>
          <w:lang w:val="bg-BG"/>
        </w:rPr>
      </w:pPr>
      <w:r w:rsidRPr="00B73D7E">
        <w:rPr>
          <w:lang w:val="bg-BG"/>
        </w:rPr>
        <w:t>Най-значителният дял както на потребителските разходи, така и на общите домакински разходи, е този за храна. От 1999 г. насам протича процес на постепенно намаляване на относителния дял на разходите за храна, възлизайки на 44 процента от общите разходи. Този дял продължава да спада до 36 процента през 2011 г. и до 31 процента през 2016 г. По данни на Евростат към 2014 г. България е една от трите държави с най-висок дял на „енергийна бедност“ заедно с Гърция и Унгария. Делът на населението под прага на бедността, което не може да покрива своите домакински сметки, е 58 процента, докато 66 процента не могат да си позволят да отопляват домовете си, а 23 процента живеят в домове с влажни стени. Разходите за електричество на около 25 процента от бедните домакинства в България са 20 процента и повече от месечните им доходи (Захариев, Григорова и Йорданов, 2016 г.).</w:t>
      </w:r>
    </w:p>
    <w:p w:rsidR="00AA4661" w:rsidRPr="00B73D7E" w:rsidRDefault="00AA4661" w:rsidP="00B73D7E">
      <w:pPr>
        <w:pStyle w:val="BodyText"/>
        <w:numPr>
          <w:ilvl w:val="0"/>
          <w:numId w:val="41"/>
        </w:numPr>
        <w:spacing w:after="0"/>
        <w:ind w:left="0" w:firstLine="0"/>
        <w:rPr>
          <w:color w:val="000000"/>
          <w:lang w:val="bg-BG"/>
        </w:rPr>
      </w:pPr>
      <w:r w:rsidRPr="00B73D7E">
        <w:rPr>
          <w:lang w:val="bg-BG"/>
        </w:rPr>
        <w:t xml:space="preserve">Най-ниското равнище на бедност е в столицата – около три пъти по-ниско, отколкото в други областни центрове, и около четири пъти по-ниско, отколкото в по-малки градове. В по-големите градове бедността се изразява в парично измерение, докато в по-малките градове тя е свързана и с достъпа до пазара на труда и до образователни, социални и здравни услуги. Най-високият дял (54 процента) на бедно население се наблюдава в община Бойница (Видинска област). Другите 12 общини, където повече от 30 процента от населението живее в бедност, почти два пъти по-високо от средното национално равнище от 14 процента, са Опака, Никола Козлево, Кайнарджа, Доспат, Котел, Омуртаг, Макреш, Белица, Върбица, Якоруда, Сатовча и Ракитово. Половината от тези общини са разположени в планински райони или в </w:t>
      </w:r>
      <w:r w:rsidRPr="00B73D7E">
        <w:rPr>
          <w:lang w:val="bg-BG"/>
        </w:rPr>
        <w:lastRenderedPageBreak/>
        <w:t>националната периферия.</w:t>
      </w:r>
    </w:p>
    <w:p w:rsidR="00AA4661" w:rsidRPr="00B73D7E" w:rsidRDefault="00AA4661" w:rsidP="00CF297A">
      <w:pPr>
        <w:pStyle w:val="BodyText"/>
        <w:numPr>
          <w:ilvl w:val="0"/>
          <w:numId w:val="41"/>
        </w:numPr>
        <w:ind w:left="0" w:firstLine="0"/>
        <w:rPr>
          <w:lang w:val="bg-BG"/>
        </w:rPr>
      </w:pPr>
      <w:r w:rsidRPr="00B73D7E">
        <w:rPr>
          <w:lang w:val="bg-BG"/>
        </w:rPr>
        <w:t>Високият дял на населението в риск от бедност допълнително увеличава уязвимостта към изменението на климата поради кумулативния ефект от няколко фактора, като например лоши условия на живот, по-ниско равнище на заетост, ограничени приходи, недохранване, лош здравен статус и застаряване.</w:t>
      </w:r>
      <w:r w:rsidRPr="00B73D7E">
        <w:rPr>
          <w:rStyle w:val="FootnoteReference"/>
          <w:color w:val="000000"/>
          <w:lang w:val="bg-BG"/>
        </w:rPr>
        <w:footnoteReference w:id="8"/>
      </w:r>
    </w:p>
    <w:p w:rsidR="00AA4661" w:rsidRPr="00B73D7E" w:rsidRDefault="00AA4661" w:rsidP="001B57A4">
      <w:pPr>
        <w:pStyle w:val="Heading3"/>
        <w:spacing w:before="160"/>
        <w:ind w:left="0" w:firstLine="0"/>
        <w:rPr>
          <w:lang w:val="bg-BG"/>
        </w:rPr>
      </w:pPr>
      <w:bookmarkStart w:id="72" w:name="_Toc486942153"/>
      <w:bookmarkStart w:id="73" w:name="_Toc501454830"/>
      <w:bookmarkStart w:id="74" w:name="_Toc522030532"/>
      <w:bookmarkStart w:id="75" w:name="_Toc529285517"/>
      <w:r w:rsidRPr="00B73D7E">
        <w:rPr>
          <w:lang w:val="bg-BG"/>
        </w:rPr>
        <w:t>Местоположение, градска структура и планиране на градовете</w:t>
      </w:r>
      <w:bookmarkEnd w:id="72"/>
      <w:bookmarkEnd w:id="73"/>
      <w:bookmarkEnd w:id="74"/>
      <w:bookmarkEnd w:id="75"/>
      <w:r w:rsidRPr="00B73D7E">
        <w:rPr>
          <w:lang w:val="bg-BG"/>
        </w:rPr>
        <w:t xml:space="preserve"> </w:t>
      </w:r>
    </w:p>
    <w:p w:rsidR="00AA4661" w:rsidRPr="00B73D7E" w:rsidRDefault="00AA4661" w:rsidP="00491557">
      <w:pPr>
        <w:pStyle w:val="Heading4"/>
        <w:rPr>
          <w:lang w:val="bg-BG"/>
        </w:rPr>
      </w:pPr>
      <w:r w:rsidRPr="00B73D7E">
        <w:rPr>
          <w:lang w:val="bg-BG"/>
        </w:rPr>
        <w:t>Географско местоположение</w:t>
      </w:r>
    </w:p>
    <w:p w:rsidR="00AA4661" w:rsidRPr="00B73D7E" w:rsidRDefault="00AA4661" w:rsidP="00CF297A">
      <w:pPr>
        <w:pStyle w:val="BodyText"/>
        <w:numPr>
          <w:ilvl w:val="0"/>
          <w:numId w:val="41"/>
        </w:numPr>
        <w:spacing w:after="0"/>
        <w:ind w:left="0" w:firstLine="0"/>
        <w:rPr>
          <w:lang w:val="bg-BG"/>
        </w:rPr>
      </w:pPr>
      <w:r w:rsidRPr="00B73D7E">
        <w:rPr>
          <w:lang w:val="bg-BG"/>
        </w:rPr>
        <w:t xml:space="preserve">Въздействието на изменението на климата върху градската среда и населението се различава според географското местоположение на градовете. Надморската височина и местоположението оказват влияние върху градския микроклимат, характерът на склоновете оказва влияние върху оттичането на повърхностните води, близостта до реки повишава риска от наводнения, докато близостта до гори и селскостопански земи крие риск от пожари. Вземайки предвид сложното въздействие на географското местоположение върху градската среда и уязвимостта към изменението на климата, градовете са разделени на четири групи въз основа на техния вид местоположение (вж. </w:t>
      </w:r>
      <w:r w:rsidRPr="00B73D7E">
        <w:rPr>
          <w:b/>
          <w:i/>
          <w:lang w:val="bg-BG"/>
        </w:rPr>
        <w:t>ф</w:t>
      </w:r>
      <w:r w:rsidRPr="00B73D7E">
        <w:rPr>
          <w:b/>
          <w:i/>
          <w:iCs/>
          <w:lang w:val="bg-BG"/>
        </w:rPr>
        <w:t xml:space="preserve">игура </w:t>
      </w:r>
      <w:r w:rsidR="00BF3C54" w:rsidRPr="00B73D7E">
        <w:rPr>
          <w:b/>
          <w:i/>
          <w:iCs/>
          <w:lang w:val="bg-BG"/>
        </w:rPr>
        <w:t>21 в приложение 4</w:t>
      </w:r>
      <w:r w:rsidRPr="00B73D7E">
        <w:rPr>
          <w:iCs/>
          <w:lang w:val="bg-BG"/>
        </w:rPr>
        <w:t>).</w:t>
      </w:r>
    </w:p>
    <w:p w:rsidR="00AA4661" w:rsidRPr="00F8728A" w:rsidRDefault="00AA4661" w:rsidP="00B73D7E">
      <w:pPr>
        <w:pStyle w:val="FiguresTablesCaption"/>
      </w:pPr>
      <w:bookmarkStart w:id="76" w:name="_Toc529286631"/>
      <w:r w:rsidRPr="00F8728A">
        <w:t xml:space="preserve">Таблица </w:t>
      </w:r>
      <w:r w:rsidRPr="00F8728A">
        <w:fldChar w:fldCharType="begin"/>
      </w:r>
      <w:r w:rsidRPr="00F8728A">
        <w:instrText xml:space="preserve"> SEQ Table \* ARABIC </w:instrText>
      </w:r>
      <w:r w:rsidRPr="00F8728A">
        <w:fldChar w:fldCharType="separate"/>
      </w:r>
      <w:r w:rsidRPr="00F8728A">
        <w:t>4</w:t>
      </w:r>
      <w:r w:rsidRPr="00F8728A">
        <w:fldChar w:fldCharType="end"/>
      </w:r>
      <w:r w:rsidRPr="00F8728A">
        <w:t>. Градове по вид местоположение и население</w:t>
      </w:r>
      <w:bookmarkEnd w:id="76"/>
    </w:p>
    <w:tbl>
      <w:tblPr>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0A0" w:firstRow="1" w:lastRow="0" w:firstColumn="1" w:lastColumn="0" w:noHBand="0" w:noVBand="0"/>
      </w:tblPr>
      <w:tblGrid>
        <w:gridCol w:w="3096"/>
        <w:gridCol w:w="1123"/>
        <w:gridCol w:w="1134"/>
        <w:gridCol w:w="1276"/>
        <w:gridCol w:w="1186"/>
      </w:tblGrid>
      <w:tr w:rsidR="00AA4661" w:rsidRPr="00F8728A" w:rsidTr="00123161">
        <w:trPr>
          <w:jc w:val="center"/>
        </w:trPr>
        <w:tc>
          <w:tcPr>
            <w:tcW w:w="3096" w:type="dxa"/>
            <w:vMerge w:val="restart"/>
            <w:shd w:val="clear" w:color="auto" w:fill="365F91"/>
            <w:vAlign w:val="center"/>
          </w:tcPr>
          <w:p w:rsidR="00AA4661" w:rsidRPr="00F8728A" w:rsidRDefault="00AA4661" w:rsidP="00586A53">
            <w:pPr>
              <w:spacing w:before="40" w:after="40"/>
              <w:jc w:val="center"/>
              <w:rPr>
                <w:rFonts w:ascii="Calibri" w:hAnsi="Calibri" w:cs="Calibri"/>
                <w:b/>
                <w:color w:val="FFFFFF"/>
                <w:szCs w:val="20"/>
              </w:rPr>
            </w:pPr>
            <w:r w:rsidRPr="00F8728A">
              <w:rPr>
                <w:rFonts w:ascii="Calibri" w:hAnsi="Calibri" w:cs="Calibri"/>
                <w:b/>
                <w:color w:val="FFFFFF"/>
                <w:szCs w:val="20"/>
              </w:rPr>
              <w:t>Местоположение</w:t>
            </w:r>
          </w:p>
        </w:tc>
        <w:tc>
          <w:tcPr>
            <w:tcW w:w="2257" w:type="dxa"/>
            <w:gridSpan w:val="2"/>
            <w:shd w:val="clear" w:color="auto" w:fill="365F91"/>
            <w:vAlign w:val="center"/>
          </w:tcPr>
          <w:p w:rsidR="00AA4661" w:rsidRPr="00F8728A" w:rsidRDefault="00AA4661" w:rsidP="00586A53">
            <w:pPr>
              <w:spacing w:before="40" w:after="40"/>
              <w:jc w:val="center"/>
              <w:rPr>
                <w:rFonts w:ascii="Calibri" w:hAnsi="Calibri" w:cs="Calibri"/>
                <w:b/>
                <w:color w:val="FFFFFF"/>
                <w:szCs w:val="20"/>
              </w:rPr>
            </w:pPr>
            <w:r w:rsidRPr="00F8728A">
              <w:rPr>
                <w:rFonts w:ascii="Calibri" w:hAnsi="Calibri" w:cs="Calibri"/>
                <w:b/>
                <w:color w:val="FFFFFF"/>
                <w:szCs w:val="20"/>
              </w:rPr>
              <w:t>Градове</w:t>
            </w:r>
          </w:p>
        </w:tc>
        <w:tc>
          <w:tcPr>
            <w:tcW w:w="2462" w:type="dxa"/>
            <w:gridSpan w:val="2"/>
            <w:shd w:val="clear" w:color="auto" w:fill="365F91"/>
            <w:vAlign w:val="center"/>
          </w:tcPr>
          <w:p w:rsidR="00AA4661" w:rsidRPr="00F8728A" w:rsidRDefault="00AA4661" w:rsidP="00586A53">
            <w:pPr>
              <w:spacing w:before="40" w:after="40"/>
              <w:jc w:val="center"/>
              <w:rPr>
                <w:rFonts w:ascii="Calibri" w:hAnsi="Calibri" w:cs="Calibri"/>
                <w:b/>
                <w:color w:val="FFFFFF"/>
                <w:szCs w:val="20"/>
              </w:rPr>
            </w:pPr>
            <w:r w:rsidRPr="00F8728A">
              <w:rPr>
                <w:rFonts w:ascii="Calibri" w:hAnsi="Calibri" w:cs="Calibri"/>
                <w:b/>
                <w:color w:val="FFFFFF"/>
                <w:szCs w:val="20"/>
              </w:rPr>
              <w:t>Население, 2016 г.</w:t>
            </w:r>
          </w:p>
        </w:tc>
      </w:tr>
      <w:tr w:rsidR="00AA4661" w:rsidRPr="00F8728A" w:rsidTr="005E006B">
        <w:trPr>
          <w:jc w:val="center"/>
        </w:trPr>
        <w:tc>
          <w:tcPr>
            <w:tcW w:w="3096" w:type="dxa"/>
            <w:vMerge/>
            <w:shd w:val="clear" w:color="auto" w:fill="365F91"/>
            <w:vAlign w:val="center"/>
          </w:tcPr>
          <w:p w:rsidR="00AA4661" w:rsidRPr="00F8728A" w:rsidRDefault="00AA4661" w:rsidP="00586A53">
            <w:pPr>
              <w:spacing w:before="40" w:after="40"/>
              <w:jc w:val="center"/>
              <w:rPr>
                <w:rFonts w:ascii="Calibri" w:hAnsi="Calibri" w:cs="Calibri"/>
                <w:b/>
                <w:color w:val="FFFFFF"/>
                <w:szCs w:val="20"/>
              </w:rPr>
            </w:pPr>
          </w:p>
        </w:tc>
        <w:tc>
          <w:tcPr>
            <w:tcW w:w="1123" w:type="dxa"/>
            <w:shd w:val="clear" w:color="auto" w:fill="D9D9D9"/>
            <w:vAlign w:val="center"/>
          </w:tcPr>
          <w:p w:rsidR="00AA4661" w:rsidRPr="00F8728A" w:rsidRDefault="00AA4661" w:rsidP="00586A53">
            <w:pPr>
              <w:spacing w:before="40" w:after="40"/>
              <w:jc w:val="center"/>
              <w:rPr>
                <w:rFonts w:ascii="Calibri" w:hAnsi="Calibri" w:cs="Calibri"/>
                <w:b/>
                <w:szCs w:val="20"/>
              </w:rPr>
            </w:pPr>
            <w:r w:rsidRPr="00F8728A">
              <w:rPr>
                <w:rFonts w:ascii="Calibri" w:hAnsi="Calibri" w:cs="Calibri"/>
                <w:b/>
                <w:szCs w:val="20"/>
              </w:rPr>
              <w:t>брой</w:t>
            </w:r>
          </w:p>
        </w:tc>
        <w:tc>
          <w:tcPr>
            <w:tcW w:w="1134" w:type="dxa"/>
            <w:shd w:val="clear" w:color="auto" w:fill="D9D9D9"/>
            <w:vAlign w:val="center"/>
          </w:tcPr>
          <w:p w:rsidR="00AA4661" w:rsidRPr="00F8728A" w:rsidRDefault="00AA4661" w:rsidP="00586A53">
            <w:pPr>
              <w:spacing w:before="40" w:after="40"/>
              <w:jc w:val="center"/>
              <w:rPr>
                <w:rFonts w:ascii="Calibri" w:hAnsi="Calibri" w:cs="Calibri"/>
                <w:b/>
                <w:szCs w:val="20"/>
              </w:rPr>
            </w:pPr>
            <w:r w:rsidRPr="00F8728A">
              <w:rPr>
                <w:rFonts w:ascii="Calibri" w:hAnsi="Calibri" w:cs="Calibri"/>
                <w:b/>
                <w:szCs w:val="20"/>
              </w:rPr>
              <w:t>процента</w:t>
            </w:r>
          </w:p>
        </w:tc>
        <w:tc>
          <w:tcPr>
            <w:tcW w:w="1276" w:type="dxa"/>
            <w:shd w:val="clear" w:color="auto" w:fill="D9D9D9"/>
            <w:vAlign w:val="center"/>
          </w:tcPr>
          <w:p w:rsidR="00AA4661" w:rsidRPr="00F8728A" w:rsidRDefault="00AA4661" w:rsidP="00586A53">
            <w:pPr>
              <w:spacing w:before="40" w:after="40"/>
              <w:jc w:val="center"/>
              <w:rPr>
                <w:rFonts w:ascii="Calibri" w:hAnsi="Calibri" w:cs="Calibri"/>
                <w:b/>
                <w:szCs w:val="20"/>
              </w:rPr>
            </w:pPr>
            <w:r w:rsidRPr="00F8728A">
              <w:rPr>
                <w:rFonts w:ascii="Calibri" w:hAnsi="Calibri" w:cs="Calibri"/>
                <w:b/>
                <w:szCs w:val="20"/>
              </w:rPr>
              <w:t>брой</w:t>
            </w:r>
          </w:p>
        </w:tc>
        <w:tc>
          <w:tcPr>
            <w:tcW w:w="1186" w:type="dxa"/>
            <w:shd w:val="clear" w:color="auto" w:fill="D9D9D9"/>
            <w:vAlign w:val="center"/>
          </w:tcPr>
          <w:p w:rsidR="00AA4661" w:rsidRPr="00F8728A" w:rsidRDefault="00AA4661" w:rsidP="00586A53">
            <w:pPr>
              <w:spacing w:before="40" w:after="40"/>
              <w:jc w:val="center"/>
              <w:rPr>
                <w:rFonts w:ascii="Calibri" w:hAnsi="Calibri" w:cs="Calibri"/>
                <w:b/>
                <w:szCs w:val="20"/>
              </w:rPr>
            </w:pPr>
            <w:r w:rsidRPr="00F8728A">
              <w:rPr>
                <w:rFonts w:ascii="Calibri" w:hAnsi="Calibri" w:cs="Calibri"/>
                <w:b/>
                <w:szCs w:val="20"/>
              </w:rPr>
              <w:t>процента</w:t>
            </w:r>
          </w:p>
        </w:tc>
      </w:tr>
      <w:tr w:rsidR="00AA4661" w:rsidRPr="00F8728A" w:rsidTr="005E006B">
        <w:trPr>
          <w:jc w:val="center"/>
        </w:trPr>
        <w:tc>
          <w:tcPr>
            <w:tcW w:w="3096" w:type="dxa"/>
            <w:shd w:val="clear" w:color="auto" w:fill="B8CCE4"/>
          </w:tcPr>
          <w:p w:rsidR="00AA4661" w:rsidRPr="00F8728A" w:rsidRDefault="00AA4661" w:rsidP="00586A53">
            <w:pPr>
              <w:spacing w:before="40" w:after="40"/>
              <w:jc w:val="both"/>
              <w:rPr>
                <w:rFonts w:ascii="Calibri" w:hAnsi="Calibri" w:cs="Calibri"/>
                <w:b/>
                <w:szCs w:val="20"/>
              </w:rPr>
            </w:pPr>
            <w:r w:rsidRPr="00F8728A">
              <w:rPr>
                <w:rFonts w:ascii="Calibri" w:hAnsi="Calibri" w:cs="Calibri"/>
                <w:b/>
                <w:szCs w:val="20"/>
              </w:rPr>
              <w:t>Общо</w:t>
            </w:r>
          </w:p>
        </w:tc>
        <w:tc>
          <w:tcPr>
            <w:tcW w:w="1123" w:type="dxa"/>
          </w:tcPr>
          <w:p w:rsidR="00AA4661" w:rsidRPr="00F8728A" w:rsidRDefault="00AA4661" w:rsidP="00586A53">
            <w:pPr>
              <w:spacing w:before="40" w:after="40"/>
              <w:jc w:val="center"/>
              <w:rPr>
                <w:rFonts w:ascii="Calibri" w:hAnsi="Calibri" w:cs="Calibri"/>
                <w:b/>
                <w:szCs w:val="20"/>
              </w:rPr>
            </w:pPr>
            <w:r w:rsidRPr="00F8728A">
              <w:rPr>
                <w:rFonts w:ascii="Calibri" w:hAnsi="Calibri" w:cs="Calibri"/>
                <w:b/>
                <w:szCs w:val="20"/>
              </w:rPr>
              <w:t>257</w:t>
            </w:r>
          </w:p>
        </w:tc>
        <w:tc>
          <w:tcPr>
            <w:tcW w:w="1134" w:type="dxa"/>
          </w:tcPr>
          <w:p w:rsidR="00AA4661" w:rsidRPr="00F8728A" w:rsidRDefault="00AA4661" w:rsidP="00586A53">
            <w:pPr>
              <w:spacing w:before="40" w:after="40"/>
              <w:jc w:val="center"/>
              <w:rPr>
                <w:rFonts w:ascii="Calibri" w:hAnsi="Calibri" w:cs="Calibri"/>
                <w:b/>
                <w:szCs w:val="20"/>
              </w:rPr>
            </w:pPr>
            <w:r w:rsidRPr="00F8728A">
              <w:rPr>
                <w:rFonts w:ascii="Calibri" w:hAnsi="Calibri" w:cs="Calibri"/>
                <w:b/>
                <w:szCs w:val="20"/>
              </w:rPr>
              <w:t>100</w:t>
            </w:r>
          </w:p>
        </w:tc>
        <w:tc>
          <w:tcPr>
            <w:tcW w:w="1276" w:type="dxa"/>
          </w:tcPr>
          <w:p w:rsidR="00AA4661" w:rsidRPr="00F8728A" w:rsidRDefault="00AA4661" w:rsidP="00586A53">
            <w:pPr>
              <w:spacing w:before="40" w:after="40"/>
              <w:jc w:val="center"/>
              <w:rPr>
                <w:rFonts w:ascii="Calibri" w:hAnsi="Calibri" w:cs="Calibri"/>
                <w:b/>
                <w:szCs w:val="20"/>
              </w:rPr>
            </w:pPr>
            <w:r w:rsidRPr="00F8728A">
              <w:rPr>
                <w:rFonts w:ascii="Calibri" w:hAnsi="Calibri" w:cs="Calibri"/>
                <w:b/>
                <w:szCs w:val="20"/>
              </w:rPr>
              <w:t>5</w:t>
            </w:r>
            <w:r w:rsidR="00381124">
              <w:rPr>
                <w:rFonts w:ascii="Calibri" w:hAnsi="Calibri" w:cs="Calibri"/>
                <w:b/>
                <w:szCs w:val="20"/>
              </w:rPr>
              <w:t xml:space="preserve"> </w:t>
            </w:r>
            <w:r w:rsidRPr="00F8728A">
              <w:rPr>
                <w:rFonts w:ascii="Calibri" w:hAnsi="Calibri" w:cs="Calibri"/>
                <w:b/>
                <w:szCs w:val="20"/>
              </w:rPr>
              <w:t>204</w:t>
            </w:r>
            <w:r w:rsidR="00381124">
              <w:rPr>
                <w:rFonts w:ascii="Calibri" w:hAnsi="Calibri" w:cs="Calibri"/>
                <w:b/>
                <w:szCs w:val="20"/>
              </w:rPr>
              <w:t xml:space="preserve"> </w:t>
            </w:r>
            <w:r w:rsidRPr="00F8728A">
              <w:rPr>
                <w:rFonts w:ascii="Calibri" w:hAnsi="Calibri" w:cs="Calibri"/>
                <w:b/>
                <w:szCs w:val="20"/>
              </w:rPr>
              <w:t>385</w:t>
            </w:r>
          </w:p>
        </w:tc>
        <w:tc>
          <w:tcPr>
            <w:tcW w:w="1186" w:type="dxa"/>
          </w:tcPr>
          <w:p w:rsidR="00AA4661" w:rsidRPr="00F8728A" w:rsidRDefault="00AA4661" w:rsidP="00586A53">
            <w:pPr>
              <w:spacing w:before="40" w:after="40"/>
              <w:jc w:val="center"/>
              <w:rPr>
                <w:rFonts w:ascii="Calibri" w:hAnsi="Calibri" w:cs="Calibri"/>
                <w:b/>
                <w:szCs w:val="20"/>
              </w:rPr>
            </w:pPr>
            <w:r w:rsidRPr="00F8728A">
              <w:rPr>
                <w:rFonts w:ascii="Calibri" w:hAnsi="Calibri" w:cs="Calibri"/>
                <w:b/>
                <w:szCs w:val="20"/>
              </w:rPr>
              <w:t>100</w:t>
            </w:r>
          </w:p>
        </w:tc>
      </w:tr>
      <w:tr w:rsidR="00AA4661" w:rsidRPr="00F8728A" w:rsidTr="005E006B">
        <w:trPr>
          <w:jc w:val="center"/>
        </w:trPr>
        <w:tc>
          <w:tcPr>
            <w:tcW w:w="3096" w:type="dxa"/>
            <w:shd w:val="clear" w:color="auto" w:fill="B8CCE4"/>
          </w:tcPr>
          <w:p w:rsidR="00AA4661" w:rsidRPr="00F8728A" w:rsidRDefault="00AA4661" w:rsidP="00586A53">
            <w:pPr>
              <w:spacing w:before="40" w:after="40"/>
              <w:jc w:val="both"/>
              <w:rPr>
                <w:rFonts w:ascii="Calibri" w:hAnsi="Calibri" w:cs="Calibri"/>
                <w:szCs w:val="20"/>
              </w:rPr>
            </w:pPr>
            <w:r w:rsidRPr="00F8728A">
              <w:rPr>
                <w:rFonts w:ascii="Calibri" w:hAnsi="Calibri" w:cs="Calibri"/>
                <w:b/>
              </w:rPr>
              <w:t>Крайбрежни</w:t>
            </w:r>
          </w:p>
        </w:tc>
        <w:tc>
          <w:tcPr>
            <w:tcW w:w="1123" w:type="dxa"/>
            <w:vAlign w:val="bottom"/>
          </w:tcPr>
          <w:p w:rsidR="00AA4661" w:rsidRPr="00F8728A" w:rsidRDefault="00AA4661" w:rsidP="00586A53">
            <w:pPr>
              <w:spacing w:before="40" w:after="40"/>
              <w:jc w:val="center"/>
              <w:rPr>
                <w:rFonts w:ascii="Calibri" w:hAnsi="Calibri" w:cs="Calibri"/>
                <w:b/>
                <w:szCs w:val="20"/>
              </w:rPr>
            </w:pPr>
            <w:r w:rsidRPr="00F8728A">
              <w:rPr>
                <w:rFonts w:ascii="Calibri" w:hAnsi="Calibri" w:cs="Calibri"/>
                <w:b/>
                <w:szCs w:val="20"/>
              </w:rPr>
              <w:t>28</w:t>
            </w:r>
          </w:p>
        </w:tc>
        <w:tc>
          <w:tcPr>
            <w:tcW w:w="1134" w:type="dxa"/>
            <w:vAlign w:val="bottom"/>
          </w:tcPr>
          <w:p w:rsidR="00AA4661" w:rsidRPr="00F8728A" w:rsidRDefault="00AA4661" w:rsidP="00586A53">
            <w:pPr>
              <w:spacing w:before="40" w:after="40"/>
              <w:jc w:val="center"/>
              <w:rPr>
                <w:rFonts w:ascii="Calibri" w:hAnsi="Calibri" w:cs="Calibri"/>
                <w:b/>
                <w:szCs w:val="20"/>
              </w:rPr>
            </w:pPr>
            <w:r w:rsidRPr="00F8728A">
              <w:rPr>
                <w:rFonts w:ascii="Calibri" w:hAnsi="Calibri" w:cs="Calibri"/>
                <w:b/>
                <w:szCs w:val="20"/>
              </w:rPr>
              <w:t>11</w:t>
            </w:r>
          </w:p>
        </w:tc>
        <w:tc>
          <w:tcPr>
            <w:tcW w:w="1276" w:type="dxa"/>
            <w:vAlign w:val="bottom"/>
          </w:tcPr>
          <w:p w:rsidR="00AA4661" w:rsidRPr="00F8728A" w:rsidRDefault="00AA4661" w:rsidP="00586A53">
            <w:pPr>
              <w:spacing w:before="40" w:after="40"/>
              <w:jc w:val="center"/>
              <w:rPr>
                <w:rFonts w:ascii="Calibri" w:hAnsi="Calibri" w:cs="Calibri"/>
                <w:b/>
                <w:szCs w:val="20"/>
              </w:rPr>
            </w:pPr>
            <w:r w:rsidRPr="00F8728A">
              <w:rPr>
                <w:rFonts w:ascii="Calibri" w:hAnsi="Calibri" w:cs="Calibri"/>
                <w:b/>
                <w:szCs w:val="20"/>
              </w:rPr>
              <w:t>923</w:t>
            </w:r>
            <w:r w:rsidR="00381124">
              <w:rPr>
                <w:rFonts w:ascii="Calibri" w:hAnsi="Calibri" w:cs="Calibri"/>
                <w:b/>
                <w:szCs w:val="20"/>
              </w:rPr>
              <w:t xml:space="preserve"> </w:t>
            </w:r>
            <w:r w:rsidRPr="00F8728A">
              <w:rPr>
                <w:rFonts w:ascii="Calibri" w:hAnsi="Calibri" w:cs="Calibri"/>
                <w:b/>
                <w:szCs w:val="20"/>
              </w:rPr>
              <w:t>934</w:t>
            </w:r>
          </w:p>
        </w:tc>
        <w:tc>
          <w:tcPr>
            <w:tcW w:w="1186" w:type="dxa"/>
            <w:vAlign w:val="bottom"/>
          </w:tcPr>
          <w:p w:rsidR="00AA4661" w:rsidRPr="00F8728A" w:rsidRDefault="00AA4661" w:rsidP="00586A53">
            <w:pPr>
              <w:spacing w:before="40" w:after="40"/>
              <w:jc w:val="center"/>
              <w:rPr>
                <w:rFonts w:ascii="Calibri" w:hAnsi="Calibri" w:cs="Calibri"/>
                <w:b/>
                <w:szCs w:val="20"/>
              </w:rPr>
            </w:pPr>
            <w:r w:rsidRPr="00F8728A">
              <w:rPr>
                <w:rFonts w:ascii="Calibri" w:hAnsi="Calibri" w:cs="Calibri"/>
                <w:b/>
                <w:szCs w:val="20"/>
              </w:rPr>
              <w:t>18</w:t>
            </w:r>
          </w:p>
        </w:tc>
      </w:tr>
      <w:tr w:rsidR="00AA4661" w:rsidRPr="00F8728A" w:rsidTr="005E006B">
        <w:trPr>
          <w:jc w:val="center"/>
        </w:trPr>
        <w:tc>
          <w:tcPr>
            <w:tcW w:w="3096" w:type="dxa"/>
            <w:shd w:val="clear" w:color="auto" w:fill="B8CCE4"/>
          </w:tcPr>
          <w:p w:rsidR="00AA4661" w:rsidRPr="00F8728A" w:rsidRDefault="00AA4661" w:rsidP="00CF297A">
            <w:pPr>
              <w:pStyle w:val="ListParagraph1"/>
              <w:numPr>
                <w:ilvl w:val="0"/>
                <w:numId w:val="44"/>
              </w:numPr>
              <w:spacing w:before="40" w:after="40" w:line="240" w:lineRule="auto"/>
              <w:contextualSpacing w:val="0"/>
              <w:rPr>
                <w:rFonts w:ascii="Calibri" w:hAnsi="Calibri" w:cs="Calibri"/>
                <w:i/>
                <w:sz w:val="20"/>
                <w:lang w:val="bg-BG" w:eastAsia="en-US"/>
              </w:rPr>
            </w:pPr>
            <w:r w:rsidRPr="00F8728A">
              <w:rPr>
                <w:rFonts w:ascii="Calibri" w:hAnsi="Calibri" w:cs="Calibri"/>
                <w:i/>
                <w:sz w:val="20"/>
                <w:lang w:val="bg-BG" w:eastAsia="en-US"/>
              </w:rPr>
              <w:t>вкл. на р. Дунав</w:t>
            </w:r>
          </w:p>
        </w:tc>
        <w:tc>
          <w:tcPr>
            <w:tcW w:w="1123" w:type="dxa"/>
            <w:vAlign w:val="bottom"/>
          </w:tcPr>
          <w:p w:rsidR="00AA4661" w:rsidRPr="00F8728A" w:rsidRDefault="00AA4661" w:rsidP="00586A53">
            <w:pPr>
              <w:spacing w:before="40" w:after="40"/>
              <w:jc w:val="center"/>
              <w:rPr>
                <w:rFonts w:ascii="Calibri" w:hAnsi="Calibri" w:cs="Calibri"/>
                <w:i/>
                <w:szCs w:val="20"/>
              </w:rPr>
            </w:pPr>
            <w:r w:rsidRPr="00F8728A">
              <w:rPr>
                <w:rFonts w:ascii="Calibri" w:hAnsi="Calibri" w:cs="Calibri"/>
                <w:i/>
                <w:szCs w:val="20"/>
              </w:rPr>
              <w:t>11</w:t>
            </w:r>
          </w:p>
        </w:tc>
        <w:tc>
          <w:tcPr>
            <w:tcW w:w="1134" w:type="dxa"/>
            <w:vAlign w:val="bottom"/>
          </w:tcPr>
          <w:p w:rsidR="00AA4661" w:rsidRPr="00F8728A" w:rsidRDefault="00AA4661" w:rsidP="00586A53">
            <w:pPr>
              <w:spacing w:before="40" w:after="40"/>
              <w:jc w:val="center"/>
              <w:rPr>
                <w:rFonts w:ascii="Calibri" w:hAnsi="Calibri" w:cs="Calibri"/>
                <w:i/>
                <w:szCs w:val="20"/>
              </w:rPr>
            </w:pPr>
            <w:r w:rsidRPr="00F8728A">
              <w:rPr>
                <w:rFonts w:ascii="Calibri" w:hAnsi="Calibri" w:cs="Calibri"/>
                <w:i/>
                <w:szCs w:val="20"/>
              </w:rPr>
              <w:t>4</w:t>
            </w:r>
          </w:p>
        </w:tc>
        <w:tc>
          <w:tcPr>
            <w:tcW w:w="1276" w:type="dxa"/>
            <w:vAlign w:val="bottom"/>
          </w:tcPr>
          <w:p w:rsidR="00AA4661" w:rsidRPr="00F8728A" w:rsidRDefault="00AA4661" w:rsidP="00586A53">
            <w:pPr>
              <w:spacing w:before="40" w:after="40"/>
              <w:jc w:val="center"/>
              <w:rPr>
                <w:rFonts w:ascii="Calibri" w:hAnsi="Calibri" w:cs="Calibri"/>
                <w:i/>
                <w:szCs w:val="20"/>
              </w:rPr>
            </w:pPr>
            <w:r w:rsidRPr="00F8728A">
              <w:rPr>
                <w:rFonts w:ascii="Calibri" w:hAnsi="Calibri" w:cs="Calibri"/>
                <w:i/>
                <w:szCs w:val="20"/>
              </w:rPr>
              <w:t>306</w:t>
            </w:r>
            <w:r w:rsidR="00381124">
              <w:rPr>
                <w:rFonts w:ascii="Calibri" w:hAnsi="Calibri" w:cs="Calibri"/>
                <w:i/>
                <w:szCs w:val="20"/>
              </w:rPr>
              <w:t xml:space="preserve"> </w:t>
            </w:r>
            <w:r w:rsidRPr="00F8728A">
              <w:rPr>
                <w:rFonts w:ascii="Calibri" w:hAnsi="Calibri" w:cs="Calibri"/>
                <w:i/>
                <w:szCs w:val="20"/>
              </w:rPr>
              <w:t>146</w:t>
            </w:r>
          </w:p>
        </w:tc>
        <w:tc>
          <w:tcPr>
            <w:tcW w:w="1186" w:type="dxa"/>
            <w:vAlign w:val="bottom"/>
          </w:tcPr>
          <w:p w:rsidR="00AA4661" w:rsidRPr="00F8728A" w:rsidRDefault="00AA4661" w:rsidP="00586A53">
            <w:pPr>
              <w:spacing w:before="40" w:after="40"/>
              <w:jc w:val="center"/>
              <w:rPr>
                <w:rFonts w:ascii="Calibri" w:hAnsi="Calibri" w:cs="Calibri"/>
                <w:i/>
                <w:szCs w:val="20"/>
              </w:rPr>
            </w:pPr>
            <w:r w:rsidRPr="00F8728A">
              <w:rPr>
                <w:rFonts w:ascii="Calibri" w:hAnsi="Calibri" w:cs="Calibri"/>
                <w:i/>
                <w:szCs w:val="20"/>
              </w:rPr>
              <w:t>6</w:t>
            </w:r>
          </w:p>
        </w:tc>
      </w:tr>
      <w:tr w:rsidR="00AA4661" w:rsidRPr="00F8728A" w:rsidTr="005E006B">
        <w:trPr>
          <w:jc w:val="center"/>
        </w:trPr>
        <w:tc>
          <w:tcPr>
            <w:tcW w:w="3096" w:type="dxa"/>
            <w:shd w:val="clear" w:color="auto" w:fill="B8CCE4"/>
          </w:tcPr>
          <w:p w:rsidR="00AA4661" w:rsidRPr="00F8728A" w:rsidRDefault="00AA4661" w:rsidP="00CF297A">
            <w:pPr>
              <w:pStyle w:val="ListParagraph1"/>
              <w:numPr>
                <w:ilvl w:val="0"/>
                <w:numId w:val="43"/>
              </w:numPr>
              <w:spacing w:before="40" w:after="40" w:line="240" w:lineRule="auto"/>
              <w:contextualSpacing w:val="0"/>
              <w:jc w:val="both"/>
              <w:rPr>
                <w:rFonts w:ascii="Calibri" w:hAnsi="Calibri" w:cs="Calibri"/>
                <w:i/>
                <w:sz w:val="20"/>
                <w:lang w:val="bg-BG" w:eastAsia="en-US"/>
              </w:rPr>
            </w:pPr>
            <w:r w:rsidRPr="00F8728A">
              <w:rPr>
                <w:rFonts w:ascii="Calibri" w:hAnsi="Calibri" w:cs="Calibri"/>
                <w:i/>
                <w:sz w:val="20"/>
                <w:lang w:val="bg-BG" w:eastAsia="en-US"/>
              </w:rPr>
              <w:t>на Черно море</w:t>
            </w:r>
          </w:p>
        </w:tc>
        <w:tc>
          <w:tcPr>
            <w:tcW w:w="1123" w:type="dxa"/>
            <w:vAlign w:val="bottom"/>
          </w:tcPr>
          <w:p w:rsidR="00AA4661" w:rsidRPr="00F8728A" w:rsidRDefault="00AA4661" w:rsidP="00586A53">
            <w:pPr>
              <w:spacing w:before="40" w:after="40"/>
              <w:jc w:val="center"/>
              <w:rPr>
                <w:rFonts w:ascii="Calibri" w:hAnsi="Calibri" w:cs="Calibri"/>
                <w:i/>
                <w:szCs w:val="20"/>
              </w:rPr>
            </w:pPr>
            <w:r w:rsidRPr="00F8728A">
              <w:rPr>
                <w:rFonts w:ascii="Calibri" w:hAnsi="Calibri" w:cs="Calibri"/>
                <w:i/>
                <w:szCs w:val="20"/>
              </w:rPr>
              <w:t>17</w:t>
            </w:r>
          </w:p>
        </w:tc>
        <w:tc>
          <w:tcPr>
            <w:tcW w:w="1134" w:type="dxa"/>
            <w:vAlign w:val="bottom"/>
          </w:tcPr>
          <w:p w:rsidR="00AA4661" w:rsidRPr="00F8728A" w:rsidRDefault="00AA4661" w:rsidP="00586A53">
            <w:pPr>
              <w:spacing w:before="40" w:after="40"/>
              <w:jc w:val="center"/>
              <w:rPr>
                <w:rFonts w:ascii="Calibri" w:hAnsi="Calibri" w:cs="Calibri"/>
                <w:i/>
                <w:szCs w:val="20"/>
              </w:rPr>
            </w:pPr>
            <w:r w:rsidRPr="00F8728A">
              <w:rPr>
                <w:rFonts w:ascii="Calibri" w:hAnsi="Calibri" w:cs="Calibri"/>
                <w:i/>
                <w:szCs w:val="20"/>
              </w:rPr>
              <w:t>7</w:t>
            </w:r>
          </w:p>
        </w:tc>
        <w:tc>
          <w:tcPr>
            <w:tcW w:w="1276" w:type="dxa"/>
            <w:vAlign w:val="bottom"/>
          </w:tcPr>
          <w:p w:rsidR="00AA4661" w:rsidRPr="00F8728A" w:rsidRDefault="00AA4661" w:rsidP="00586A53">
            <w:pPr>
              <w:spacing w:before="40" w:after="40"/>
              <w:jc w:val="center"/>
              <w:rPr>
                <w:rFonts w:ascii="Calibri" w:hAnsi="Calibri" w:cs="Calibri"/>
                <w:i/>
                <w:szCs w:val="20"/>
              </w:rPr>
            </w:pPr>
            <w:r w:rsidRPr="00F8728A">
              <w:rPr>
                <w:rFonts w:ascii="Calibri" w:hAnsi="Calibri" w:cs="Calibri"/>
                <w:i/>
                <w:szCs w:val="20"/>
              </w:rPr>
              <w:t>617</w:t>
            </w:r>
            <w:r w:rsidR="00381124">
              <w:rPr>
                <w:rFonts w:ascii="Calibri" w:hAnsi="Calibri" w:cs="Calibri"/>
                <w:i/>
                <w:szCs w:val="20"/>
              </w:rPr>
              <w:t xml:space="preserve"> </w:t>
            </w:r>
            <w:r w:rsidRPr="00F8728A">
              <w:rPr>
                <w:rFonts w:ascii="Calibri" w:hAnsi="Calibri" w:cs="Calibri"/>
                <w:i/>
                <w:szCs w:val="20"/>
              </w:rPr>
              <w:t>788</w:t>
            </w:r>
          </w:p>
        </w:tc>
        <w:tc>
          <w:tcPr>
            <w:tcW w:w="1186" w:type="dxa"/>
            <w:vAlign w:val="bottom"/>
          </w:tcPr>
          <w:p w:rsidR="00AA4661" w:rsidRPr="00F8728A" w:rsidRDefault="00AA4661" w:rsidP="00586A53">
            <w:pPr>
              <w:spacing w:before="40" w:after="40"/>
              <w:jc w:val="center"/>
              <w:rPr>
                <w:rFonts w:ascii="Calibri" w:hAnsi="Calibri" w:cs="Calibri"/>
                <w:i/>
                <w:szCs w:val="20"/>
              </w:rPr>
            </w:pPr>
            <w:r w:rsidRPr="00F8728A">
              <w:rPr>
                <w:rFonts w:ascii="Calibri" w:hAnsi="Calibri" w:cs="Calibri"/>
                <w:i/>
                <w:szCs w:val="20"/>
              </w:rPr>
              <w:t>12</w:t>
            </w:r>
          </w:p>
        </w:tc>
      </w:tr>
      <w:tr w:rsidR="00AA4661" w:rsidRPr="00F8728A" w:rsidTr="005E006B">
        <w:trPr>
          <w:jc w:val="center"/>
        </w:trPr>
        <w:tc>
          <w:tcPr>
            <w:tcW w:w="3096" w:type="dxa"/>
            <w:shd w:val="clear" w:color="auto" w:fill="B8CCE4"/>
          </w:tcPr>
          <w:p w:rsidR="00AA4661" w:rsidRPr="00F8728A" w:rsidRDefault="00AA4661" w:rsidP="00586A53">
            <w:pPr>
              <w:spacing w:before="40" w:after="40"/>
              <w:jc w:val="both"/>
              <w:rPr>
                <w:rFonts w:ascii="Calibri" w:hAnsi="Calibri" w:cs="Calibri"/>
                <w:b/>
                <w:szCs w:val="20"/>
              </w:rPr>
            </w:pPr>
            <w:r w:rsidRPr="00F8728A">
              <w:rPr>
                <w:rFonts w:ascii="Calibri" w:hAnsi="Calibri" w:cs="Calibri"/>
                <w:b/>
              </w:rPr>
              <w:t>Равнинни</w:t>
            </w:r>
          </w:p>
        </w:tc>
        <w:tc>
          <w:tcPr>
            <w:tcW w:w="1123" w:type="dxa"/>
            <w:vAlign w:val="bottom"/>
          </w:tcPr>
          <w:p w:rsidR="00AA4661" w:rsidRPr="00F8728A" w:rsidRDefault="00AA4661" w:rsidP="00586A53">
            <w:pPr>
              <w:spacing w:before="40" w:after="40"/>
              <w:jc w:val="center"/>
              <w:rPr>
                <w:rFonts w:ascii="Calibri" w:hAnsi="Calibri" w:cs="Calibri"/>
                <w:b/>
                <w:szCs w:val="20"/>
              </w:rPr>
            </w:pPr>
            <w:r w:rsidRPr="00F8728A">
              <w:rPr>
                <w:rFonts w:ascii="Calibri" w:hAnsi="Calibri" w:cs="Calibri"/>
                <w:b/>
                <w:szCs w:val="20"/>
              </w:rPr>
              <w:t>129</w:t>
            </w:r>
          </w:p>
        </w:tc>
        <w:tc>
          <w:tcPr>
            <w:tcW w:w="1134" w:type="dxa"/>
            <w:vAlign w:val="bottom"/>
          </w:tcPr>
          <w:p w:rsidR="00AA4661" w:rsidRPr="00F8728A" w:rsidRDefault="00AA4661" w:rsidP="00586A53">
            <w:pPr>
              <w:spacing w:before="40" w:after="40"/>
              <w:jc w:val="center"/>
              <w:rPr>
                <w:rFonts w:ascii="Calibri" w:hAnsi="Calibri" w:cs="Calibri"/>
                <w:b/>
                <w:szCs w:val="20"/>
              </w:rPr>
            </w:pPr>
            <w:r w:rsidRPr="00F8728A">
              <w:rPr>
                <w:rFonts w:ascii="Calibri" w:hAnsi="Calibri" w:cs="Calibri"/>
                <w:b/>
                <w:szCs w:val="20"/>
              </w:rPr>
              <w:t>50</w:t>
            </w:r>
          </w:p>
        </w:tc>
        <w:tc>
          <w:tcPr>
            <w:tcW w:w="1276" w:type="dxa"/>
            <w:vAlign w:val="bottom"/>
          </w:tcPr>
          <w:p w:rsidR="00AA4661" w:rsidRPr="00F8728A" w:rsidRDefault="00AA4661" w:rsidP="00586A53">
            <w:pPr>
              <w:spacing w:before="40" w:after="40"/>
              <w:jc w:val="center"/>
              <w:rPr>
                <w:rFonts w:ascii="Calibri" w:hAnsi="Calibri" w:cs="Calibri"/>
                <w:b/>
                <w:szCs w:val="20"/>
              </w:rPr>
            </w:pPr>
            <w:r w:rsidRPr="00F8728A">
              <w:rPr>
                <w:rFonts w:ascii="Calibri" w:hAnsi="Calibri" w:cs="Calibri"/>
                <w:b/>
                <w:szCs w:val="20"/>
              </w:rPr>
              <w:t>2</w:t>
            </w:r>
            <w:r w:rsidR="00381124">
              <w:rPr>
                <w:rFonts w:ascii="Calibri" w:hAnsi="Calibri" w:cs="Calibri"/>
                <w:b/>
                <w:szCs w:val="20"/>
              </w:rPr>
              <w:t xml:space="preserve"> </w:t>
            </w:r>
            <w:r w:rsidRPr="00F8728A">
              <w:rPr>
                <w:rFonts w:ascii="Calibri" w:hAnsi="Calibri" w:cs="Calibri"/>
                <w:b/>
                <w:szCs w:val="20"/>
              </w:rPr>
              <w:t>015</w:t>
            </w:r>
            <w:r w:rsidR="00381124">
              <w:rPr>
                <w:rFonts w:ascii="Calibri" w:hAnsi="Calibri" w:cs="Calibri"/>
                <w:b/>
                <w:szCs w:val="20"/>
              </w:rPr>
              <w:t xml:space="preserve"> </w:t>
            </w:r>
            <w:r w:rsidRPr="00F8728A">
              <w:rPr>
                <w:rFonts w:ascii="Calibri" w:hAnsi="Calibri" w:cs="Calibri"/>
                <w:b/>
                <w:szCs w:val="20"/>
              </w:rPr>
              <w:t>005</w:t>
            </w:r>
          </w:p>
        </w:tc>
        <w:tc>
          <w:tcPr>
            <w:tcW w:w="1186" w:type="dxa"/>
            <w:vAlign w:val="bottom"/>
          </w:tcPr>
          <w:p w:rsidR="00AA4661" w:rsidRPr="00F8728A" w:rsidRDefault="00AA4661" w:rsidP="00586A53">
            <w:pPr>
              <w:spacing w:before="40" w:after="40"/>
              <w:jc w:val="center"/>
              <w:rPr>
                <w:rFonts w:ascii="Calibri" w:hAnsi="Calibri" w:cs="Calibri"/>
                <w:b/>
                <w:szCs w:val="20"/>
              </w:rPr>
            </w:pPr>
            <w:r w:rsidRPr="00F8728A">
              <w:rPr>
                <w:rFonts w:ascii="Calibri" w:hAnsi="Calibri" w:cs="Calibri"/>
                <w:b/>
                <w:szCs w:val="20"/>
              </w:rPr>
              <w:t>39</w:t>
            </w:r>
          </w:p>
        </w:tc>
      </w:tr>
      <w:tr w:rsidR="00AA4661" w:rsidRPr="00F8728A" w:rsidTr="005E006B">
        <w:trPr>
          <w:jc w:val="center"/>
        </w:trPr>
        <w:tc>
          <w:tcPr>
            <w:tcW w:w="3096" w:type="dxa"/>
            <w:shd w:val="clear" w:color="auto" w:fill="B8CCE4"/>
          </w:tcPr>
          <w:p w:rsidR="00AA4661" w:rsidRPr="00F8728A" w:rsidRDefault="00AA4661" w:rsidP="00586A53">
            <w:pPr>
              <w:spacing w:before="40" w:after="40"/>
              <w:jc w:val="both"/>
              <w:rPr>
                <w:rFonts w:ascii="Calibri" w:hAnsi="Calibri" w:cs="Calibri"/>
                <w:b/>
                <w:szCs w:val="20"/>
              </w:rPr>
            </w:pPr>
            <w:r w:rsidRPr="00F8728A">
              <w:rPr>
                <w:rFonts w:ascii="Calibri" w:hAnsi="Calibri" w:cs="Calibri"/>
                <w:b/>
              </w:rPr>
              <w:t>Планински и полупланински</w:t>
            </w:r>
            <w:r w:rsidRPr="00F8728A">
              <w:rPr>
                <w:rStyle w:val="FootnoteReference"/>
                <w:rFonts w:ascii="Calibri" w:hAnsi="Calibri" w:cs="Calibri"/>
                <w:b/>
                <w:szCs w:val="20"/>
              </w:rPr>
              <w:footnoteReference w:id="9"/>
            </w:r>
          </w:p>
        </w:tc>
        <w:tc>
          <w:tcPr>
            <w:tcW w:w="1123" w:type="dxa"/>
            <w:vAlign w:val="bottom"/>
          </w:tcPr>
          <w:p w:rsidR="00AA4661" w:rsidRPr="00F8728A" w:rsidRDefault="00AA4661" w:rsidP="00586A53">
            <w:pPr>
              <w:spacing w:before="40" w:after="40"/>
              <w:jc w:val="center"/>
              <w:rPr>
                <w:rFonts w:ascii="Calibri" w:hAnsi="Calibri" w:cs="Calibri"/>
                <w:b/>
                <w:szCs w:val="20"/>
              </w:rPr>
            </w:pPr>
            <w:r w:rsidRPr="00F8728A">
              <w:rPr>
                <w:rFonts w:ascii="Calibri" w:hAnsi="Calibri" w:cs="Calibri"/>
                <w:b/>
                <w:szCs w:val="20"/>
              </w:rPr>
              <w:t>100</w:t>
            </w:r>
          </w:p>
        </w:tc>
        <w:tc>
          <w:tcPr>
            <w:tcW w:w="1134" w:type="dxa"/>
            <w:vAlign w:val="bottom"/>
          </w:tcPr>
          <w:p w:rsidR="00AA4661" w:rsidRPr="00F8728A" w:rsidRDefault="00AA4661" w:rsidP="00586A53">
            <w:pPr>
              <w:spacing w:before="40" w:after="40"/>
              <w:jc w:val="center"/>
              <w:rPr>
                <w:rFonts w:ascii="Calibri" w:hAnsi="Calibri" w:cs="Calibri"/>
                <w:b/>
                <w:szCs w:val="20"/>
              </w:rPr>
            </w:pPr>
            <w:r w:rsidRPr="00F8728A">
              <w:rPr>
                <w:rFonts w:ascii="Calibri" w:hAnsi="Calibri" w:cs="Calibri"/>
                <w:b/>
                <w:szCs w:val="20"/>
              </w:rPr>
              <w:t>39</w:t>
            </w:r>
          </w:p>
        </w:tc>
        <w:tc>
          <w:tcPr>
            <w:tcW w:w="1276" w:type="dxa"/>
            <w:vAlign w:val="bottom"/>
          </w:tcPr>
          <w:p w:rsidR="00AA4661" w:rsidRPr="00F8728A" w:rsidRDefault="00AA4661" w:rsidP="00586A53">
            <w:pPr>
              <w:spacing w:before="40" w:after="40"/>
              <w:jc w:val="center"/>
              <w:rPr>
                <w:rFonts w:ascii="Calibri" w:hAnsi="Calibri" w:cs="Calibri"/>
                <w:b/>
                <w:szCs w:val="20"/>
              </w:rPr>
            </w:pPr>
            <w:r w:rsidRPr="00F8728A">
              <w:rPr>
                <w:rFonts w:ascii="Calibri" w:hAnsi="Calibri" w:cs="Calibri"/>
                <w:b/>
                <w:szCs w:val="20"/>
              </w:rPr>
              <w:t>2</w:t>
            </w:r>
            <w:r w:rsidR="00381124">
              <w:rPr>
                <w:rFonts w:ascii="Calibri" w:hAnsi="Calibri" w:cs="Calibri"/>
                <w:b/>
                <w:szCs w:val="20"/>
              </w:rPr>
              <w:t xml:space="preserve"> </w:t>
            </w:r>
            <w:r w:rsidRPr="00F8728A">
              <w:rPr>
                <w:rFonts w:ascii="Calibri" w:hAnsi="Calibri" w:cs="Calibri"/>
                <w:b/>
                <w:szCs w:val="20"/>
              </w:rPr>
              <w:t>265</w:t>
            </w:r>
            <w:r w:rsidR="00381124">
              <w:rPr>
                <w:rFonts w:ascii="Calibri" w:hAnsi="Calibri" w:cs="Calibri"/>
                <w:b/>
                <w:szCs w:val="20"/>
              </w:rPr>
              <w:t xml:space="preserve"> </w:t>
            </w:r>
            <w:r w:rsidRPr="00F8728A">
              <w:rPr>
                <w:rFonts w:ascii="Calibri" w:hAnsi="Calibri" w:cs="Calibri"/>
                <w:b/>
                <w:szCs w:val="20"/>
              </w:rPr>
              <w:t>446</w:t>
            </w:r>
          </w:p>
        </w:tc>
        <w:tc>
          <w:tcPr>
            <w:tcW w:w="1186" w:type="dxa"/>
            <w:vAlign w:val="bottom"/>
          </w:tcPr>
          <w:p w:rsidR="00AA4661" w:rsidRPr="00F8728A" w:rsidRDefault="00AA4661" w:rsidP="00586A53">
            <w:pPr>
              <w:spacing w:before="40" w:after="40"/>
              <w:jc w:val="center"/>
              <w:rPr>
                <w:rFonts w:ascii="Calibri" w:hAnsi="Calibri" w:cs="Calibri"/>
                <w:b/>
                <w:szCs w:val="20"/>
              </w:rPr>
            </w:pPr>
            <w:r w:rsidRPr="00F8728A">
              <w:rPr>
                <w:rFonts w:ascii="Calibri" w:hAnsi="Calibri" w:cs="Calibri"/>
                <w:b/>
                <w:szCs w:val="20"/>
              </w:rPr>
              <w:t>44</w:t>
            </w:r>
          </w:p>
        </w:tc>
      </w:tr>
    </w:tbl>
    <w:p w:rsidR="00AA4661" w:rsidRPr="00F8728A" w:rsidRDefault="00AA4661" w:rsidP="00123161">
      <w:pPr>
        <w:pStyle w:val="Source"/>
        <w:jc w:val="center"/>
      </w:pPr>
      <w:r w:rsidRPr="00F8728A">
        <w:t>Източник: НСИ и БАН, 2017 г. Съставено от НЦТР.</w:t>
      </w:r>
    </w:p>
    <w:p w:rsidR="00AA4661" w:rsidRPr="00B73D7E" w:rsidRDefault="00AA4661" w:rsidP="00CF297A">
      <w:pPr>
        <w:pStyle w:val="BodyText"/>
        <w:numPr>
          <w:ilvl w:val="0"/>
          <w:numId w:val="41"/>
        </w:numPr>
        <w:ind w:left="0" w:firstLine="0"/>
        <w:rPr>
          <w:lang w:val="bg-BG"/>
        </w:rPr>
      </w:pPr>
      <w:r w:rsidRPr="00B73D7E">
        <w:rPr>
          <w:lang w:val="bg-BG"/>
        </w:rPr>
        <w:t>Въпреки че най-малобройната група е тази на крайбрежните градове по р. Дунав и Черно море, в които живее 18 процента от населението в градовете, пет от тези градове са областни центрове, а три (Варна, Бургас и Русе) са големи градове с население над 100</w:t>
      </w:r>
      <w:r w:rsidR="00381124">
        <w:rPr>
          <w:lang w:val="en-US"/>
        </w:rPr>
        <w:t xml:space="preserve"> </w:t>
      </w:r>
      <w:r w:rsidRPr="00B73D7E">
        <w:rPr>
          <w:lang w:val="bg-BG"/>
        </w:rPr>
        <w:t xml:space="preserve">000 души. Имайки предвид увеличението на населението поради посетителите през летния туристически сезон, повече от 1,5 милиона души по Черноморското крайбрежие са изложени на риска от ИК. Двата големи града по Черно-морското крайбрежие са Варна и Бургас. Градовете с най-голямо сезонно увеличение поради туризъм са разположени по Черноморското крайбрежие (Варна, Бургас) и в локации за зимни спортове, като например Боровец и Банско. Най-големият брой градове и най-големият дял на градското население, което представлява 83 процента от градското население, живее в 229-те града, разположени в равнинни и планински и полупланински територии. София, столицата, която е с най-многобройно население, е </w:t>
      </w:r>
      <w:r w:rsidRPr="00B73D7E">
        <w:rPr>
          <w:lang w:val="bg-BG"/>
        </w:rPr>
        <w:lastRenderedPageBreak/>
        <w:t xml:space="preserve">разположена в планинска и полупланинска зона, наред с Пловдив и Стара Загора, които са двата ключови икономически центъра. В групата на градовете, разположени в равнинни зони, населението в градовете, разположени покрай реките Марица, Тунджа, Арда, Струма, Места, Искър, Янтра, Осъм и Камчия е в по-висок риск. </w:t>
      </w:r>
    </w:p>
    <w:p w:rsidR="00AA4661" w:rsidRPr="00B73D7E" w:rsidRDefault="00AA4661" w:rsidP="00491557">
      <w:pPr>
        <w:pStyle w:val="Heading4"/>
        <w:rPr>
          <w:lang w:val="bg-BG"/>
        </w:rPr>
      </w:pPr>
      <w:r w:rsidRPr="00B73D7E">
        <w:rPr>
          <w:lang w:val="bg-BG"/>
        </w:rPr>
        <w:t>Модел на урбанизация</w:t>
      </w:r>
    </w:p>
    <w:p w:rsidR="00AA4661" w:rsidRPr="00B73D7E" w:rsidRDefault="00AA4661" w:rsidP="00CF297A">
      <w:pPr>
        <w:pStyle w:val="BodyText"/>
        <w:numPr>
          <w:ilvl w:val="0"/>
          <w:numId w:val="41"/>
        </w:numPr>
        <w:ind w:left="0" w:firstLine="0"/>
        <w:rPr>
          <w:lang w:val="bg-BG"/>
        </w:rPr>
      </w:pPr>
      <w:r w:rsidRPr="00B73D7E">
        <w:rPr>
          <w:lang w:val="bg-BG"/>
        </w:rPr>
        <w:t xml:space="preserve">Концентрацията на населението в няколко големи града в страната и регионалните различия са сред основните причини в страната да бъде планиран преход от моноцентричен към полицентричен модел на градско развитие, който е акцент в националната регионална политика. </w:t>
      </w:r>
    </w:p>
    <w:p w:rsidR="00AA4661" w:rsidRPr="00B73D7E" w:rsidRDefault="00AA4661" w:rsidP="00CF297A">
      <w:pPr>
        <w:pStyle w:val="BodyText"/>
        <w:numPr>
          <w:ilvl w:val="0"/>
          <w:numId w:val="41"/>
        </w:numPr>
        <w:ind w:left="0" w:firstLine="0"/>
        <w:rPr>
          <w:iCs/>
          <w:lang w:val="bg-BG"/>
        </w:rPr>
      </w:pPr>
      <w:r w:rsidRPr="00B73D7E">
        <w:rPr>
          <w:lang w:val="bg-BG"/>
        </w:rPr>
        <w:t>Една от основните цели на Националната концепция за пространствено развитие (НКПР) (2013–2015 г.)</w:t>
      </w:r>
      <w:r w:rsidRPr="00B73D7E">
        <w:rPr>
          <w:iCs/>
          <w:vertAlign w:val="superscript"/>
          <w:lang w:val="bg-BG"/>
        </w:rPr>
        <w:footnoteReference w:id="10"/>
      </w:r>
      <w:r w:rsidRPr="00B73D7E">
        <w:rPr>
          <w:lang w:val="bg-BG"/>
        </w:rPr>
        <w:t xml:space="preserve"> е „Полицентрично териториално развитие“ – Укрепване на полицентрична мрежа от градове-центрове с подобрено качество на градската среда, допринасящи за постигането на балансирано териториално развитие и премахване на различията между централните градски и периферните селски райони.</w:t>
      </w:r>
    </w:p>
    <w:p w:rsidR="00AA4661" w:rsidRPr="00B73D7E" w:rsidRDefault="00AA4661" w:rsidP="00CF297A">
      <w:pPr>
        <w:pStyle w:val="BodyText"/>
        <w:numPr>
          <w:ilvl w:val="0"/>
          <w:numId w:val="41"/>
        </w:numPr>
        <w:ind w:left="0" w:firstLine="0"/>
        <w:rPr>
          <w:lang w:val="bg-BG"/>
        </w:rPr>
      </w:pPr>
      <w:r w:rsidRPr="00B73D7E">
        <w:rPr>
          <w:lang w:val="bg-BG"/>
        </w:rPr>
        <w:t>Възприетият „</w:t>
      </w:r>
      <w:r w:rsidRPr="00B73D7E">
        <w:rPr>
          <w:i/>
          <w:lang w:val="bg-BG"/>
        </w:rPr>
        <w:t>умерен полицентричен модел</w:t>
      </w:r>
      <w:r w:rsidRPr="00B73D7E">
        <w:rPr>
          <w:lang w:val="bg-BG"/>
        </w:rPr>
        <w:t xml:space="preserve">“ се счита за постижим при условия на понижени равнища на намаляване на населението и успешно приложена регионална политика, придружена от икономически растеж, умерени технологични иновации и развитие и подобряване на техническата инфраструктура. </w:t>
      </w:r>
    </w:p>
    <w:p w:rsidR="00AA4661" w:rsidRPr="00B73D7E" w:rsidRDefault="00AA4661" w:rsidP="00CF297A">
      <w:pPr>
        <w:pStyle w:val="BodyText"/>
        <w:numPr>
          <w:ilvl w:val="0"/>
          <w:numId w:val="41"/>
        </w:numPr>
        <w:spacing w:after="0"/>
        <w:ind w:left="0" w:firstLine="0"/>
        <w:rPr>
          <w:lang w:val="bg-BG"/>
        </w:rPr>
      </w:pPr>
      <w:r w:rsidRPr="00B73D7E">
        <w:rPr>
          <w:lang w:val="bg-BG"/>
        </w:rPr>
        <w:t>АИК е заложено като приоритет в стратегическа цел 5 „</w:t>
      </w:r>
      <w:r w:rsidRPr="00B73D7E">
        <w:rPr>
          <w:i/>
          <w:lang w:val="bg-BG"/>
        </w:rPr>
        <w:t>Стимулирано развитие на специфични територии</w:t>
      </w:r>
      <w:r w:rsidRPr="00B73D7E">
        <w:rPr>
          <w:lang w:val="bg-BG"/>
        </w:rPr>
        <w:t xml:space="preserve">“. Целта тук е възстановяване на нарушени територии, включително тези по крайбрежието на река Дунав и Черно море, защита на териториите, уязвими на социални и екологични рискове, съхраняване на мрежата от „сини“ и „зелени“ коридори и намаляване на риска от природни бедствия. </w:t>
      </w:r>
    </w:p>
    <w:p w:rsidR="00AA4661" w:rsidRPr="00F8728A" w:rsidRDefault="00AA4661" w:rsidP="00B73D7E">
      <w:pPr>
        <w:pStyle w:val="FiguresTablesCaption"/>
      </w:pPr>
      <w:bookmarkStart w:id="77" w:name="_Toc506143760"/>
      <w:bookmarkStart w:id="78" w:name="_Toc529286483"/>
      <w:bookmarkStart w:id="79" w:name="_Toc529286558"/>
      <w:r w:rsidRPr="00F8728A">
        <w:t xml:space="preserve">Фигура </w:t>
      </w:r>
      <w:r w:rsidRPr="00F8728A">
        <w:fldChar w:fldCharType="begin"/>
      </w:r>
      <w:r w:rsidRPr="00F8728A">
        <w:instrText xml:space="preserve"> SEQ Figure \* ARABIC </w:instrText>
      </w:r>
      <w:r w:rsidRPr="00F8728A">
        <w:fldChar w:fldCharType="separate"/>
      </w:r>
      <w:r w:rsidRPr="00F8728A">
        <w:t>8</w:t>
      </w:r>
      <w:r w:rsidRPr="00F8728A">
        <w:fldChar w:fldCharType="end"/>
      </w:r>
      <w:r w:rsidRPr="00F8728A">
        <w:t>. Модел на умерен полицентризъм, НКПР (2013–2025 г.)</w:t>
      </w:r>
      <w:bookmarkEnd w:id="77"/>
      <w:bookmarkEnd w:id="78"/>
      <w:bookmarkEnd w:id="79"/>
    </w:p>
    <w:p w:rsidR="00AA4661" w:rsidRPr="00F8728A" w:rsidRDefault="00084198" w:rsidP="00E37DE2">
      <w:pPr>
        <w:pStyle w:val="TableHeading"/>
        <w:spacing w:before="80"/>
        <w:rPr>
          <w:b w:val="0"/>
          <w:bCs/>
          <w:szCs w:val="20"/>
        </w:rPr>
      </w:pPr>
      <w:r w:rsidRPr="00B73D7E">
        <w:rPr>
          <w:b w:val="0"/>
          <w:noProof/>
          <w:szCs w:val="20"/>
          <w:lang w:val="en-US"/>
        </w:rPr>
        <w:drawing>
          <wp:inline distT="0" distB="0" distL="0" distR="0" wp14:anchorId="748EC196" wp14:editId="23A59B71">
            <wp:extent cx="4629785" cy="3067050"/>
            <wp:effectExtent l="19050" t="19050" r="0" b="0"/>
            <wp:docPr id="7"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31">
                      <a:extLst>
                        <a:ext uri="{28A0092B-C50C-407E-A947-70E740481C1C}">
                          <a14:useLocalDpi xmlns:a14="http://schemas.microsoft.com/office/drawing/2010/main" val="0"/>
                        </a:ext>
                      </a:extLst>
                    </a:blip>
                    <a:srcRect l="407" t="1076" r="507" b="1216"/>
                    <a:stretch>
                      <a:fillRect/>
                    </a:stretch>
                  </pic:blipFill>
                  <pic:spPr bwMode="auto">
                    <a:xfrm>
                      <a:off x="0" y="0"/>
                      <a:ext cx="4629785" cy="3067050"/>
                    </a:xfrm>
                    <a:prstGeom prst="rect">
                      <a:avLst/>
                    </a:prstGeom>
                    <a:noFill/>
                    <a:ln w="9525" cmpd="sng" algn="ctr">
                      <a:solidFill>
                        <a:srgbClr val="5B9BD5"/>
                      </a:solidFill>
                      <a:miter lim="800000"/>
                      <a:headEnd/>
                      <a:tailEnd/>
                    </a:ln>
                    <a:effectLst/>
                  </pic:spPr>
                </pic:pic>
              </a:graphicData>
            </a:graphic>
          </wp:inline>
        </w:drawing>
      </w:r>
    </w:p>
    <w:p w:rsidR="00AA4661" w:rsidRPr="00F8728A" w:rsidRDefault="00AA4661" w:rsidP="00B73D7E">
      <w:pPr>
        <w:pStyle w:val="Source"/>
        <w:jc w:val="center"/>
      </w:pPr>
      <w:r w:rsidRPr="00F8728A">
        <w:t>Източник: Министерство на регионалното развитие и благоустройството (МРРБ), НЦТР.</w:t>
      </w:r>
    </w:p>
    <w:p w:rsidR="00AA4661" w:rsidRPr="00B73D7E" w:rsidRDefault="00AA4661" w:rsidP="00CF297A">
      <w:pPr>
        <w:pStyle w:val="BodyText"/>
        <w:numPr>
          <w:ilvl w:val="0"/>
          <w:numId w:val="41"/>
        </w:numPr>
        <w:ind w:left="0" w:firstLine="0"/>
        <w:rPr>
          <w:lang w:val="bg-BG"/>
        </w:rPr>
      </w:pPr>
      <w:r w:rsidRPr="00B73D7E">
        <w:rPr>
          <w:lang w:val="bg-BG"/>
        </w:rPr>
        <w:lastRenderedPageBreak/>
        <w:t xml:space="preserve">Избраните основни градове в документа, въз основа на техните социално-икономически характеристики и потенциал за растеж, имат основната задача да осигуряват връзки с европейските и националните мрежи, системи и градски центрове, както и да предоставят по-висококачествени административни, образователни, здравни, културни и социални услуги на съседните по-малки населени места. Те са основни градски центрове за интегрирано разпределение на инвестиции от оперативна програма „Региони в растеж“ (ОПРР), която се очаква да подобри управлението на риска от бедствия (УРБ), както и капацитета за адаптация към изменението на климата.           </w:t>
      </w:r>
    </w:p>
    <w:p w:rsidR="00AA4661" w:rsidRPr="00B73D7E" w:rsidRDefault="00AA4661" w:rsidP="00CF297A">
      <w:pPr>
        <w:pStyle w:val="BodyText"/>
        <w:numPr>
          <w:ilvl w:val="0"/>
          <w:numId w:val="41"/>
        </w:numPr>
        <w:ind w:left="0" w:firstLine="0"/>
        <w:rPr>
          <w:lang w:val="bg-BG"/>
        </w:rPr>
      </w:pPr>
      <w:r w:rsidRPr="00B73D7E">
        <w:rPr>
          <w:lang w:val="bg-BG"/>
        </w:rPr>
        <w:t xml:space="preserve">Прилагането на този ключов национален документ за пространствено планиране е от изключително значение за координиране на секторните политики и обвързването им с националната територия, като се вземе предвид не само техният потенциал за развитие, но и ограниченията и рисковете за растежа. В допълнение към това, намаляването на тенденциите на моноцентрично градско развитие ще съхрани мрежата от основни градове, които осигуряват услуги от ключово значение за периферните зони с концентрация на силно уязвимо население. Разпределението на населението, инвестиционната активност и услугите сред няколко основни центъра в страната ще намали натиска върху най-големите градове, тяхната инфраструктура и институциите, отговорни за управлението на риска от ИК и адаптирането към него. </w:t>
      </w:r>
    </w:p>
    <w:p w:rsidR="00AA4661" w:rsidRPr="00B73D7E" w:rsidRDefault="00AA4661" w:rsidP="00491557">
      <w:pPr>
        <w:pStyle w:val="Heading4"/>
        <w:rPr>
          <w:lang w:val="bg-BG"/>
        </w:rPr>
      </w:pPr>
      <w:r w:rsidRPr="00B73D7E">
        <w:rPr>
          <w:lang w:val="bg-BG"/>
        </w:rPr>
        <w:t>Пространствена структура</w:t>
      </w:r>
    </w:p>
    <w:p w:rsidR="00AA4661" w:rsidRPr="00B73D7E" w:rsidRDefault="00AA4661" w:rsidP="00CF297A">
      <w:pPr>
        <w:pStyle w:val="BodyText"/>
        <w:numPr>
          <w:ilvl w:val="0"/>
          <w:numId w:val="41"/>
        </w:numPr>
        <w:ind w:left="0" w:firstLine="0"/>
        <w:rPr>
          <w:lang w:val="bg-BG"/>
        </w:rPr>
      </w:pPr>
      <w:r w:rsidRPr="00B73D7E">
        <w:rPr>
          <w:lang w:val="bg-BG"/>
        </w:rPr>
        <w:t xml:space="preserve">Българските градове традиционно са се развивали като компактни структури и рядко като линейни покрай планини, долини или реки. По време на периода на бърза урбанизация през втората половина на ХХ век строителството на многофамилни жилищни комплекси не е довело до значително разпростиране на градовете, въпреки увеличението на градското население. </w:t>
      </w:r>
    </w:p>
    <w:p w:rsidR="00AA4661" w:rsidRPr="00B73D7E" w:rsidRDefault="00AA4661" w:rsidP="00CF297A">
      <w:pPr>
        <w:pStyle w:val="BodyText"/>
        <w:numPr>
          <w:ilvl w:val="0"/>
          <w:numId w:val="41"/>
        </w:numPr>
        <w:ind w:left="0" w:firstLine="0"/>
        <w:rPr>
          <w:lang w:val="bg-BG"/>
        </w:rPr>
      </w:pPr>
      <w:r w:rsidRPr="00B73D7E">
        <w:rPr>
          <w:lang w:val="bg-BG"/>
        </w:rPr>
        <w:t xml:space="preserve">През последните две десетилетия е видно значително развитие на периферните зони на големите градове в следствие на строителния  бум и търсенето на модерни жилища и търговски и производствени комплекси. Типичен пример за това е Пловдив – град със стабилен брой жители, където въпреки съществуващия потенциал на урбанизираните територии редица промишлени и логистични комплекси са изградени на плодородна земя покрай автомагистралите. </w:t>
      </w:r>
    </w:p>
    <w:p w:rsidR="00AA4661" w:rsidRPr="00B73D7E" w:rsidRDefault="00AA4661" w:rsidP="00CF297A">
      <w:pPr>
        <w:pStyle w:val="BodyText"/>
        <w:numPr>
          <w:ilvl w:val="0"/>
          <w:numId w:val="41"/>
        </w:numPr>
        <w:ind w:left="0" w:firstLine="0"/>
        <w:rPr>
          <w:color w:val="FF0000"/>
          <w:lang w:val="bg-BG"/>
        </w:rPr>
      </w:pPr>
      <w:r w:rsidRPr="00B73D7E">
        <w:rPr>
          <w:lang w:val="bg-BG"/>
        </w:rPr>
        <w:t>Съхраняването на традиционната градска структура на компактно развитие е една от основните задачи на новите общи устройствени планове, с цел не само намаляване на общинските разходи за осигуряване и поддръжка на техническа инфраструктура, но и за по-ефективно енергоснабдяване.</w:t>
      </w:r>
      <w:r w:rsidRPr="00B73D7E">
        <w:rPr>
          <w:color w:val="FF0000"/>
          <w:lang w:val="bg-BG"/>
        </w:rPr>
        <w:t xml:space="preserve"> </w:t>
      </w:r>
    </w:p>
    <w:p w:rsidR="00AA4661" w:rsidRPr="00B73D7E" w:rsidRDefault="00AA4661" w:rsidP="00491557">
      <w:pPr>
        <w:pStyle w:val="Heading4"/>
        <w:rPr>
          <w:lang w:val="bg-BG"/>
        </w:rPr>
      </w:pPr>
      <w:r w:rsidRPr="00B73D7E">
        <w:rPr>
          <w:lang w:val="bg-BG"/>
        </w:rPr>
        <w:t>Териториално зониране</w:t>
      </w:r>
    </w:p>
    <w:p w:rsidR="00AA4661" w:rsidRPr="00B73D7E" w:rsidRDefault="00AA4661" w:rsidP="00CF297A">
      <w:pPr>
        <w:pStyle w:val="BodyText"/>
        <w:numPr>
          <w:ilvl w:val="0"/>
          <w:numId w:val="41"/>
        </w:numPr>
        <w:ind w:left="0" w:firstLine="0"/>
        <w:rPr>
          <w:lang w:val="bg-BG"/>
        </w:rPr>
      </w:pPr>
      <w:r w:rsidRPr="00B73D7E">
        <w:rPr>
          <w:lang w:val="bg-BG"/>
        </w:rPr>
        <w:t>Уязвимостта на градовете към изменението на климата зависи в голяма степен и от земеползването в тях и приложеното териториално зониране и нормативи за устройство на територията. В Закона за устройство на територията  и нормативната уредба по устройство на територията са дефинирани седем категории територии – „</w:t>
      </w:r>
      <w:r w:rsidRPr="00B73D7E">
        <w:rPr>
          <w:i/>
          <w:iCs/>
          <w:lang w:val="bg-BG"/>
        </w:rPr>
        <w:t>урбанизирани територии</w:t>
      </w:r>
      <w:r w:rsidRPr="00B73D7E">
        <w:rPr>
          <w:i/>
          <w:iCs/>
          <w:color w:val="333333"/>
          <w:sz w:val="21"/>
          <w:szCs w:val="21"/>
          <w:shd w:val="clear" w:color="auto" w:fill="FFFFFF"/>
          <w:lang w:val="bg-BG"/>
        </w:rPr>
        <w:t xml:space="preserve"> </w:t>
      </w:r>
      <w:r w:rsidRPr="00B73D7E">
        <w:rPr>
          <w:i/>
          <w:iCs/>
          <w:color w:val="333333"/>
          <w:shd w:val="clear" w:color="auto" w:fill="FFFFFF"/>
          <w:lang w:val="bg-BG"/>
        </w:rPr>
        <w:t xml:space="preserve">(населени места и селищни образувания), земеделски територии, горски територии, защитени територии, нарушени територии за възстановяване, територии, заети от води и водни обекти и </w:t>
      </w:r>
      <w:r w:rsidRPr="00B73D7E">
        <w:rPr>
          <w:i/>
          <w:iCs/>
          <w:lang w:val="bg-BG"/>
        </w:rPr>
        <w:t xml:space="preserve">територии на </w:t>
      </w:r>
      <w:r w:rsidRPr="00B73D7E">
        <w:rPr>
          <w:i/>
          <w:iCs/>
          <w:lang w:val="bg-BG"/>
        </w:rPr>
        <w:lastRenderedPageBreak/>
        <w:t>транспорта</w:t>
      </w:r>
      <w:r w:rsidRPr="00B73D7E">
        <w:rPr>
          <w:lang w:val="bg-BG"/>
        </w:rPr>
        <w:t>“</w:t>
      </w:r>
      <w:r w:rsidRPr="00B73D7E">
        <w:rPr>
          <w:rStyle w:val="FootnoteReference"/>
          <w:lang w:val="bg-BG"/>
        </w:rPr>
        <w:footnoteReference w:id="11"/>
      </w:r>
      <w:r w:rsidRPr="00B73D7E">
        <w:rPr>
          <w:lang w:val="bg-BG"/>
        </w:rPr>
        <w:t>. В края на 2015 г. урбанизираните територии обхващат 5 процента от общата площ на страната, докато земеделските земи са 47 процента, горските – 38 процента, а защитените територии са 5 процента.</w:t>
      </w:r>
      <w:r w:rsidRPr="00B73D7E">
        <w:rPr>
          <w:rStyle w:val="FootnoteReference"/>
          <w:color w:val="000000"/>
          <w:lang w:val="bg-BG"/>
        </w:rPr>
        <w:footnoteReference w:id="12"/>
      </w:r>
    </w:p>
    <w:p w:rsidR="00AA4661" w:rsidRPr="00B73D7E" w:rsidRDefault="00AA4661" w:rsidP="00CF297A">
      <w:pPr>
        <w:pStyle w:val="BodyText"/>
        <w:numPr>
          <w:ilvl w:val="0"/>
          <w:numId w:val="41"/>
        </w:numPr>
        <w:ind w:left="0" w:firstLine="0"/>
        <w:rPr>
          <w:lang w:val="bg-BG"/>
        </w:rPr>
      </w:pPr>
      <w:r w:rsidRPr="00B73D7E">
        <w:rPr>
          <w:lang w:val="bg-BG"/>
        </w:rPr>
        <w:t>Специфичното земеползване на различните територии се определя от общите устройствени планове. Урбанизираните територии включват различни видове жилищни зони, публични и бизнес зони, промишлени и производствени зони, зони със смесено/многофункционално предназначение, зони за спорт и атракции, зони за транспортна и техническа инфраструктура, зони за социални и обществени услуги и т.н. Жилищните зони заемат най-големия териториален дял в градовете и в зависимост от населението варират между 50 процента от територията в големите градове до 75 процента в малките. Градовете с над 400</w:t>
      </w:r>
      <w:r w:rsidR="00381124">
        <w:rPr>
          <w:lang w:val="en-US"/>
        </w:rPr>
        <w:t xml:space="preserve"> </w:t>
      </w:r>
      <w:r w:rsidRPr="00B73D7E">
        <w:rPr>
          <w:lang w:val="bg-BG"/>
        </w:rPr>
        <w:t>000 жители са предмет на специален анализ от гледна точка на земеползването и зонирането.</w:t>
      </w:r>
      <w:r w:rsidRPr="00B73D7E">
        <w:rPr>
          <w:color w:val="000000"/>
          <w:lang w:val="bg-BG"/>
        </w:rPr>
        <w:t xml:space="preserve"> </w:t>
      </w:r>
      <w:r w:rsidRPr="00B73D7E">
        <w:rPr>
          <w:lang w:val="bg-BG"/>
        </w:rPr>
        <w:t>Зелените зони се изчисляват на 20 м</w:t>
      </w:r>
      <w:r w:rsidRPr="00B73D7E">
        <w:rPr>
          <w:vertAlign w:val="superscript"/>
          <w:lang w:val="bg-BG"/>
        </w:rPr>
        <w:t>2</w:t>
      </w:r>
      <w:r w:rsidRPr="00B73D7E">
        <w:rPr>
          <w:lang w:val="bg-BG"/>
        </w:rPr>
        <w:t xml:space="preserve"> на човек за големите градове и 8 м</w:t>
      </w:r>
      <w:r w:rsidRPr="00B73D7E">
        <w:rPr>
          <w:vertAlign w:val="superscript"/>
          <w:lang w:val="bg-BG"/>
        </w:rPr>
        <w:t>2</w:t>
      </w:r>
      <w:r w:rsidRPr="00B73D7E">
        <w:rPr>
          <w:lang w:val="bg-BG"/>
        </w:rPr>
        <w:t xml:space="preserve"> на човек в много малките.</w:t>
      </w:r>
      <w:r w:rsidRPr="00B73D7E">
        <w:rPr>
          <w:rStyle w:val="FootnoteReference"/>
          <w:lang w:val="bg-BG"/>
        </w:rPr>
        <w:footnoteReference w:id="13"/>
      </w:r>
    </w:p>
    <w:p w:rsidR="00AA4661" w:rsidRPr="00B73D7E" w:rsidRDefault="00AA4661" w:rsidP="00CF297A">
      <w:pPr>
        <w:pStyle w:val="BodyText"/>
        <w:numPr>
          <w:ilvl w:val="0"/>
          <w:numId w:val="41"/>
        </w:numPr>
        <w:ind w:left="0" w:firstLine="0"/>
        <w:rPr>
          <w:lang w:val="bg-BG"/>
        </w:rPr>
      </w:pPr>
      <w:r w:rsidRPr="00B73D7E">
        <w:rPr>
          <w:lang w:val="bg-BG"/>
        </w:rPr>
        <w:t xml:space="preserve">Големите трансформации в земеползването и зонирането през последните две десетилетия – следствие от реформата и реституцията на земята, засегна цялостното градско планиране и развитие и допринесе за изключително нарастване на гъстотата на обитаване в най-привлекателните застроени градски зони. Намаленият брой открити и зелени пространства, главно в жилищните зони, компрометира качеството на градската среда и увеличава уязвимостта на тези зони на екстремни климатични събития, като например високи температури и интензивни валежи. </w:t>
      </w:r>
    </w:p>
    <w:p w:rsidR="00AA4661" w:rsidRPr="00B73D7E" w:rsidRDefault="00AA4661" w:rsidP="00491557">
      <w:pPr>
        <w:pStyle w:val="Heading4"/>
        <w:rPr>
          <w:lang w:val="bg-BG"/>
        </w:rPr>
      </w:pPr>
      <w:r w:rsidRPr="00B73D7E">
        <w:rPr>
          <w:lang w:val="bg-BG"/>
        </w:rPr>
        <w:t>Градска инфраструктура</w:t>
      </w:r>
    </w:p>
    <w:p w:rsidR="00AA4661" w:rsidRPr="00B73D7E" w:rsidRDefault="00AA4661" w:rsidP="00CF297A">
      <w:pPr>
        <w:pStyle w:val="BodyText"/>
        <w:numPr>
          <w:ilvl w:val="0"/>
          <w:numId w:val="41"/>
        </w:numPr>
        <w:ind w:left="0" w:firstLine="0"/>
        <w:rPr>
          <w:lang w:val="bg-BG"/>
        </w:rPr>
      </w:pPr>
      <w:r w:rsidRPr="00B73D7E">
        <w:rPr>
          <w:lang w:val="bg-BG"/>
        </w:rPr>
        <w:t>Анализът на местоположението и състоянието на градската транспортна, техническа и социална инфраструктура, показва концентрация на обекти и съоръжения и по-високо качество на услугите в големите градове, което отчасти се дължи на политиката на ЕС за регионално и градско развитие и на концентрацията на инвестиции в силно развити градски центрове.</w:t>
      </w:r>
      <w:r w:rsidRPr="00B73D7E">
        <w:rPr>
          <w:color w:val="000000"/>
          <w:lang w:val="bg-BG"/>
        </w:rPr>
        <w:t xml:space="preserve"> </w:t>
      </w:r>
      <w:r w:rsidRPr="00B73D7E">
        <w:rPr>
          <w:lang w:val="bg-BG"/>
        </w:rPr>
        <w:t>Местоположението на болници, центрове за спешна помощ, образователни обекти, регионални полицейски управления, съдилища, пожарни и други обекти и съоръжения, свързани с безопасността и достъпността, са сред критериите, които определят системата от градове  центрове в полицентричния модел за градско развитие в НКПР за периода 2013–2025 г.</w:t>
      </w:r>
      <w:r w:rsidRPr="00B73D7E">
        <w:rPr>
          <w:rStyle w:val="FootnoteReference"/>
          <w:color w:val="000000"/>
          <w:lang w:val="bg-BG"/>
        </w:rPr>
        <w:footnoteReference w:id="14"/>
      </w:r>
      <w:r w:rsidRPr="00B73D7E">
        <w:rPr>
          <w:lang w:val="bg-BG"/>
        </w:rPr>
        <w:t xml:space="preserve"> (вж. </w:t>
      </w:r>
      <w:r w:rsidRPr="00B73D7E">
        <w:rPr>
          <w:b/>
          <w:i/>
          <w:iCs/>
          <w:lang w:val="bg-BG"/>
        </w:rPr>
        <w:t>фигури 22, 23, 24</w:t>
      </w:r>
      <w:r w:rsidR="00BF3C54" w:rsidRPr="00B73D7E">
        <w:rPr>
          <w:b/>
          <w:i/>
          <w:iCs/>
          <w:lang w:val="bg-BG"/>
        </w:rPr>
        <w:t xml:space="preserve">, 25 и 26 </w:t>
      </w:r>
      <w:r w:rsidRPr="00B73D7E">
        <w:rPr>
          <w:b/>
          <w:lang w:val="bg-BG"/>
        </w:rPr>
        <w:t xml:space="preserve"> </w:t>
      </w:r>
      <w:r w:rsidRPr="00B73D7E">
        <w:rPr>
          <w:lang w:val="bg-BG"/>
        </w:rPr>
        <w:t>и</w:t>
      </w:r>
      <w:r w:rsidRPr="00B73D7E">
        <w:rPr>
          <w:b/>
          <w:lang w:val="bg-BG"/>
        </w:rPr>
        <w:t xml:space="preserve"> </w:t>
      </w:r>
      <w:r w:rsidRPr="00B73D7E">
        <w:rPr>
          <w:b/>
          <w:i/>
          <w:iCs/>
          <w:lang w:val="bg-BG"/>
        </w:rPr>
        <w:t>таблица 2</w:t>
      </w:r>
      <w:r w:rsidR="00BF3C54" w:rsidRPr="00B73D7E">
        <w:rPr>
          <w:b/>
          <w:i/>
          <w:iCs/>
          <w:lang w:val="bg-BG"/>
        </w:rPr>
        <w:t>4</w:t>
      </w:r>
      <w:r w:rsidRPr="00B73D7E">
        <w:rPr>
          <w:b/>
          <w:lang w:val="bg-BG"/>
        </w:rPr>
        <w:t xml:space="preserve"> </w:t>
      </w:r>
      <w:r w:rsidRPr="00B73D7E">
        <w:rPr>
          <w:lang w:val="bg-BG"/>
        </w:rPr>
        <w:t>в</w:t>
      </w:r>
      <w:r w:rsidRPr="00B73D7E">
        <w:rPr>
          <w:b/>
          <w:lang w:val="bg-BG"/>
        </w:rPr>
        <w:t xml:space="preserve"> </w:t>
      </w:r>
      <w:r w:rsidRPr="00B73D7E">
        <w:rPr>
          <w:b/>
          <w:i/>
          <w:lang w:val="bg-BG"/>
        </w:rPr>
        <w:t>п</w:t>
      </w:r>
      <w:r w:rsidRPr="00B73D7E">
        <w:rPr>
          <w:b/>
          <w:i/>
          <w:iCs/>
          <w:lang w:val="bg-BG"/>
        </w:rPr>
        <w:t xml:space="preserve">риложение </w:t>
      </w:r>
      <w:r w:rsidR="00BF3C54" w:rsidRPr="00B73D7E">
        <w:rPr>
          <w:b/>
          <w:i/>
          <w:iCs/>
          <w:lang w:val="bg-BG"/>
        </w:rPr>
        <w:t>4</w:t>
      </w:r>
      <w:r w:rsidRPr="00B73D7E">
        <w:rPr>
          <w:b/>
          <w:i/>
          <w:iCs/>
          <w:lang w:val="bg-BG"/>
        </w:rPr>
        <w:t>).</w:t>
      </w:r>
      <w:r w:rsidRPr="00B73D7E">
        <w:rPr>
          <w:b/>
          <w:lang w:val="bg-BG"/>
        </w:rPr>
        <w:t xml:space="preserve"> </w:t>
      </w:r>
      <w:r w:rsidRPr="00B73D7E">
        <w:rPr>
          <w:color w:val="000000"/>
          <w:lang w:val="bg-BG"/>
        </w:rPr>
        <w:t xml:space="preserve"> </w:t>
      </w:r>
      <w:r w:rsidRPr="00B73D7E">
        <w:rPr>
          <w:lang w:val="bg-BG"/>
        </w:rPr>
        <w:t>39 града, главно големи и средни по размер общински центрове, с одобрени интегрирани планове за градско възстановяване и развитие (ИПГВР), бенефициенти по ОПРР</w:t>
      </w:r>
      <w:r w:rsidRPr="00B73D7E">
        <w:rPr>
          <w:rStyle w:val="FootnoteReference"/>
          <w:lang w:val="bg-BG"/>
        </w:rPr>
        <w:footnoteReference w:id="15"/>
      </w:r>
      <w:r w:rsidRPr="00B73D7E">
        <w:rPr>
          <w:lang w:val="bg-BG"/>
        </w:rPr>
        <w:t>, са допустими за реновиране на градската инфраструктура със съфинансиране от Европейския фонд за регионално развитие (ЕФРР). Освен това 28 по-малки града с приети интегрирани планове са подкрепени от оперативната програма за енергийна ефективност при обновяването на обществени сгради и частни жилищни сгради.</w:t>
      </w:r>
    </w:p>
    <w:p w:rsidR="00AA4661" w:rsidRPr="00B73D7E" w:rsidRDefault="00AA4661" w:rsidP="00CF297A">
      <w:pPr>
        <w:pStyle w:val="BodyText"/>
        <w:numPr>
          <w:ilvl w:val="0"/>
          <w:numId w:val="41"/>
        </w:numPr>
        <w:ind w:left="0" w:firstLine="0"/>
        <w:rPr>
          <w:color w:val="000000"/>
          <w:lang w:val="bg-BG"/>
        </w:rPr>
      </w:pPr>
      <w:r w:rsidRPr="00B73D7E">
        <w:rPr>
          <w:lang w:val="bg-BG"/>
        </w:rPr>
        <w:lastRenderedPageBreak/>
        <w:t>Повече от 5</w:t>
      </w:r>
      <w:r w:rsidR="00381124">
        <w:rPr>
          <w:lang w:val="en-US"/>
        </w:rPr>
        <w:t xml:space="preserve"> </w:t>
      </w:r>
      <w:r w:rsidRPr="00B73D7E">
        <w:rPr>
          <w:lang w:val="bg-BG"/>
        </w:rPr>
        <w:t>000 населени места (градове и села) в България имат достъп до водопровод и централизирана водоснабдителна система, което обхваща 99 процента от населението в страната. В урбанизираните територии 98 процента от жилищата имат централизирани водоснабдителни системи. Качеството на питейната вода в 95 процента от случаите отговаря на стандартите</w:t>
      </w:r>
      <w:r w:rsidRPr="00B73D7E">
        <w:rPr>
          <w:rStyle w:val="FootnoteReference"/>
          <w:color w:val="000000"/>
          <w:lang w:val="bg-BG"/>
        </w:rPr>
        <w:footnoteReference w:id="16"/>
      </w:r>
      <w:r w:rsidRPr="00B73D7E">
        <w:rPr>
          <w:lang w:val="bg-BG"/>
        </w:rPr>
        <w:t>. Все още обаче има проблеми с водоснабдителните мрежи и съоръжения в градовете и са необходими или значителни ремонти, или пълна реконструкция, за да се намалят големите загуби на вода. От общо 75</w:t>
      </w:r>
      <w:r w:rsidR="00381124">
        <w:rPr>
          <w:lang w:val="en-US"/>
        </w:rPr>
        <w:t xml:space="preserve"> </w:t>
      </w:r>
      <w:r w:rsidRPr="00B73D7E">
        <w:rPr>
          <w:lang w:val="bg-BG"/>
        </w:rPr>
        <w:t>000 километра дължина на тръбопроводната мрежа около 30</w:t>
      </w:r>
      <w:r w:rsidR="00381124">
        <w:rPr>
          <w:lang w:val="en-US"/>
        </w:rPr>
        <w:t xml:space="preserve"> </w:t>
      </w:r>
      <w:r w:rsidRPr="00B73D7E">
        <w:rPr>
          <w:lang w:val="bg-BG"/>
        </w:rPr>
        <w:t xml:space="preserve">000 километра са изградени преди 70-те години на ХХ век. Тази остаряла инфраструктура е една от основните причини за над 60 процента загуби на вода в някои градове. По време на периоди на суша около една трета от селищата изпитват недостиг на вода и режим на водоподаване (вж. </w:t>
      </w:r>
      <w:r w:rsidRPr="00B73D7E">
        <w:rPr>
          <w:b/>
          <w:i/>
          <w:lang w:val="bg-BG"/>
        </w:rPr>
        <w:t>фигура 2</w:t>
      </w:r>
      <w:r w:rsidR="00BF3C54" w:rsidRPr="00B73D7E">
        <w:rPr>
          <w:b/>
          <w:i/>
          <w:lang w:val="bg-BG"/>
        </w:rPr>
        <w:t>7</w:t>
      </w:r>
      <w:r w:rsidRPr="00B73D7E">
        <w:rPr>
          <w:lang w:val="bg-BG"/>
        </w:rPr>
        <w:t xml:space="preserve"> в </w:t>
      </w:r>
      <w:r w:rsidRPr="00B73D7E">
        <w:rPr>
          <w:b/>
          <w:i/>
          <w:lang w:val="bg-BG"/>
        </w:rPr>
        <w:t xml:space="preserve">приложение </w:t>
      </w:r>
      <w:r w:rsidR="00BF3C54" w:rsidRPr="00B73D7E">
        <w:rPr>
          <w:b/>
          <w:i/>
          <w:lang w:val="bg-BG"/>
        </w:rPr>
        <w:t>5</w:t>
      </w:r>
      <w:r w:rsidRPr="00B73D7E">
        <w:rPr>
          <w:color w:val="000000"/>
          <w:lang w:val="bg-BG"/>
        </w:rPr>
        <w:t>).</w:t>
      </w:r>
    </w:p>
    <w:p w:rsidR="00AA4661" w:rsidRPr="00B73D7E" w:rsidRDefault="00AA4661" w:rsidP="00CF297A">
      <w:pPr>
        <w:pStyle w:val="BodyText"/>
        <w:numPr>
          <w:ilvl w:val="0"/>
          <w:numId w:val="41"/>
        </w:numPr>
        <w:ind w:left="0" w:firstLine="0"/>
        <w:rPr>
          <w:lang w:val="bg-BG"/>
        </w:rPr>
      </w:pPr>
      <w:r w:rsidRPr="00B73D7E">
        <w:rPr>
          <w:lang w:val="bg-BG"/>
        </w:rPr>
        <w:t>България изостава от стандартите на ЕС за управление на отпадъчните води</w:t>
      </w:r>
      <w:r w:rsidRPr="00B73D7E">
        <w:rPr>
          <w:i/>
          <w:lang w:val="bg-BG"/>
        </w:rPr>
        <w:t>.</w:t>
      </w:r>
      <w:r w:rsidRPr="00B73D7E">
        <w:rPr>
          <w:lang w:val="bg-BG"/>
        </w:rPr>
        <w:t xml:space="preserve"> На национално равнище около 66 процента от населението е свързано със системата за събиране на отпадъчни води, а 50 процента с пречиствателни станции за отпадъчни води, както е посочено в оценката за сектора на Световната банка. Според НСИ, до края на 2015 г. общо 93 процента от жилищата са свързани с канализационна система, докато в градовете процентът е по-висок – 97 процента. </w:t>
      </w:r>
    </w:p>
    <w:p w:rsidR="00AA4661" w:rsidRPr="00B73D7E" w:rsidRDefault="00AA4661" w:rsidP="00CF297A">
      <w:pPr>
        <w:pStyle w:val="BodyText"/>
        <w:numPr>
          <w:ilvl w:val="0"/>
          <w:numId w:val="41"/>
        </w:numPr>
        <w:ind w:left="0" w:firstLine="0"/>
        <w:rPr>
          <w:lang w:val="bg-BG"/>
        </w:rPr>
      </w:pPr>
      <w:r w:rsidRPr="00B73D7E">
        <w:rPr>
          <w:lang w:val="bg-BG"/>
        </w:rPr>
        <w:t xml:space="preserve">Традиционно в българските градове има комбинирани (смесени) канализационни мрежи за отпадъчни и дъждовни води с достатъчно голям капацитет за високи равнища на дъждовните води. В новите общи устройствени планове на общините са предвидени разделни системи в съответствие с регионалните интегрирани генерални планове за водоснабдяване и канализация. </w:t>
      </w:r>
    </w:p>
    <w:p w:rsidR="00AA4661" w:rsidRPr="00B73D7E" w:rsidRDefault="00AA4661" w:rsidP="00CF297A">
      <w:pPr>
        <w:pStyle w:val="BodyText"/>
        <w:numPr>
          <w:ilvl w:val="0"/>
          <w:numId w:val="41"/>
        </w:numPr>
        <w:ind w:left="0" w:firstLine="0"/>
        <w:rPr>
          <w:lang w:val="bg-BG"/>
        </w:rPr>
      </w:pPr>
      <w:r w:rsidRPr="00B73D7E">
        <w:rPr>
          <w:lang w:val="bg-BG"/>
        </w:rPr>
        <w:t>Централно отопление съществува главно в големите областни градове, но поради високите цени много домакинства са избрали да не го използват. Само в 15 процента от националния жилищен фонд има централно отопление, като най-високото равнище е в област София-(столица) - 61 процента или 284</w:t>
      </w:r>
      <w:r w:rsidR="00381124">
        <w:rPr>
          <w:lang w:val="en-US"/>
        </w:rPr>
        <w:t xml:space="preserve"> </w:t>
      </w:r>
      <w:r w:rsidRPr="00B73D7E">
        <w:rPr>
          <w:lang w:val="bg-BG"/>
        </w:rPr>
        <w:t>528 жилища. Системи за централно отопление съществуват в областните центрове Перник (26 процента от всички жилища), Плевен (19 процента), Русе (17 процента) и Враца (15 процента). Делът на останалата част от областните центрове варира от почти 10 процента (Пловдив) до 0,1 процента (главно местни отоплителни системи). Вторият вид енергия, използвана за отопление в жилищните сгради, е електричеството с дял от 29 процента, главно за климатици</w:t>
      </w:r>
      <w:r w:rsidRPr="00B73D7E">
        <w:rPr>
          <w:rStyle w:val="FootnoteReference"/>
          <w:color w:val="000000"/>
          <w:lang w:val="bg-BG"/>
        </w:rPr>
        <w:footnoteReference w:id="17"/>
      </w:r>
      <w:r w:rsidRPr="00B73D7E">
        <w:rPr>
          <w:lang w:val="bg-BG"/>
        </w:rPr>
        <w:t xml:space="preserve">. Твърдите горива (дърва и въглища) като източник на жилищно отопление са с най-висок дял в малките градове и селата (около 54 процента от всички жилища в страната). Те са сред основните замърсители с парникови газове (ПГ) на въздуха, особено в градовете с неблагоприятни климатични условия. </w:t>
      </w:r>
    </w:p>
    <w:p w:rsidR="00AA4661" w:rsidRPr="00F8728A" w:rsidRDefault="00AA4661">
      <w:pPr>
        <w:widowControl w:val="0"/>
        <w:spacing w:after="0"/>
        <w:rPr>
          <w:rFonts w:ascii="Times New Roman" w:eastAsia="MS Mincho" w:hAnsi="Times New Roman"/>
          <w:sz w:val="24"/>
          <w:szCs w:val="24"/>
          <w:lang w:eastAsia="bg-BG"/>
        </w:rPr>
      </w:pPr>
      <w:r w:rsidRPr="00F8728A">
        <w:br w:type="page"/>
      </w:r>
    </w:p>
    <w:p w:rsidR="00AA4661" w:rsidRPr="00B73D7E" w:rsidRDefault="00AA4661" w:rsidP="00CF297A">
      <w:pPr>
        <w:pStyle w:val="BodyText"/>
        <w:numPr>
          <w:ilvl w:val="0"/>
          <w:numId w:val="41"/>
        </w:numPr>
        <w:ind w:left="0" w:firstLine="0"/>
        <w:rPr>
          <w:lang w:val="bg-BG"/>
        </w:rPr>
      </w:pPr>
      <w:r w:rsidRPr="00B73D7E">
        <w:rPr>
          <w:lang w:val="bg-BG"/>
        </w:rPr>
        <w:lastRenderedPageBreak/>
        <w:t xml:space="preserve">Делът на жилищните и обществените сгради, снабдявани с </w:t>
      </w:r>
      <w:r w:rsidRPr="00B73D7E">
        <w:rPr>
          <w:i/>
          <w:lang w:val="bg-BG"/>
        </w:rPr>
        <w:t>природен газ</w:t>
      </w:r>
      <w:r w:rsidRPr="00B73D7E">
        <w:rPr>
          <w:lang w:val="bg-BG"/>
        </w:rPr>
        <w:t>, е нисък. Най-високият дял жилища на газ са в областните центрове София (11</w:t>
      </w:r>
      <w:r w:rsidR="00381124">
        <w:rPr>
          <w:lang w:val="en-US"/>
        </w:rPr>
        <w:t xml:space="preserve"> </w:t>
      </w:r>
      <w:r w:rsidRPr="00B73D7E">
        <w:rPr>
          <w:lang w:val="bg-BG"/>
        </w:rPr>
        <w:t>782 жилища), Добрич (3</w:t>
      </w:r>
      <w:r w:rsidR="00381124">
        <w:rPr>
          <w:lang w:val="en-US"/>
        </w:rPr>
        <w:t xml:space="preserve"> </w:t>
      </w:r>
      <w:r w:rsidRPr="00B73D7E">
        <w:rPr>
          <w:lang w:val="bg-BG"/>
        </w:rPr>
        <w:t>802), Габрово (3</w:t>
      </w:r>
      <w:r w:rsidR="00381124">
        <w:rPr>
          <w:lang w:val="en-US"/>
        </w:rPr>
        <w:t xml:space="preserve"> </w:t>
      </w:r>
      <w:r w:rsidRPr="00B73D7E">
        <w:rPr>
          <w:lang w:val="bg-BG"/>
        </w:rPr>
        <w:t>466), Варна (2</w:t>
      </w:r>
      <w:r w:rsidR="00381124">
        <w:rPr>
          <w:lang w:val="en-US"/>
        </w:rPr>
        <w:t xml:space="preserve"> </w:t>
      </w:r>
      <w:r w:rsidRPr="00B73D7E">
        <w:rPr>
          <w:lang w:val="bg-BG"/>
        </w:rPr>
        <w:t>493), Стара Загора (2</w:t>
      </w:r>
      <w:r w:rsidR="00381124">
        <w:rPr>
          <w:lang w:val="en-US"/>
        </w:rPr>
        <w:t xml:space="preserve"> </w:t>
      </w:r>
      <w:r w:rsidRPr="00B73D7E">
        <w:rPr>
          <w:lang w:val="bg-BG"/>
        </w:rPr>
        <w:t>377) и Пловдив (2</w:t>
      </w:r>
      <w:r w:rsidR="00381124">
        <w:rPr>
          <w:lang w:val="en-US"/>
        </w:rPr>
        <w:t xml:space="preserve"> </w:t>
      </w:r>
      <w:r w:rsidRPr="00B73D7E">
        <w:rPr>
          <w:lang w:val="bg-BG"/>
        </w:rPr>
        <w:t>052).</w:t>
      </w:r>
    </w:p>
    <w:p w:rsidR="00AA4661" w:rsidRPr="00B73D7E" w:rsidRDefault="00AA4661" w:rsidP="00CF297A">
      <w:pPr>
        <w:pStyle w:val="BodyText"/>
        <w:numPr>
          <w:ilvl w:val="0"/>
          <w:numId w:val="41"/>
        </w:numPr>
        <w:ind w:left="0" w:firstLine="0"/>
        <w:rPr>
          <w:lang w:val="bg-BG"/>
        </w:rPr>
      </w:pPr>
      <w:r w:rsidRPr="00B73D7E">
        <w:rPr>
          <w:lang w:val="bg-BG"/>
        </w:rPr>
        <w:t>Сградите обикновено се охлаждат чрез климатици. В повечето реновирани и в новите болници и домове за възрастни са инсталирани такива системи. Много малък брой нови сгради използват по-интелигентни централизирани системи за охлаждане. Сред тях са наскоро завършените офис и търговски сгради в големите градове, които използват възобновяема енергия за отопление/охлаждане, съвременни високоефективни климатични системи, децентрализирана вентилация с възстановяване на изразходената енергия и други иновации.</w:t>
      </w:r>
    </w:p>
    <w:p w:rsidR="00AA4661" w:rsidRPr="00B73D7E" w:rsidRDefault="00AA4661" w:rsidP="00CF297A">
      <w:pPr>
        <w:pStyle w:val="BodyText"/>
        <w:numPr>
          <w:ilvl w:val="0"/>
          <w:numId w:val="41"/>
        </w:numPr>
        <w:ind w:left="0" w:firstLine="0"/>
        <w:rPr>
          <w:lang w:val="bg-BG"/>
        </w:rPr>
      </w:pPr>
      <w:r w:rsidRPr="00B73D7E">
        <w:rPr>
          <w:lang w:val="bg-BG"/>
        </w:rPr>
        <w:t>Публичният транспорт е най-добре развит в големите градове и централните им части с по-голяма гъстота на населението. Автобусният транспорт е преобладаващ. Делът на електрическия транспорт се увеличава от 18  процента през 2000 г. до 24  процента през 2015 г.</w:t>
      </w:r>
      <w:r w:rsidRPr="00B73D7E">
        <w:rPr>
          <w:rStyle w:val="FootnoteReference"/>
          <w:color w:val="000000"/>
          <w:lang w:val="bg-BG"/>
        </w:rPr>
        <w:footnoteReference w:id="18"/>
      </w:r>
      <w:r w:rsidRPr="00B73D7E">
        <w:rPr>
          <w:lang w:val="bg-BG"/>
        </w:rPr>
        <w:t xml:space="preserve"> Най-големият дял пътникокилометри в общото количество услуги на електрически обществен транспорт е този на метрото (12 процента), следван от тролейбусите (7 процента) и трамваите (5 процента). Разработени са 7 плана за интегриран градски транспорт, които се прилагат в големите градове с цел намаляване на градския трафик и дела на частните автомобили, подобряване на мобилността и развитие на велосипедните мрежи, въвеждане на интелигентни системи за управление на трафика, намаляване на замърсяването на въздуха и подобряване на качеството на градската среда (София, Варна, Пловдив, Бургас, Русе, Стара Загора и Плевен).</w:t>
      </w:r>
    </w:p>
    <w:p w:rsidR="00AA4661" w:rsidRPr="00B73D7E" w:rsidRDefault="00AA4661" w:rsidP="00491557">
      <w:pPr>
        <w:pStyle w:val="Heading4"/>
        <w:rPr>
          <w:lang w:val="bg-BG"/>
        </w:rPr>
      </w:pPr>
      <w:r w:rsidRPr="00B73D7E">
        <w:rPr>
          <w:lang w:val="bg-BG"/>
        </w:rPr>
        <w:t>Пространствено и градско планиране</w:t>
      </w:r>
    </w:p>
    <w:p w:rsidR="00AA4661" w:rsidRPr="00B73D7E" w:rsidRDefault="00AA4661" w:rsidP="00CF297A">
      <w:pPr>
        <w:pStyle w:val="BodyText"/>
        <w:numPr>
          <w:ilvl w:val="0"/>
          <w:numId w:val="41"/>
        </w:numPr>
        <w:ind w:left="0" w:firstLine="0"/>
        <w:rPr>
          <w:lang w:val="bg-BG"/>
        </w:rPr>
      </w:pPr>
      <w:r w:rsidRPr="00B73D7E">
        <w:rPr>
          <w:lang w:val="bg-BG"/>
        </w:rPr>
        <w:t>Политиката за регионално и градско развитие се провежда от МРРБ, докато на местно равнище контролът е делегиран на общините. Системата за градско планиране е предмет на Закона за устройство на територията</w:t>
      </w:r>
      <w:r w:rsidRPr="00B73D7E">
        <w:rPr>
          <w:rStyle w:val="FootnoteReference"/>
          <w:color w:val="000000"/>
          <w:lang w:val="bg-BG"/>
        </w:rPr>
        <w:footnoteReference w:id="19"/>
      </w:r>
      <w:r w:rsidRPr="00B73D7E">
        <w:rPr>
          <w:lang w:val="bg-BG"/>
        </w:rPr>
        <w:t xml:space="preserve">, който обхваща в допълнение към самото градско устройствено планиране и инвестиционното проектиране, строителството и контрола. </w:t>
      </w:r>
      <w:r w:rsidR="00553AB4" w:rsidRPr="00F8728A">
        <w:rPr>
          <w:lang w:val="bg-BG"/>
        </w:rPr>
        <w:t>Заедно със Закона за устройство</w:t>
      </w:r>
      <w:r w:rsidR="0085474E" w:rsidRPr="00F8728A">
        <w:rPr>
          <w:lang w:val="bg-BG"/>
        </w:rPr>
        <w:t>то</w:t>
      </w:r>
      <w:r w:rsidR="00553AB4" w:rsidRPr="00F8728A">
        <w:rPr>
          <w:lang w:val="bg-BG"/>
        </w:rPr>
        <w:t xml:space="preserve"> на Черноморското крайбрежие и Закона за устройство</w:t>
      </w:r>
      <w:r w:rsidR="00173E44" w:rsidRPr="00F8728A">
        <w:rPr>
          <w:lang w:val="bg-BG"/>
        </w:rPr>
        <w:t>то</w:t>
      </w:r>
      <w:r w:rsidR="00553AB4" w:rsidRPr="00F8728A">
        <w:rPr>
          <w:lang w:val="bg-BG"/>
        </w:rPr>
        <w:t xml:space="preserve"> и застрояване</w:t>
      </w:r>
      <w:r w:rsidR="00173E44" w:rsidRPr="00F8728A">
        <w:rPr>
          <w:lang w:val="bg-BG"/>
        </w:rPr>
        <w:t>то</w:t>
      </w:r>
      <w:r w:rsidR="00553AB4" w:rsidRPr="00F8728A">
        <w:rPr>
          <w:lang w:val="bg-BG"/>
        </w:rPr>
        <w:t xml:space="preserve"> на Столична община, той регулира обществените отношения с пространственото развитие и устройственото планиране. </w:t>
      </w:r>
      <w:r w:rsidRPr="00B73D7E">
        <w:rPr>
          <w:lang w:val="bg-BG"/>
        </w:rPr>
        <w:t>Устройствените планове, предмет на стратегически Екологични оценки, включват и анализи на състоянието на околната среда и препоръки за намаляване на въздействието на изменението на климата. Стратегическите документи за регионално и пространствено развитие на национално, регионално и местно равнище са предмет на Закона за регионалното развитие.</w:t>
      </w:r>
      <w:r w:rsidRPr="00B73D7E">
        <w:rPr>
          <w:rStyle w:val="FootnoteReference"/>
          <w:color w:val="000000"/>
          <w:lang w:val="bg-BG"/>
        </w:rPr>
        <w:footnoteReference w:id="20"/>
      </w:r>
      <w:r w:rsidRPr="00B73D7E">
        <w:rPr>
          <w:lang w:val="bg-BG"/>
        </w:rPr>
        <w:t xml:space="preserve">   </w:t>
      </w:r>
    </w:p>
    <w:p w:rsidR="00AA4661" w:rsidRPr="00B73D7E" w:rsidRDefault="00AA4661" w:rsidP="00CF297A">
      <w:pPr>
        <w:pStyle w:val="ListParagraph1"/>
        <w:numPr>
          <w:ilvl w:val="0"/>
          <w:numId w:val="41"/>
        </w:numPr>
        <w:ind w:left="0" w:firstLine="0"/>
        <w:jc w:val="both"/>
        <w:rPr>
          <w:lang w:val="bg-BG"/>
        </w:rPr>
      </w:pPr>
      <w:r w:rsidRPr="00B73D7E">
        <w:rPr>
          <w:rFonts w:ascii="Times New Roman" w:hAnsi="Times New Roman"/>
          <w:sz w:val="24"/>
          <w:szCs w:val="24"/>
          <w:lang w:val="bg-BG"/>
        </w:rPr>
        <w:t xml:space="preserve">Контролът на градското планиране и строителството се упражнява от министъра на регионалното развитие и благоустройството, подпомаган от Дирекцията за национален строителен контрол (ДНСК). На местно равнище този контрол се упражнява от регионалните структури със съдействието на общините, техните съвети и </w:t>
      </w:r>
      <w:r w:rsidRPr="00B73D7E">
        <w:rPr>
          <w:rFonts w:ascii="Times New Roman" w:hAnsi="Times New Roman"/>
          <w:sz w:val="24"/>
          <w:szCs w:val="24"/>
          <w:lang w:val="bg-BG"/>
        </w:rPr>
        <w:lastRenderedPageBreak/>
        <w:t xml:space="preserve">главни архитекти. Съществуват различни равнища на контрол за различните етапи на </w:t>
      </w:r>
      <w:r w:rsidRPr="00B73D7E">
        <w:rPr>
          <w:rFonts w:ascii="Times New Roman" w:eastAsia="MS Mincho" w:hAnsi="Times New Roman"/>
          <w:sz w:val="24"/>
          <w:szCs w:val="24"/>
          <w:lang w:val="bg-BG"/>
        </w:rPr>
        <w:t xml:space="preserve">планиране, проектиране и строителство. На етап устройствено планиране се упражнява административен контрол за съответствието с действащото законодателство и съдебен контрол. На етап инвестиционно проектиране и разрешение за строеж се упражнява административен контрол от органите на ДНСК – за строежите от първа до трета категория, и от контролните органи на общинските администрации - за строежите от четвърта до шеста категория, както и съдебен контрол за всички категории строежи. </w:t>
      </w:r>
    </w:p>
    <w:p w:rsidR="00AA4661" w:rsidRPr="00B73D7E" w:rsidRDefault="00AA4661" w:rsidP="00CF297A">
      <w:pPr>
        <w:pStyle w:val="BodyText"/>
        <w:numPr>
          <w:ilvl w:val="0"/>
          <w:numId w:val="41"/>
        </w:numPr>
        <w:ind w:left="0" w:firstLine="0"/>
        <w:rPr>
          <w:color w:val="FF0000"/>
          <w:lang w:val="bg-BG"/>
        </w:rPr>
      </w:pPr>
      <w:r w:rsidRPr="00B73D7E">
        <w:rPr>
          <w:lang w:val="bg-BG"/>
        </w:rPr>
        <w:t>В установената йерархична система за планиране не всички новоразработени документи обхващат адекватно всички екологични фактори, рискове от изменение на климата и мерки за адаптиране, за което е необходимо допълнително ясно и недвусмислено регламентиране  в съществуващото законодателство.</w:t>
      </w:r>
    </w:p>
    <w:p w:rsidR="00AA4661" w:rsidRPr="00B73D7E" w:rsidRDefault="00AA4661" w:rsidP="00E37DE2">
      <w:pPr>
        <w:pStyle w:val="Heading3"/>
        <w:spacing w:before="160"/>
        <w:ind w:left="0" w:firstLine="0"/>
        <w:rPr>
          <w:lang w:val="bg-BG"/>
        </w:rPr>
      </w:pPr>
      <w:bookmarkStart w:id="80" w:name="_Toc501454831"/>
      <w:bookmarkStart w:id="81" w:name="_Toc522030533"/>
      <w:bookmarkStart w:id="82" w:name="_Toc529285518"/>
      <w:bookmarkStart w:id="83" w:name="_Toc486942154"/>
      <w:r w:rsidRPr="00B73D7E">
        <w:rPr>
          <w:lang w:val="bg-BG"/>
        </w:rPr>
        <w:t>Строителен и жилищен сектор</w:t>
      </w:r>
      <w:bookmarkEnd w:id="80"/>
      <w:bookmarkEnd w:id="81"/>
      <w:bookmarkEnd w:id="82"/>
      <w:r w:rsidRPr="00B73D7E">
        <w:rPr>
          <w:lang w:val="bg-BG"/>
        </w:rPr>
        <w:t xml:space="preserve"> </w:t>
      </w:r>
      <w:bookmarkEnd w:id="83"/>
    </w:p>
    <w:p w:rsidR="00AA4661" w:rsidRPr="00B73D7E" w:rsidRDefault="00AA4661" w:rsidP="00491557">
      <w:pPr>
        <w:pStyle w:val="Heading4"/>
        <w:rPr>
          <w:lang w:val="bg-BG"/>
        </w:rPr>
      </w:pPr>
      <w:r w:rsidRPr="00B73D7E">
        <w:rPr>
          <w:lang w:val="bg-BG"/>
        </w:rPr>
        <w:t>Строителство</w:t>
      </w:r>
    </w:p>
    <w:p w:rsidR="00AA4661" w:rsidRPr="00B73D7E" w:rsidRDefault="00AA4661" w:rsidP="00CF297A">
      <w:pPr>
        <w:pStyle w:val="BodyText"/>
        <w:numPr>
          <w:ilvl w:val="0"/>
          <w:numId w:val="41"/>
        </w:numPr>
        <w:ind w:left="0" w:firstLine="0"/>
        <w:rPr>
          <w:lang w:val="bg-BG"/>
        </w:rPr>
      </w:pPr>
      <w:r w:rsidRPr="00B73D7E">
        <w:rPr>
          <w:lang w:val="bg-BG"/>
        </w:rPr>
        <w:t>Секторът на строителството, като един от важните сектори в градската икономика, има значителен потенциал за смекчаване на въздействието на изменението на климата върху градската среда чрез намаляване на емисиите и потреблението на енергия, използване на иновативни технологии, материали и съоръжения, и по-добро управление на строителните отпадъци.</w:t>
      </w:r>
      <w:r w:rsidRPr="00B73D7E">
        <w:rPr>
          <w:rStyle w:val="FootnoteReference"/>
          <w:lang w:val="bg-BG"/>
        </w:rPr>
        <w:footnoteReference w:id="21"/>
      </w:r>
    </w:p>
    <w:p w:rsidR="00AA4661" w:rsidRPr="00B73D7E" w:rsidRDefault="00AA4661" w:rsidP="00CF297A">
      <w:pPr>
        <w:pStyle w:val="BodyText"/>
        <w:numPr>
          <w:ilvl w:val="0"/>
          <w:numId w:val="41"/>
        </w:numPr>
        <w:ind w:left="0" w:firstLine="0"/>
        <w:rPr>
          <w:color w:val="000000"/>
          <w:lang w:val="bg-BG"/>
        </w:rPr>
      </w:pPr>
      <w:r w:rsidRPr="00B73D7E">
        <w:rPr>
          <w:lang w:val="bg-BG"/>
        </w:rPr>
        <w:t xml:space="preserve">Различните анализи на сектора на строителството в България показват значителен спад на заетостта (37 процента, между 2008 г. и 2013 г.), 50 процента спад в строителството на сгради между 2008 г. и 2014 г. и 36 процента спад в оборота в резултат на икономическата криза (Европейски надзорен орган в сектора на строителството на ЕО, 2016 г.). Положителното развитие в сектора на строителството след 2015 г. се дължи не само на икономическото възстановяване, но и на увеличените инвестиции в инфраструктурата, главно със средства от ЕС. През последното тримесечие на 2016 г. има нов спад в производството. Текущите данни на Евростат относно сектора на строителството сочат, че страната следва общите тенденции в сектора на европейско равнище (вж. </w:t>
      </w:r>
      <w:r w:rsidRPr="00B73D7E">
        <w:rPr>
          <w:b/>
          <w:i/>
          <w:iCs/>
          <w:lang w:val="bg-BG"/>
        </w:rPr>
        <w:t xml:space="preserve">фигури </w:t>
      </w:r>
      <w:r w:rsidRPr="00B73D7E">
        <w:rPr>
          <w:b/>
          <w:i/>
          <w:iCs/>
          <w:color w:val="000000"/>
          <w:lang w:val="bg-BG"/>
        </w:rPr>
        <w:t xml:space="preserve"> 28</w:t>
      </w:r>
      <w:r w:rsidR="00BF3C54" w:rsidRPr="00B73D7E">
        <w:rPr>
          <w:b/>
          <w:i/>
          <w:iCs/>
          <w:color w:val="000000"/>
          <w:lang w:val="bg-BG"/>
        </w:rPr>
        <w:t xml:space="preserve">, </w:t>
      </w:r>
      <w:r w:rsidRPr="00B73D7E">
        <w:rPr>
          <w:b/>
          <w:i/>
          <w:iCs/>
          <w:color w:val="000000"/>
          <w:lang w:val="bg-BG"/>
        </w:rPr>
        <w:t>29</w:t>
      </w:r>
      <w:r w:rsidR="00BF3C54" w:rsidRPr="00B73D7E">
        <w:rPr>
          <w:b/>
          <w:i/>
          <w:iCs/>
          <w:color w:val="000000"/>
          <w:lang w:val="bg-BG"/>
        </w:rPr>
        <w:t>, 30, 31</w:t>
      </w:r>
      <w:r w:rsidRPr="00B73D7E">
        <w:rPr>
          <w:color w:val="000000"/>
          <w:lang w:val="bg-BG"/>
        </w:rPr>
        <w:t xml:space="preserve"> в</w:t>
      </w:r>
      <w:r w:rsidRPr="00B73D7E">
        <w:rPr>
          <w:b/>
          <w:color w:val="000000"/>
          <w:lang w:val="bg-BG"/>
        </w:rPr>
        <w:t xml:space="preserve"> </w:t>
      </w:r>
      <w:r w:rsidRPr="00B73D7E">
        <w:rPr>
          <w:b/>
          <w:i/>
          <w:iCs/>
          <w:color w:val="000000"/>
          <w:lang w:val="bg-BG"/>
        </w:rPr>
        <w:t xml:space="preserve">приложение </w:t>
      </w:r>
      <w:r w:rsidR="00BF3C54" w:rsidRPr="00B73D7E">
        <w:rPr>
          <w:b/>
          <w:i/>
          <w:iCs/>
          <w:color w:val="000000"/>
          <w:lang w:val="bg-BG"/>
        </w:rPr>
        <w:t>6</w:t>
      </w:r>
      <w:r w:rsidRPr="00B73D7E">
        <w:rPr>
          <w:b/>
          <w:i/>
          <w:iCs/>
          <w:color w:val="000000"/>
          <w:lang w:val="bg-BG"/>
        </w:rPr>
        <w:t>).</w:t>
      </w:r>
      <w:r w:rsidRPr="00B73D7E">
        <w:rPr>
          <w:lang w:val="bg-BG"/>
        </w:rPr>
        <w:t xml:space="preserve"> </w:t>
      </w:r>
    </w:p>
    <w:p w:rsidR="00AA4661" w:rsidRPr="00B73D7E" w:rsidRDefault="00AA4661" w:rsidP="00CF297A">
      <w:pPr>
        <w:pStyle w:val="BodyText"/>
        <w:numPr>
          <w:ilvl w:val="0"/>
          <w:numId w:val="41"/>
        </w:numPr>
        <w:ind w:left="0" w:firstLine="0"/>
        <w:rPr>
          <w:lang w:val="bg-BG"/>
        </w:rPr>
      </w:pPr>
      <w:r w:rsidRPr="00B73D7E">
        <w:rPr>
          <w:lang w:val="bg-BG"/>
        </w:rPr>
        <w:t>През 2015 г. инвестициите в строителството обхващат 32 процента от производството в строителната индустрия и имат най-голям дял в строителството на жилища. Според годишния доклад за 2015 г. на Европейската федерация на строителната индустрия (FIEC) секторът на строителство на нежилищни сгради допринася за 24  процента от приходите в сектора на строителството.</w:t>
      </w:r>
      <w:r w:rsidRPr="00B73D7E">
        <w:rPr>
          <w:rStyle w:val="FootnoteReference"/>
          <w:color w:val="000000"/>
          <w:lang w:val="bg-BG"/>
        </w:rPr>
        <w:footnoteReference w:id="22"/>
      </w:r>
      <w:r w:rsidRPr="00B73D7E">
        <w:rPr>
          <w:lang w:val="bg-BG"/>
        </w:rPr>
        <w:t xml:space="preserve"> През 2015 г. строителната индустрия генерира производство, равняващо се на 5 процента от брутната добавена стойност (GVA) и 4 процента от брутния вътрешен продукт (БВП) по пазарни цени (НСИ, 2016 г.).</w:t>
      </w:r>
    </w:p>
    <w:p w:rsidR="00AA4661" w:rsidRPr="00B73D7E" w:rsidRDefault="00AA4661" w:rsidP="00CF297A">
      <w:pPr>
        <w:pStyle w:val="BodyText"/>
        <w:numPr>
          <w:ilvl w:val="0"/>
          <w:numId w:val="41"/>
        </w:numPr>
        <w:ind w:left="0" w:firstLine="0"/>
        <w:rPr>
          <w:lang w:val="bg-BG"/>
        </w:rPr>
      </w:pPr>
      <w:r w:rsidRPr="00B73D7E">
        <w:rPr>
          <w:lang w:val="bg-BG"/>
        </w:rPr>
        <w:t xml:space="preserve">От 2010 г. насам са стартирали няколко програми и инициативи за подобряване </w:t>
      </w:r>
      <w:r w:rsidRPr="00B73D7E">
        <w:rPr>
          <w:lang w:val="bg-BG"/>
        </w:rPr>
        <w:lastRenderedPageBreak/>
        <w:t>на енергийните показатели на сградите и за намаляване на емисиите на ПГ в сектора.</w:t>
      </w:r>
      <w:r w:rsidRPr="00B73D7E">
        <w:rPr>
          <w:rStyle w:val="FootnoteReference"/>
          <w:color w:val="000000"/>
          <w:lang w:val="bg-BG"/>
        </w:rPr>
        <w:footnoteReference w:id="23"/>
      </w:r>
      <w:r w:rsidRPr="00B73D7E">
        <w:rPr>
          <w:lang w:val="bg-BG"/>
        </w:rPr>
        <w:t xml:space="preserve"> Анализът и оценката на характеристиките на жилищни и повече от 8</w:t>
      </w:r>
      <w:r w:rsidR="00381124">
        <w:rPr>
          <w:lang w:val="en-US"/>
        </w:rPr>
        <w:t xml:space="preserve"> </w:t>
      </w:r>
      <w:r w:rsidRPr="00B73D7E">
        <w:rPr>
          <w:lang w:val="bg-BG"/>
        </w:rPr>
        <w:t xml:space="preserve">000 нежилищни сгради в България доказаха слабата енергийна ефективност на стария жилищен фонд и нуждата от допълнително прилагане на пакети от мерки, насочени към постигане на целите за намаляване на емисиите на ПГ в сектора. Мерките, </w:t>
      </w:r>
      <w:r w:rsidR="009F2CA4" w:rsidRPr="00F8728A">
        <w:rPr>
          <w:lang w:val="bg-BG"/>
        </w:rPr>
        <w:t>реализирани по</w:t>
      </w:r>
      <w:r w:rsidRPr="00B73D7E">
        <w:rPr>
          <w:lang w:val="bg-BG"/>
        </w:rPr>
        <w:t xml:space="preserve"> програмите за енергийно обновяване</w:t>
      </w:r>
      <w:r w:rsidR="009F2CA4" w:rsidRPr="00F8728A">
        <w:rPr>
          <w:lang w:val="bg-BG"/>
        </w:rPr>
        <w:t xml:space="preserve"> на сградния фонд</w:t>
      </w:r>
      <w:r w:rsidRPr="00B73D7E">
        <w:rPr>
          <w:lang w:val="bg-BG"/>
        </w:rPr>
        <w:t xml:space="preserve">, са предхождани от </w:t>
      </w:r>
      <w:r w:rsidR="00A0016F" w:rsidRPr="00F8728A">
        <w:rPr>
          <w:lang w:val="bg-BG"/>
        </w:rPr>
        <w:t xml:space="preserve">техническо и енергийно </w:t>
      </w:r>
      <w:r w:rsidRPr="00B73D7E">
        <w:rPr>
          <w:lang w:val="bg-BG"/>
        </w:rPr>
        <w:t xml:space="preserve"> обследване</w:t>
      </w:r>
      <w:r w:rsidR="009F2CA4" w:rsidRPr="00F8728A">
        <w:rPr>
          <w:lang w:val="bg-BG"/>
        </w:rPr>
        <w:t xml:space="preserve"> </w:t>
      </w:r>
      <w:r w:rsidRPr="00B73D7E">
        <w:rPr>
          <w:lang w:val="bg-BG"/>
        </w:rPr>
        <w:t>на сград</w:t>
      </w:r>
      <w:r w:rsidR="009F2CA4" w:rsidRPr="00F8728A">
        <w:rPr>
          <w:lang w:val="bg-BG"/>
        </w:rPr>
        <w:t>ата и изготвяне на инвестиционен проект. В допълнение към изпълнените енергоспестяващи мерк</w:t>
      </w:r>
      <w:r w:rsidR="00B3020A" w:rsidRPr="00F8728A">
        <w:rPr>
          <w:lang w:val="bg-BG"/>
        </w:rPr>
        <w:t xml:space="preserve">и и </w:t>
      </w:r>
      <w:r w:rsidRPr="00B73D7E">
        <w:rPr>
          <w:lang w:val="bg-BG"/>
        </w:rPr>
        <w:t>конструктивн</w:t>
      </w:r>
      <w:r w:rsidR="00A0016F" w:rsidRPr="00F8728A">
        <w:rPr>
          <w:lang w:val="bg-BG"/>
        </w:rPr>
        <w:t>о</w:t>
      </w:r>
      <w:r w:rsidR="00B3020A" w:rsidRPr="00F8728A">
        <w:rPr>
          <w:lang w:val="bg-BG"/>
        </w:rPr>
        <w:t>то</w:t>
      </w:r>
      <w:r w:rsidR="00A0016F" w:rsidRPr="00F8728A">
        <w:rPr>
          <w:lang w:val="bg-BG"/>
        </w:rPr>
        <w:t xml:space="preserve"> укрепване, к</w:t>
      </w:r>
      <w:r w:rsidR="00B3020A" w:rsidRPr="00F8728A">
        <w:rPr>
          <w:lang w:val="bg-BG"/>
        </w:rPr>
        <w:t>ога</w:t>
      </w:r>
      <w:r w:rsidR="00A0016F" w:rsidRPr="00F8728A">
        <w:rPr>
          <w:lang w:val="bg-BG"/>
        </w:rPr>
        <w:t>то е необходимо</w:t>
      </w:r>
      <w:r w:rsidR="00ED3916" w:rsidRPr="00F8728A">
        <w:rPr>
          <w:lang w:val="bg-BG"/>
        </w:rPr>
        <w:t>, правилната експлоатация и поддържане на сградата ще удължат нейния живот и ще</w:t>
      </w:r>
      <w:r w:rsidRPr="00B73D7E">
        <w:rPr>
          <w:lang w:val="bg-BG"/>
        </w:rPr>
        <w:t xml:space="preserve"> намалява</w:t>
      </w:r>
      <w:r w:rsidR="00ED3916" w:rsidRPr="00F8728A">
        <w:rPr>
          <w:lang w:val="bg-BG"/>
        </w:rPr>
        <w:t>т</w:t>
      </w:r>
      <w:r w:rsidRPr="00B73D7E">
        <w:rPr>
          <w:lang w:val="bg-BG"/>
        </w:rPr>
        <w:t xml:space="preserve"> сеизмичния риск и риск</w:t>
      </w:r>
      <w:r w:rsidR="00ED3916" w:rsidRPr="00F8728A">
        <w:rPr>
          <w:lang w:val="bg-BG"/>
        </w:rPr>
        <w:t>а</w:t>
      </w:r>
      <w:r w:rsidRPr="00B73D7E">
        <w:rPr>
          <w:lang w:val="bg-BG"/>
        </w:rPr>
        <w:t xml:space="preserve"> от други хидрометеорологични бедствия, включително от наводнения</w:t>
      </w:r>
      <w:r w:rsidR="00ED3916" w:rsidRPr="00F8728A">
        <w:rPr>
          <w:lang w:val="bg-BG"/>
        </w:rPr>
        <w:t xml:space="preserve"> при проливни дъждове.</w:t>
      </w:r>
    </w:p>
    <w:p w:rsidR="00AA4661" w:rsidRPr="00B73D7E" w:rsidRDefault="00AA4661" w:rsidP="00491557">
      <w:pPr>
        <w:pStyle w:val="Heading4"/>
        <w:rPr>
          <w:color w:val="FF0000"/>
          <w:lang w:val="bg-BG"/>
        </w:rPr>
      </w:pPr>
      <w:r w:rsidRPr="00B73D7E">
        <w:rPr>
          <w:lang w:val="bg-BG"/>
        </w:rPr>
        <w:t>Жилищен фонд</w:t>
      </w:r>
    </w:p>
    <w:p w:rsidR="00AA4661" w:rsidRPr="00B73D7E" w:rsidRDefault="00AA4661" w:rsidP="00CF297A">
      <w:pPr>
        <w:pStyle w:val="BodyText"/>
        <w:numPr>
          <w:ilvl w:val="0"/>
          <w:numId w:val="41"/>
        </w:numPr>
        <w:ind w:left="0" w:firstLine="0"/>
        <w:rPr>
          <w:lang w:val="bg-BG"/>
        </w:rPr>
      </w:pPr>
      <w:r w:rsidRPr="00B73D7E">
        <w:rPr>
          <w:lang w:val="bg-BG"/>
        </w:rPr>
        <w:t>Според последното преброяване (2011 г.) българското население от 7</w:t>
      </w:r>
      <w:r w:rsidR="00381124">
        <w:rPr>
          <w:lang w:val="en-US"/>
        </w:rPr>
        <w:t xml:space="preserve"> </w:t>
      </w:r>
      <w:r w:rsidRPr="00B73D7E">
        <w:rPr>
          <w:lang w:val="bg-BG"/>
        </w:rPr>
        <w:t>327</w:t>
      </w:r>
      <w:r w:rsidR="00381124">
        <w:rPr>
          <w:lang w:val="en-US"/>
        </w:rPr>
        <w:t xml:space="preserve"> </w:t>
      </w:r>
      <w:r w:rsidRPr="00B73D7E">
        <w:rPr>
          <w:lang w:val="bg-BG"/>
        </w:rPr>
        <w:t>224 души разполага с 3</w:t>
      </w:r>
      <w:r w:rsidR="00381124">
        <w:rPr>
          <w:lang w:val="en-US"/>
        </w:rPr>
        <w:t xml:space="preserve"> </w:t>
      </w:r>
      <w:r w:rsidRPr="00B73D7E">
        <w:rPr>
          <w:lang w:val="bg-BG"/>
        </w:rPr>
        <w:t>887</w:t>
      </w:r>
      <w:r w:rsidR="00381124">
        <w:rPr>
          <w:lang w:val="en-US"/>
        </w:rPr>
        <w:t xml:space="preserve"> </w:t>
      </w:r>
      <w:r w:rsidRPr="00B73D7E">
        <w:rPr>
          <w:lang w:val="bg-BG"/>
        </w:rPr>
        <w:t>149 жилища с 283</w:t>
      </w:r>
      <w:r w:rsidR="00381124">
        <w:rPr>
          <w:lang w:val="en-US"/>
        </w:rPr>
        <w:t xml:space="preserve"> </w:t>
      </w:r>
      <w:r w:rsidRPr="00B73D7E">
        <w:rPr>
          <w:lang w:val="bg-BG"/>
        </w:rPr>
        <w:t>833</w:t>
      </w:r>
      <w:r w:rsidR="00381124">
        <w:rPr>
          <w:lang w:val="en-US"/>
        </w:rPr>
        <w:t xml:space="preserve"> </w:t>
      </w:r>
      <w:r w:rsidRPr="00B73D7E">
        <w:rPr>
          <w:lang w:val="bg-BG"/>
        </w:rPr>
        <w:t>000 м</w:t>
      </w:r>
      <w:r w:rsidRPr="00B73D7E">
        <w:rPr>
          <w:vertAlign w:val="superscript"/>
          <w:lang w:val="bg-BG"/>
        </w:rPr>
        <w:t>2</w:t>
      </w:r>
      <w:r w:rsidRPr="00B73D7E">
        <w:rPr>
          <w:lang w:val="bg-BG"/>
        </w:rPr>
        <w:t xml:space="preserve"> полезна площ и 215</w:t>
      </w:r>
      <w:r w:rsidR="00381124">
        <w:rPr>
          <w:lang w:val="en-US"/>
        </w:rPr>
        <w:t xml:space="preserve"> </w:t>
      </w:r>
      <w:r w:rsidRPr="00B73D7E">
        <w:rPr>
          <w:lang w:val="bg-BG"/>
        </w:rPr>
        <w:t>197</w:t>
      </w:r>
      <w:r w:rsidR="00381124">
        <w:rPr>
          <w:lang w:val="en-US"/>
        </w:rPr>
        <w:t xml:space="preserve"> </w:t>
      </w:r>
      <w:r w:rsidRPr="00B73D7E">
        <w:rPr>
          <w:lang w:val="bg-BG"/>
        </w:rPr>
        <w:t>000 м</w:t>
      </w:r>
      <w:r w:rsidRPr="00B73D7E">
        <w:rPr>
          <w:vertAlign w:val="superscript"/>
          <w:lang w:val="bg-BG"/>
        </w:rPr>
        <w:t>2</w:t>
      </w:r>
      <w:r w:rsidRPr="00B73D7E">
        <w:rPr>
          <w:lang w:val="bg-BG"/>
        </w:rPr>
        <w:t xml:space="preserve"> нетна жилищна площ. В края на 2015 г. броят на жилищата е 3</w:t>
      </w:r>
      <w:r w:rsidR="00381124">
        <w:rPr>
          <w:lang w:val="en-US"/>
        </w:rPr>
        <w:t xml:space="preserve"> </w:t>
      </w:r>
      <w:r w:rsidRPr="00B73D7E">
        <w:rPr>
          <w:lang w:val="bg-BG"/>
        </w:rPr>
        <w:t>935</w:t>
      </w:r>
      <w:r w:rsidR="00381124">
        <w:rPr>
          <w:lang w:val="en-US"/>
        </w:rPr>
        <w:t xml:space="preserve"> </w:t>
      </w:r>
      <w:r w:rsidRPr="00B73D7E">
        <w:rPr>
          <w:lang w:val="bg-BG"/>
        </w:rPr>
        <w:t>105, разположени в 2</w:t>
      </w:r>
      <w:r w:rsidR="00381124">
        <w:rPr>
          <w:lang w:val="en-US"/>
        </w:rPr>
        <w:t xml:space="preserve"> </w:t>
      </w:r>
      <w:r w:rsidRPr="00B73D7E">
        <w:rPr>
          <w:lang w:val="bg-BG"/>
        </w:rPr>
        <w:t>071</w:t>
      </w:r>
      <w:r w:rsidR="00381124">
        <w:rPr>
          <w:lang w:val="en-US"/>
        </w:rPr>
        <w:t xml:space="preserve"> </w:t>
      </w:r>
      <w:r w:rsidRPr="00B73D7E">
        <w:rPr>
          <w:lang w:val="bg-BG"/>
        </w:rPr>
        <w:t>699 сгради. Териториалното разпределение на жилищата е непропорционално, а именно 37 процента от населението живее в градски жилища, които представляват 66 процента от общия брой или 2</w:t>
      </w:r>
      <w:r w:rsidR="00381124">
        <w:rPr>
          <w:lang w:val="en-US"/>
        </w:rPr>
        <w:t xml:space="preserve"> </w:t>
      </w:r>
      <w:r w:rsidRPr="00B73D7E">
        <w:rPr>
          <w:lang w:val="bg-BG"/>
        </w:rPr>
        <w:t>613</w:t>
      </w:r>
      <w:r w:rsidR="00381124">
        <w:rPr>
          <w:lang w:val="en-US"/>
        </w:rPr>
        <w:t xml:space="preserve"> </w:t>
      </w:r>
      <w:r w:rsidRPr="00B73D7E">
        <w:rPr>
          <w:lang w:val="bg-BG"/>
        </w:rPr>
        <w:t>318 градски жилища, разположени в 777</w:t>
      </w:r>
      <w:r w:rsidR="00381124">
        <w:rPr>
          <w:lang w:val="en-US"/>
        </w:rPr>
        <w:t xml:space="preserve"> </w:t>
      </w:r>
      <w:r w:rsidRPr="00B73D7E">
        <w:rPr>
          <w:lang w:val="bg-BG"/>
        </w:rPr>
        <w:t>062 жилищни сгради в градовете.</w:t>
      </w:r>
    </w:p>
    <w:p w:rsidR="00AA4661" w:rsidRPr="00B73D7E" w:rsidRDefault="00AA4661" w:rsidP="00CF297A">
      <w:pPr>
        <w:pStyle w:val="BodyText"/>
        <w:numPr>
          <w:ilvl w:val="0"/>
          <w:numId w:val="41"/>
        </w:numPr>
        <w:ind w:left="0" w:firstLine="0"/>
        <w:rPr>
          <w:lang w:val="bg-BG"/>
        </w:rPr>
      </w:pPr>
      <w:r w:rsidRPr="00B73D7E">
        <w:rPr>
          <w:lang w:val="bg-BG"/>
        </w:rPr>
        <w:t>Най-големият дял на жилищата (40 процента) са построени по време на периода на индустриално развитие (1971–1990 г.). От 1</w:t>
      </w:r>
      <w:r w:rsidR="00381124">
        <w:rPr>
          <w:lang w:val="en-US"/>
        </w:rPr>
        <w:t xml:space="preserve"> </w:t>
      </w:r>
      <w:r w:rsidRPr="00B73D7E">
        <w:rPr>
          <w:lang w:val="bg-BG"/>
        </w:rPr>
        <w:t>557</w:t>
      </w:r>
      <w:r w:rsidR="00381124">
        <w:rPr>
          <w:lang w:val="en-US"/>
        </w:rPr>
        <w:t xml:space="preserve"> </w:t>
      </w:r>
      <w:r w:rsidRPr="00B73D7E">
        <w:rPr>
          <w:lang w:val="bg-BG"/>
        </w:rPr>
        <w:t>522 жилища, построени през този период, 1</w:t>
      </w:r>
      <w:r w:rsidR="00381124">
        <w:rPr>
          <w:lang w:val="en-US"/>
        </w:rPr>
        <w:t xml:space="preserve"> </w:t>
      </w:r>
      <w:r w:rsidRPr="00B73D7E">
        <w:rPr>
          <w:lang w:val="bg-BG"/>
        </w:rPr>
        <w:t>234</w:t>
      </w:r>
      <w:r w:rsidR="00381124">
        <w:rPr>
          <w:lang w:val="en-US"/>
        </w:rPr>
        <w:t xml:space="preserve"> </w:t>
      </w:r>
      <w:r w:rsidRPr="00B73D7E">
        <w:rPr>
          <w:lang w:val="bg-BG"/>
        </w:rPr>
        <w:t>958 (79 процента) са в градовете. 10 процента от сградите датират преди 1945 г. (70+ годишна възраст), а около половината от тях са в градовете (132</w:t>
      </w:r>
      <w:r w:rsidR="00381124">
        <w:rPr>
          <w:lang w:val="en-US"/>
        </w:rPr>
        <w:t xml:space="preserve"> </w:t>
      </w:r>
      <w:r w:rsidRPr="00B73D7E">
        <w:rPr>
          <w:lang w:val="bg-BG"/>
        </w:rPr>
        <w:t>887). Ръстът на жилищното строителство след 1990 г. е по-нисък в сравнение с предишни години. За последните 25 години са построени едва 650</w:t>
      </w:r>
      <w:r w:rsidR="00381124">
        <w:rPr>
          <w:lang w:val="en-US"/>
        </w:rPr>
        <w:t xml:space="preserve"> </w:t>
      </w:r>
      <w:r w:rsidRPr="00B73D7E">
        <w:rPr>
          <w:lang w:val="bg-BG"/>
        </w:rPr>
        <w:t>972 жилища, което представлява 17 процента увеличение, като 83 процента от тях са в градовете.</w:t>
      </w:r>
    </w:p>
    <w:p w:rsidR="00AA4661" w:rsidRPr="00B73D7E" w:rsidRDefault="00AA4661" w:rsidP="00CF297A">
      <w:pPr>
        <w:pStyle w:val="BodyText"/>
        <w:numPr>
          <w:ilvl w:val="0"/>
          <w:numId w:val="41"/>
        </w:numPr>
        <w:ind w:left="0" w:firstLine="0"/>
        <w:rPr>
          <w:lang w:val="bg-BG"/>
        </w:rPr>
      </w:pPr>
      <w:r w:rsidRPr="00B73D7E">
        <w:rPr>
          <w:lang w:val="bg-BG"/>
        </w:rPr>
        <w:t>Според вида на конструкцията</w:t>
      </w:r>
      <w:r w:rsidRPr="00B73D7E">
        <w:rPr>
          <w:i/>
          <w:lang w:val="bg-BG"/>
        </w:rPr>
        <w:t xml:space="preserve"> </w:t>
      </w:r>
      <w:r w:rsidRPr="00B73D7E">
        <w:rPr>
          <w:lang w:val="bg-BG"/>
        </w:rPr>
        <w:t>жилищните сгради се делят на 4 категории: а) панелни сгради – 698</w:t>
      </w:r>
      <w:r w:rsidR="00381124">
        <w:rPr>
          <w:lang w:val="en-US"/>
        </w:rPr>
        <w:t xml:space="preserve"> </w:t>
      </w:r>
      <w:r w:rsidRPr="00B73D7E">
        <w:rPr>
          <w:lang w:val="bg-BG"/>
        </w:rPr>
        <w:t>454 жилища или 27 процента; б) сгради със стоманобетонова конструкция – 427</w:t>
      </w:r>
      <w:r w:rsidR="00381124">
        <w:rPr>
          <w:lang w:val="en-US"/>
        </w:rPr>
        <w:t xml:space="preserve"> </w:t>
      </w:r>
      <w:r w:rsidRPr="00B73D7E">
        <w:rPr>
          <w:lang w:val="bg-BG"/>
        </w:rPr>
        <w:t>438 жилища или 16 процента; в) масивни сгради – 1</w:t>
      </w:r>
      <w:r w:rsidR="00381124">
        <w:rPr>
          <w:lang w:val="en-US"/>
        </w:rPr>
        <w:t xml:space="preserve"> </w:t>
      </w:r>
      <w:r w:rsidRPr="00B73D7E">
        <w:rPr>
          <w:lang w:val="bg-BG"/>
        </w:rPr>
        <w:t>425</w:t>
      </w:r>
      <w:r w:rsidR="00381124">
        <w:rPr>
          <w:lang w:val="en-US"/>
        </w:rPr>
        <w:t xml:space="preserve"> </w:t>
      </w:r>
      <w:r w:rsidRPr="00B73D7E">
        <w:rPr>
          <w:lang w:val="bg-BG"/>
        </w:rPr>
        <w:t>996 жилища или 55 процента и г) други – паянтови сгради с основен строителен материал, като например камък, кирпич, дърво и т.н.– 61</w:t>
      </w:r>
      <w:r w:rsidR="00381124">
        <w:rPr>
          <w:lang w:val="en-US"/>
        </w:rPr>
        <w:t xml:space="preserve"> </w:t>
      </w:r>
      <w:r w:rsidRPr="00B73D7E">
        <w:rPr>
          <w:lang w:val="bg-BG"/>
        </w:rPr>
        <w:t>530 жилища или 2 процента от жилищния фонд. Делът на последната категория варира между 0,3 процента за София и 0,6 процента за Бургас, и 13 процента в Смолян. В такива къщи живеят около 172</w:t>
      </w:r>
      <w:r w:rsidR="00381124">
        <w:rPr>
          <w:lang w:val="en-US"/>
        </w:rPr>
        <w:t xml:space="preserve"> </w:t>
      </w:r>
      <w:r w:rsidRPr="00B73D7E">
        <w:rPr>
          <w:lang w:val="bg-BG"/>
        </w:rPr>
        <w:t xml:space="preserve">000 души и те са най-уязвимата група от населението на изменението на климата, като са изложени на по-висок риск от въздействие на екстремни температури, наводнения, бурни ветрове и др. </w:t>
      </w:r>
    </w:p>
    <w:p w:rsidR="00AA4661" w:rsidRPr="00B73D7E" w:rsidRDefault="00AA4661" w:rsidP="00CF297A">
      <w:pPr>
        <w:pStyle w:val="BodyText"/>
        <w:numPr>
          <w:ilvl w:val="0"/>
          <w:numId w:val="41"/>
        </w:numPr>
        <w:ind w:left="0" w:firstLine="0"/>
        <w:rPr>
          <w:lang w:val="bg-BG"/>
        </w:rPr>
      </w:pPr>
      <w:r w:rsidRPr="00B73D7E">
        <w:rPr>
          <w:lang w:val="bg-BG"/>
        </w:rPr>
        <w:t>Оценката на амортизацията на жилищата</w:t>
      </w:r>
      <w:r w:rsidR="00AF2EAB" w:rsidRPr="00F8728A">
        <w:rPr>
          <w:lang w:val="bg-BG"/>
        </w:rPr>
        <w:t xml:space="preserve"> в зависимост от тяхната възраст</w:t>
      </w:r>
      <w:r w:rsidRPr="00B73D7E">
        <w:rPr>
          <w:lang w:val="bg-BG"/>
        </w:rPr>
        <w:t xml:space="preserve">, </w:t>
      </w:r>
      <w:r w:rsidRPr="00B73D7E">
        <w:rPr>
          <w:i/>
          <w:lang w:val="bg-BG"/>
        </w:rPr>
        <w:lastRenderedPageBreak/>
        <w:t>според националната статистика</w:t>
      </w:r>
      <w:r w:rsidRPr="00B73D7E">
        <w:rPr>
          <w:lang w:val="bg-BG"/>
        </w:rPr>
        <w:t>, показва около 2</w:t>
      </w:r>
      <w:r w:rsidR="00381124">
        <w:rPr>
          <w:lang w:val="en-US"/>
        </w:rPr>
        <w:t xml:space="preserve"> </w:t>
      </w:r>
      <w:r w:rsidRPr="00B73D7E">
        <w:rPr>
          <w:lang w:val="bg-BG"/>
        </w:rPr>
        <w:t>750</w:t>
      </w:r>
      <w:r w:rsidR="00381124">
        <w:rPr>
          <w:lang w:val="en-US"/>
        </w:rPr>
        <w:t xml:space="preserve"> </w:t>
      </w:r>
      <w:r w:rsidRPr="00B73D7E">
        <w:rPr>
          <w:lang w:val="bg-BG"/>
        </w:rPr>
        <w:t>000 жилища или 70 процента, подлежащи на реновиране, включващо мерки за енергийна ефективност.</w:t>
      </w:r>
      <w:r w:rsidR="00AF2EAB" w:rsidRPr="00B73D7E">
        <w:rPr>
          <w:rStyle w:val="FootnoteReference"/>
          <w:lang w:val="bg-BG"/>
        </w:rPr>
        <w:footnoteReference w:id="24"/>
      </w:r>
      <w:r w:rsidRPr="00B73D7E">
        <w:rPr>
          <w:lang w:val="bg-BG"/>
        </w:rPr>
        <w:t xml:space="preserve"> </w:t>
      </w:r>
      <w:r w:rsidR="00AF2EAB" w:rsidRPr="00F8728A">
        <w:rPr>
          <w:lang w:val="bg-BG"/>
        </w:rPr>
        <w:t xml:space="preserve">Други </w:t>
      </w:r>
      <w:r w:rsidRPr="00B73D7E">
        <w:rPr>
          <w:lang w:val="bg-BG"/>
        </w:rPr>
        <w:t>9 процента от жилищния фонд или около 340</w:t>
      </w:r>
      <w:r w:rsidR="00381124">
        <w:rPr>
          <w:lang w:val="en-US"/>
        </w:rPr>
        <w:t xml:space="preserve"> </w:t>
      </w:r>
      <w:r w:rsidRPr="00B73D7E">
        <w:rPr>
          <w:lang w:val="bg-BG"/>
        </w:rPr>
        <w:t>000 жилища, намиращи се предимно в националната периферия, имат нужда от много по-сериозна цялостна реконструкция, която би надхвърлила разумната цена за реновиране.</w:t>
      </w:r>
    </w:p>
    <w:p w:rsidR="00AA4661" w:rsidRPr="00B73D7E" w:rsidRDefault="00AA4661" w:rsidP="00CF297A">
      <w:pPr>
        <w:pStyle w:val="BodyText"/>
        <w:numPr>
          <w:ilvl w:val="0"/>
          <w:numId w:val="41"/>
        </w:numPr>
        <w:ind w:left="0" w:firstLine="0"/>
        <w:rPr>
          <w:color w:val="000000"/>
          <w:lang w:val="bg-BG"/>
        </w:rPr>
      </w:pPr>
      <w:r w:rsidRPr="00B73D7E">
        <w:rPr>
          <w:lang w:val="bg-BG"/>
        </w:rPr>
        <w:t>Има множество незаконни къщи</w:t>
      </w:r>
      <w:r w:rsidRPr="00B73D7E">
        <w:rPr>
          <w:i/>
          <w:lang w:val="bg-BG"/>
        </w:rPr>
        <w:t>,</w:t>
      </w:r>
      <w:r w:rsidRPr="00B73D7E">
        <w:rPr>
          <w:lang w:val="bg-BG"/>
        </w:rPr>
        <w:t xml:space="preserve"> обитавани от роми – третата по големина етническа група в страната, които през 2011 г. наброяват 325</w:t>
      </w:r>
      <w:r w:rsidR="00381124">
        <w:rPr>
          <w:lang w:val="en-US"/>
        </w:rPr>
        <w:t xml:space="preserve"> </w:t>
      </w:r>
      <w:r w:rsidRPr="00B73D7E">
        <w:rPr>
          <w:lang w:val="bg-BG"/>
        </w:rPr>
        <w:t>323 самоопределили се или 4,9 процента от населението.</w:t>
      </w:r>
      <w:r w:rsidRPr="00B73D7E">
        <w:rPr>
          <w:rStyle w:val="FootnoteReference"/>
          <w:color w:val="000000"/>
          <w:lang w:val="bg-BG"/>
        </w:rPr>
        <w:footnoteReference w:id="25"/>
      </w:r>
      <w:r w:rsidRPr="00B73D7E">
        <w:rPr>
          <w:lang w:val="bg-BG"/>
        </w:rPr>
        <w:t xml:space="preserve"> Къщите от този тип са концентрирани в големите градове София, Пловдив, Бургас, Сливен и Стара Загора. Повечето незаконни сгради са разположени на общинска земя, близо до реки, дерета и свлачища, което ги прави изключително уязвими при природни бедствия. Има още една категория – примитивни нежилищни сгради (бараки, каравани и др.), наброяващи 2</w:t>
      </w:r>
      <w:r w:rsidR="00381124">
        <w:rPr>
          <w:lang w:val="en-US"/>
        </w:rPr>
        <w:t xml:space="preserve"> </w:t>
      </w:r>
      <w:r w:rsidRPr="00B73D7E">
        <w:rPr>
          <w:lang w:val="bg-BG"/>
        </w:rPr>
        <w:t>272 в градовете с 6</w:t>
      </w:r>
      <w:r w:rsidR="00381124">
        <w:rPr>
          <w:lang w:val="en-US"/>
        </w:rPr>
        <w:t xml:space="preserve"> </w:t>
      </w:r>
      <w:r w:rsidRPr="00B73D7E">
        <w:rPr>
          <w:lang w:val="bg-BG"/>
        </w:rPr>
        <w:t>360 обитатели според последното преброяване през 2011 г. Най-високият дял на тези примитивни и мобилни „домове“ е в София (24 процента). Хората, обитаващи такъв вид примитивни подслони, са по-уязвими на екстремни температури, бури и наводнения.</w:t>
      </w:r>
      <w:r w:rsidRPr="00B73D7E">
        <w:rPr>
          <w:color w:val="000000"/>
          <w:lang w:val="bg-BG"/>
        </w:rPr>
        <w:t xml:space="preserve"> </w:t>
      </w:r>
    </w:p>
    <w:p w:rsidR="00AA4661" w:rsidRPr="00B73D7E" w:rsidRDefault="00AA4661" w:rsidP="00CF297A">
      <w:pPr>
        <w:pStyle w:val="BodyText"/>
        <w:numPr>
          <w:ilvl w:val="0"/>
          <w:numId w:val="41"/>
        </w:numPr>
        <w:spacing w:after="200"/>
        <w:ind w:left="0" w:firstLine="0"/>
        <w:rPr>
          <w:lang w:val="bg-BG"/>
        </w:rPr>
      </w:pPr>
      <w:r w:rsidRPr="00B73D7E">
        <w:rPr>
          <w:lang w:val="bg-BG"/>
        </w:rPr>
        <w:t>Според преброяването през 2011 г. 54 процента от обитаваните жилища се отопляват с дърва и въглища, докато в по-малките градове, и особено в планинските региони този процент достига 95 процента. Около 27 процента от жилищата използват отопление с електричество, 16 процента – централно отопление на нафта, а 1 процент – на газ. Най-големият проблем за качеството на въздуха в градските територии представлява отоплението на домовете на твърди горива, което е пряко свързано с бедността. Често се извършва незаконна сеч на дърва за отопление главно от роми</w:t>
      </w:r>
      <w:r w:rsidR="008B7070" w:rsidRPr="00B73D7E">
        <w:rPr>
          <w:lang w:val="bg-BG"/>
        </w:rPr>
        <w:t>.</w:t>
      </w:r>
      <w:r w:rsidRPr="00B73D7E">
        <w:rPr>
          <w:lang w:val="bg-BG"/>
        </w:rPr>
        <w:t xml:space="preserve"> а изсичането на значителни горски площи води до влошаване на </w:t>
      </w:r>
      <w:r w:rsidR="00AF2EAB" w:rsidRPr="00F8728A">
        <w:rPr>
          <w:lang w:val="bg-BG"/>
        </w:rPr>
        <w:t>качеството на околната среда</w:t>
      </w:r>
      <w:r w:rsidRPr="00B73D7E">
        <w:rPr>
          <w:lang w:val="bg-BG"/>
        </w:rPr>
        <w:t>, засушавания</w:t>
      </w:r>
      <w:r w:rsidR="00AF2EAB" w:rsidRPr="00F8728A">
        <w:rPr>
          <w:lang w:val="bg-BG"/>
        </w:rPr>
        <w:t>,</w:t>
      </w:r>
      <w:r w:rsidRPr="00B73D7E">
        <w:rPr>
          <w:lang w:val="bg-BG"/>
        </w:rPr>
        <w:t xml:space="preserve"> ерозия</w:t>
      </w:r>
      <w:r w:rsidR="00AF2EAB" w:rsidRPr="00F8728A">
        <w:rPr>
          <w:lang w:val="bg-BG"/>
        </w:rPr>
        <w:t xml:space="preserve"> и повишен риск от наводнения</w:t>
      </w:r>
      <w:r w:rsidRPr="00B73D7E">
        <w:rPr>
          <w:lang w:val="bg-BG"/>
        </w:rPr>
        <w:t xml:space="preserve">. </w:t>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AA4661" w:rsidRPr="00F8728A" w:rsidTr="00AD7B74">
        <w:tc>
          <w:tcPr>
            <w:tcW w:w="8545" w:type="dxa"/>
            <w:shd w:val="clear" w:color="auto" w:fill="B8CCE4"/>
          </w:tcPr>
          <w:p w:rsidR="00AA4661" w:rsidRPr="00F8728A" w:rsidRDefault="00AA4661" w:rsidP="00D267B8">
            <w:pPr>
              <w:tabs>
                <w:tab w:val="left" w:pos="2540"/>
              </w:tabs>
              <w:spacing w:before="60" w:after="120"/>
              <w:jc w:val="center"/>
              <w:rPr>
                <w:rFonts w:ascii="Calibri" w:hAnsi="Calibri" w:cs="Calibri"/>
                <w:b/>
                <w:i/>
                <w:sz w:val="22"/>
              </w:rPr>
            </w:pPr>
            <w:bookmarkStart w:id="84" w:name="_Toc522030702"/>
            <w:r w:rsidRPr="00F8728A">
              <w:rPr>
                <w:rFonts w:ascii="Calibri" w:hAnsi="Calibri" w:cs="Calibri"/>
                <w:b/>
                <w:i/>
                <w:sz w:val="22"/>
              </w:rPr>
              <w:t xml:space="preserve">Каре </w:t>
            </w:r>
            <w:r w:rsidRPr="00F8728A">
              <w:rPr>
                <w:rFonts w:ascii="Calibri" w:hAnsi="Calibri" w:cs="Calibri"/>
                <w:b/>
                <w:i/>
                <w:sz w:val="22"/>
              </w:rPr>
              <w:fldChar w:fldCharType="begin"/>
            </w:r>
            <w:r w:rsidRPr="00F8728A">
              <w:rPr>
                <w:rFonts w:ascii="Calibri" w:hAnsi="Calibri" w:cs="Calibri"/>
                <w:b/>
                <w:i/>
                <w:sz w:val="22"/>
              </w:rPr>
              <w:instrText xml:space="preserve"> SEQ Box \* ARABIC </w:instrText>
            </w:r>
            <w:r w:rsidRPr="00F8728A">
              <w:rPr>
                <w:rFonts w:ascii="Calibri" w:hAnsi="Calibri" w:cs="Calibri"/>
                <w:b/>
                <w:i/>
                <w:sz w:val="22"/>
              </w:rPr>
              <w:fldChar w:fldCharType="separate"/>
            </w:r>
            <w:r w:rsidRPr="00F8728A">
              <w:rPr>
                <w:rFonts w:ascii="Calibri" w:hAnsi="Calibri" w:cs="Calibri"/>
                <w:b/>
                <w:i/>
                <w:sz w:val="22"/>
              </w:rPr>
              <w:t>1</w:t>
            </w:r>
            <w:r w:rsidRPr="00F8728A">
              <w:rPr>
                <w:rFonts w:ascii="Calibri" w:hAnsi="Calibri" w:cs="Calibri"/>
                <w:b/>
                <w:i/>
                <w:sz w:val="22"/>
              </w:rPr>
              <w:fldChar w:fldCharType="end"/>
            </w:r>
            <w:r w:rsidRPr="00F8728A">
              <w:rPr>
                <w:rFonts w:ascii="Calibri" w:hAnsi="Calibri" w:cs="Calibri"/>
                <w:b/>
                <w:i/>
                <w:sz w:val="22"/>
              </w:rPr>
              <w:t>. Дял жилища, отопляващи се на твърди горива в различните групи градове</w:t>
            </w:r>
            <w:bookmarkEnd w:id="84"/>
          </w:p>
          <w:p w:rsidR="00AA4661" w:rsidRPr="00F8728A" w:rsidRDefault="00AA4661" w:rsidP="00123161">
            <w:pPr>
              <w:spacing w:before="60" w:after="60" w:line="252" w:lineRule="auto"/>
              <w:jc w:val="both"/>
              <w:rPr>
                <w:rFonts w:ascii="Calibri" w:hAnsi="Calibri" w:cs="Calibri"/>
                <w:sz w:val="22"/>
              </w:rPr>
            </w:pPr>
            <w:r w:rsidRPr="00F8728A">
              <w:rPr>
                <w:rFonts w:ascii="Calibri" w:hAnsi="Calibri" w:cs="Calibri"/>
                <w:sz w:val="22"/>
              </w:rPr>
              <w:t>В големите градове твърдите горива, използвани за отопление, са с най-малък дял (12 процента). Този дял е най-висок в Русе (24 процента) и най-нисък – в София (7 процента) от обитаваните жилища.</w:t>
            </w:r>
          </w:p>
          <w:p w:rsidR="00AA4661" w:rsidRPr="00F8728A" w:rsidRDefault="00AA4661" w:rsidP="00123161">
            <w:pPr>
              <w:spacing w:before="60" w:after="60" w:line="252" w:lineRule="auto"/>
              <w:jc w:val="both"/>
              <w:rPr>
                <w:rFonts w:ascii="Calibri" w:hAnsi="Calibri" w:cs="Calibri"/>
                <w:sz w:val="22"/>
              </w:rPr>
            </w:pPr>
            <w:r w:rsidRPr="00F8728A">
              <w:rPr>
                <w:rFonts w:ascii="Calibri" w:hAnsi="Calibri" w:cs="Calibri"/>
                <w:sz w:val="22"/>
              </w:rPr>
              <w:t xml:space="preserve">В средните градове 41 процента от обитаваните жилища използват твърдо гориво. Този процент е най-висок в Силистра (62 процента) и Кюстендил (61 процента), а най-нисък е в Плевен (16 процента). </w:t>
            </w:r>
          </w:p>
          <w:p w:rsidR="00AA4661" w:rsidRPr="00F8728A" w:rsidRDefault="00AA4661" w:rsidP="00AD7B74">
            <w:pPr>
              <w:spacing w:before="60" w:after="60" w:line="252" w:lineRule="auto"/>
              <w:jc w:val="both"/>
              <w:rPr>
                <w:rFonts w:ascii="Calibri" w:hAnsi="Calibri" w:cs="Calibri"/>
                <w:sz w:val="22"/>
              </w:rPr>
            </w:pPr>
            <w:r w:rsidRPr="00F8728A">
              <w:rPr>
                <w:rFonts w:ascii="Calibri" w:hAnsi="Calibri" w:cs="Calibri"/>
                <w:sz w:val="22"/>
              </w:rPr>
              <w:t xml:space="preserve">В малките градове 76 процента от обитаваните жилища използват твърдо гориво. В някои градове процентът е около 90 процента и е свързан с бедността. </w:t>
            </w:r>
          </w:p>
          <w:p w:rsidR="00AA4661" w:rsidRPr="00F8728A" w:rsidRDefault="00AA4661" w:rsidP="007C1A50">
            <w:pPr>
              <w:spacing w:before="60" w:after="60" w:line="252" w:lineRule="auto"/>
              <w:jc w:val="center"/>
              <w:rPr>
                <w:rFonts w:ascii="Calibri" w:hAnsi="Calibri" w:cs="Calibri"/>
                <w:sz w:val="22"/>
              </w:rPr>
            </w:pPr>
            <w:r w:rsidRPr="00F8728A">
              <w:rPr>
                <w:rFonts w:ascii="Calibri" w:hAnsi="Calibri" w:cs="Calibri"/>
                <w:i/>
                <w:iCs/>
                <w:szCs w:val="20"/>
              </w:rPr>
              <w:t>Източник: НСИ., том 2: Жилищен фонд, книга 2: Жилища, 2012 г.</w:t>
            </w:r>
          </w:p>
        </w:tc>
      </w:tr>
    </w:tbl>
    <w:p w:rsidR="00AA4661" w:rsidRPr="00B73D7E" w:rsidRDefault="00AA4661" w:rsidP="00CF297A">
      <w:pPr>
        <w:pStyle w:val="BodyText"/>
        <w:numPr>
          <w:ilvl w:val="0"/>
          <w:numId w:val="41"/>
        </w:numPr>
        <w:spacing w:before="200"/>
        <w:ind w:left="0" w:firstLine="0"/>
        <w:rPr>
          <w:color w:val="000000"/>
          <w:lang w:val="bg-BG"/>
        </w:rPr>
      </w:pPr>
      <w:r w:rsidRPr="00B73D7E">
        <w:rPr>
          <w:lang w:val="bg-BG"/>
        </w:rPr>
        <w:t>Въпреки достатъчният брой жилища в страната много голям брой от тях са пренаселени. Обитателите на около 327</w:t>
      </w:r>
      <w:r w:rsidR="00381124">
        <w:rPr>
          <w:lang w:val="en-US"/>
        </w:rPr>
        <w:t xml:space="preserve"> </w:t>
      </w:r>
      <w:r w:rsidRPr="00B73D7E">
        <w:rPr>
          <w:lang w:val="bg-BG"/>
        </w:rPr>
        <w:t>000 жилища или 1</w:t>
      </w:r>
      <w:r w:rsidR="00381124">
        <w:rPr>
          <w:lang w:val="en-US"/>
        </w:rPr>
        <w:t xml:space="preserve"> </w:t>
      </w:r>
      <w:r w:rsidRPr="00B73D7E">
        <w:rPr>
          <w:lang w:val="bg-BG"/>
        </w:rPr>
        <w:t>357</w:t>
      </w:r>
      <w:r w:rsidR="00381124">
        <w:rPr>
          <w:lang w:val="en-US"/>
        </w:rPr>
        <w:t xml:space="preserve"> </w:t>
      </w:r>
      <w:r w:rsidRPr="00B73D7E">
        <w:rPr>
          <w:lang w:val="bg-BG"/>
        </w:rPr>
        <w:t>000 лица споделят стая с едно или повече лица, като по този начин използват по-малко жилищна площ от средната на човек (21,8 m</w:t>
      </w:r>
      <w:r w:rsidRPr="00B73D7E">
        <w:rPr>
          <w:vertAlign w:val="superscript"/>
          <w:lang w:val="bg-BG"/>
        </w:rPr>
        <w:t>2</w:t>
      </w:r>
      <w:r w:rsidRPr="00B73D7E">
        <w:rPr>
          <w:lang w:val="bg-BG"/>
        </w:rPr>
        <w:t>). Около 85</w:t>
      </w:r>
      <w:r w:rsidR="00381124">
        <w:rPr>
          <w:lang w:val="en-US"/>
        </w:rPr>
        <w:t xml:space="preserve"> </w:t>
      </w:r>
      <w:r w:rsidRPr="00B73D7E">
        <w:rPr>
          <w:lang w:val="bg-BG"/>
        </w:rPr>
        <w:t xml:space="preserve">000 от тези жилища са обитавани от три или </w:t>
      </w:r>
      <w:r w:rsidRPr="00B73D7E">
        <w:rPr>
          <w:lang w:val="bg-BG"/>
        </w:rPr>
        <w:lastRenderedPageBreak/>
        <w:t xml:space="preserve">повече души в стая и всички обитатели </w:t>
      </w:r>
      <w:r w:rsidR="00ED3916" w:rsidRPr="00F8728A">
        <w:rPr>
          <w:lang w:val="bg-BG"/>
        </w:rPr>
        <w:t>„формират групата на крайно-нуждаещи се от социални жилища или помощ за подобряване на жилищните си условия“</w:t>
      </w:r>
      <w:r w:rsidRPr="00B73D7E">
        <w:rPr>
          <w:rStyle w:val="FootnoteReference"/>
          <w:color w:val="000000"/>
          <w:lang w:val="bg-BG"/>
        </w:rPr>
        <w:footnoteReference w:id="26"/>
      </w:r>
      <w:r w:rsidRPr="00B73D7E">
        <w:rPr>
          <w:lang w:val="bg-BG"/>
        </w:rPr>
        <w:t>. Тези хора биха попаднали в категорията на бездомните, ако в България имаше правно определение за бездомност</w:t>
      </w:r>
      <w:r w:rsidRPr="00B73D7E">
        <w:rPr>
          <w:rStyle w:val="FootnoteReference"/>
          <w:color w:val="000000"/>
          <w:lang w:val="bg-BG"/>
        </w:rPr>
        <w:footnoteReference w:id="27"/>
      </w:r>
      <w:r w:rsidRPr="00B73D7E">
        <w:rPr>
          <w:lang w:val="bg-BG"/>
        </w:rPr>
        <w:t>.</w:t>
      </w:r>
      <w:r w:rsidRPr="00B73D7E">
        <w:rPr>
          <w:color w:val="000000"/>
          <w:lang w:val="bg-BG"/>
        </w:rPr>
        <w:t xml:space="preserve"> Те са друга уязвима група, изложена на по-висок риск, по-специално на екстремни температури. </w:t>
      </w:r>
      <w:bookmarkStart w:id="85" w:name="_Toc486942155"/>
      <w:bookmarkStart w:id="86" w:name="_Toc501454832"/>
    </w:p>
    <w:p w:rsidR="00AA4661" w:rsidRPr="00B73D7E" w:rsidRDefault="00AA4661" w:rsidP="00123161">
      <w:pPr>
        <w:pStyle w:val="Heading3"/>
        <w:spacing w:before="160"/>
        <w:ind w:left="0" w:firstLine="0"/>
        <w:rPr>
          <w:lang w:val="bg-BG"/>
        </w:rPr>
      </w:pPr>
      <w:bookmarkStart w:id="87" w:name="_Toc522030534"/>
      <w:bookmarkStart w:id="88" w:name="_Toc529285519"/>
      <w:r w:rsidRPr="00B73D7E">
        <w:rPr>
          <w:lang w:val="bg-BG"/>
        </w:rPr>
        <w:t>Управление на общинска собственост</w:t>
      </w:r>
      <w:bookmarkEnd w:id="85"/>
      <w:bookmarkEnd w:id="86"/>
      <w:bookmarkEnd w:id="87"/>
      <w:bookmarkEnd w:id="88"/>
    </w:p>
    <w:p w:rsidR="00AA4661" w:rsidRPr="00B73D7E" w:rsidRDefault="00AA4661" w:rsidP="00CF297A">
      <w:pPr>
        <w:pStyle w:val="BodyText"/>
        <w:numPr>
          <w:ilvl w:val="0"/>
          <w:numId w:val="41"/>
        </w:numPr>
        <w:ind w:left="0" w:firstLine="0"/>
        <w:rPr>
          <w:lang w:val="bg-BG"/>
        </w:rPr>
      </w:pPr>
      <w:r w:rsidRPr="00B73D7E">
        <w:rPr>
          <w:lang w:val="bg-BG"/>
        </w:rPr>
        <w:t>Според Закона за общинската собственост</w:t>
      </w:r>
      <w:r w:rsidRPr="00B73D7E">
        <w:rPr>
          <w:rStyle w:val="FootnoteReference"/>
          <w:color w:val="000000"/>
          <w:lang w:val="bg-BG"/>
        </w:rPr>
        <w:footnoteReference w:id="28"/>
      </w:r>
      <w:r w:rsidRPr="00B73D7E">
        <w:rPr>
          <w:lang w:val="bg-BG"/>
        </w:rPr>
        <w:t xml:space="preserve"> управлението и поддръжката на общинската собственост е отговорност на общините. В допълнение към здравните, образователните, културните и административните сгради общинският жилищен фонд включва също и социални жилища, отдавани под наем на хора в нужда, предмет на продажба, обмен или компенсация на бивши собственици. През последните години този фонд, разпределен в различни сгради и труден за поддържане, значително намалява</w:t>
      </w:r>
      <w:r w:rsidR="00ED3916" w:rsidRPr="00F8728A">
        <w:rPr>
          <w:lang w:val="bg-BG"/>
        </w:rPr>
        <w:t>, достигайки дял от 2,4% към 2015 г</w:t>
      </w:r>
      <w:r w:rsidRPr="00B73D7E">
        <w:rPr>
          <w:lang w:val="bg-BG"/>
        </w:rPr>
        <w:t xml:space="preserve">. Поради това държавата и общините имат много ограничени възможности да предлагат подслон или да преместят нуждаещите се от подходящо жилище, обитаващи примитивни нежилищни сгради и най-уязвими на изменението на климата. </w:t>
      </w:r>
    </w:p>
    <w:p w:rsidR="00AA4661" w:rsidRPr="00B73D7E" w:rsidRDefault="00AA4661" w:rsidP="00CF297A">
      <w:pPr>
        <w:pStyle w:val="BodyText"/>
        <w:numPr>
          <w:ilvl w:val="0"/>
          <w:numId w:val="41"/>
        </w:numPr>
        <w:ind w:left="0" w:firstLine="0"/>
        <w:rPr>
          <w:lang w:val="bg-BG"/>
        </w:rPr>
      </w:pPr>
      <w:r w:rsidRPr="00B73D7E">
        <w:rPr>
          <w:lang w:val="bg-BG"/>
        </w:rPr>
        <w:t>Градската техническа инфраструктура се поддържа и управлява от общините, общинските предприятия, доставчици на услуги и частни дружества. Според Комисията за енергийно и водно регулиране има 64 ВиК дружества, 49 процента от които са изцяло собственост на общините. Дейностите на основните дружества за доставка и разпределение на енергия са  обект на контрол от горепосочената комисия. Планирането, управлението и реагирането на извънредни ситуации и природни бедствия е обхванато от регламент, издаден от тази комисия, която контролира също всички други дружества за доставка и разпределение чрез дирекции за водо- и газоподаване.</w:t>
      </w:r>
    </w:p>
    <w:p w:rsidR="00AA4661" w:rsidRPr="00B73D7E" w:rsidRDefault="00AA4661" w:rsidP="00CF297A">
      <w:pPr>
        <w:pStyle w:val="BodyText"/>
        <w:numPr>
          <w:ilvl w:val="0"/>
          <w:numId w:val="41"/>
        </w:numPr>
        <w:ind w:left="0" w:firstLine="0"/>
        <w:rPr>
          <w:lang w:val="bg-BG"/>
        </w:rPr>
      </w:pPr>
      <w:r w:rsidRPr="00B73D7E">
        <w:rPr>
          <w:lang w:val="bg-BG"/>
        </w:rPr>
        <w:t>Европейската инициатива в подкрепа на общините за устойчиво енергийно управление и АИК е Конвентът на кметовете „Кметовете се адаптират“. Сред 25-те членуващи български градове, три – София, Бургас и Димитровград вече са разработили своите стратегии и планове за действие за адаптиране.</w:t>
      </w:r>
      <w:r w:rsidRPr="00B73D7E">
        <w:rPr>
          <w:rStyle w:val="FootnoteReference"/>
          <w:color w:val="000000"/>
          <w:lang w:val="bg-BG"/>
        </w:rPr>
        <w:footnoteReference w:id="29"/>
      </w:r>
      <w:r w:rsidRPr="00B73D7E">
        <w:rPr>
          <w:lang w:val="bg-BG"/>
        </w:rPr>
        <w:t xml:space="preserve"> </w:t>
      </w:r>
    </w:p>
    <w:p w:rsidR="00AA4661" w:rsidRPr="00B73D7E" w:rsidRDefault="00C76189" w:rsidP="00B73D7E">
      <w:pPr>
        <w:pStyle w:val="BodyText"/>
        <w:numPr>
          <w:ilvl w:val="0"/>
          <w:numId w:val="41"/>
        </w:numPr>
        <w:spacing w:after="0"/>
        <w:ind w:left="0" w:firstLine="0"/>
        <w:rPr>
          <w:lang w:val="bg-BG"/>
        </w:rPr>
      </w:pPr>
      <w:r w:rsidRPr="00F8728A">
        <w:rPr>
          <w:lang w:val="bg-BG"/>
        </w:rPr>
        <w:t>Столична о</w:t>
      </w:r>
      <w:r w:rsidR="00AA4661" w:rsidRPr="00B73D7E">
        <w:rPr>
          <w:lang w:val="bg-BG"/>
        </w:rPr>
        <w:t xml:space="preserve">бщина приоритизира опазването на околната среда и насърчава участието на младежта и иновативните стартиращи компании. Разнообразието от инициативи включва мерки за пречистване на въздуха, интегрирано управление на отпадъците, увеличаване на зелените зони и тяхната защита, подобряване на управлението на водите (повърхностни, питейни, минерални и отпадъчни), енергийна ефективност. Визията за София 2050, която се разработва в момента, предвижда превръщането на столицата в зелен и иновативен град за хората. Планът за действие за устойчиво енергийно развитие на </w:t>
      </w:r>
      <w:r w:rsidR="00F21D7A" w:rsidRPr="00F8728A">
        <w:rPr>
          <w:lang w:val="bg-BG"/>
        </w:rPr>
        <w:t xml:space="preserve">Столична </w:t>
      </w:r>
      <w:r w:rsidR="00AA4661" w:rsidRPr="00B73D7E">
        <w:rPr>
          <w:lang w:val="bg-BG"/>
        </w:rPr>
        <w:t xml:space="preserve">община 2012–2020 г., разработен по </w:t>
      </w:r>
      <w:r w:rsidR="00AA4661" w:rsidRPr="00B73D7E">
        <w:rPr>
          <w:lang w:val="bg-BG"/>
        </w:rPr>
        <w:lastRenderedPageBreak/>
        <w:t xml:space="preserve">инициатива на Конвента на кметовете, акцентира върху адаптирането към изменението на климата и включва сред рисковите фактори екстремни температури, интензивни валежи и наводнения. </w:t>
      </w:r>
      <w:r w:rsidR="00ED3916" w:rsidRPr="00F8728A">
        <w:rPr>
          <w:lang w:val="bg-BG"/>
        </w:rPr>
        <w:t>През 2018 г. София е избрана от Европейската банка за възстановяване и развитие за участие в инициативата „Зелени градове“ и в момента разработва своя план за „Зелен град“.</w:t>
      </w:r>
    </w:p>
    <w:p w:rsidR="00AA4661" w:rsidRPr="00B73D7E" w:rsidRDefault="00AA4661" w:rsidP="00CF297A">
      <w:pPr>
        <w:pStyle w:val="BodyText"/>
        <w:numPr>
          <w:ilvl w:val="0"/>
          <w:numId w:val="41"/>
        </w:numPr>
        <w:ind w:left="0" w:firstLine="0"/>
        <w:rPr>
          <w:lang w:val="bg-BG"/>
        </w:rPr>
      </w:pPr>
      <w:r w:rsidRPr="00B73D7E">
        <w:rPr>
          <w:lang w:val="bg-BG"/>
        </w:rPr>
        <w:t>Подобно на София, Бургас, вторият по големина град на Черноморското крайбрежие, има амбицията да се превърне в модел за устойчиво развитие. Градът беше партньор по проект „Удобни за живеене градове“ (2004–2007 г.) на мрежа EUROCITIES</w:t>
      </w:r>
      <w:r w:rsidRPr="00B73D7E">
        <w:rPr>
          <w:rStyle w:val="FootnoteReference"/>
          <w:color w:val="000000"/>
          <w:lang w:val="bg-BG"/>
        </w:rPr>
        <w:footnoteReference w:id="30"/>
      </w:r>
      <w:r w:rsidRPr="00B73D7E">
        <w:rPr>
          <w:lang w:val="bg-BG"/>
        </w:rPr>
        <w:t xml:space="preserve"> и допринесе за разработването на Насоки за устойчиво градско развитие с акцент върху качеството на въздуха, общественото здраве, емисиите на парникови газове, разпростирането на градовете, генерирането на отпадъци и отпадъчни води. Неотдавна общината разработи Стратегия за устойчиво енергийно развитие за периода 2011–2020 г. и План за действие за 2012–2020 г. и има добре установена мрежа за постигане на своите стратегически цели за „интелигентен“ и „зелен“ растеж. </w:t>
      </w:r>
    </w:p>
    <w:p w:rsidR="00AA4661" w:rsidRPr="00B73D7E" w:rsidRDefault="00AA4661" w:rsidP="00CF297A">
      <w:pPr>
        <w:pStyle w:val="BodyText"/>
        <w:numPr>
          <w:ilvl w:val="0"/>
          <w:numId w:val="41"/>
        </w:numPr>
        <w:ind w:left="0" w:firstLine="0"/>
        <w:rPr>
          <w:lang w:val="bg-BG"/>
        </w:rPr>
      </w:pPr>
      <w:r w:rsidRPr="00B73D7E">
        <w:rPr>
          <w:lang w:val="bg-BG"/>
        </w:rPr>
        <w:t>Третият град, приел Плана за действие за устойчива енергия и климат (ПДУЕК) до 2030 г. в рамките на инициативата „Кметовете се адаптират“</w:t>
      </w:r>
      <w:r w:rsidRPr="00B73D7E">
        <w:rPr>
          <w:rStyle w:val="FootnoteReference"/>
          <w:color w:val="000000"/>
          <w:lang w:val="bg-BG"/>
        </w:rPr>
        <w:footnoteReference w:id="31"/>
      </w:r>
      <w:r w:rsidRPr="00B73D7E">
        <w:rPr>
          <w:lang w:val="bg-BG"/>
        </w:rPr>
        <w:t>, Димитровград, е общински център с 35</w:t>
      </w:r>
      <w:r w:rsidR="00381124">
        <w:rPr>
          <w:lang w:val="en-US"/>
        </w:rPr>
        <w:t xml:space="preserve"> </w:t>
      </w:r>
      <w:r w:rsidRPr="00B73D7E">
        <w:rPr>
          <w:lang w:val="bg-BG"/>
        </w:rPr>
        <w:t>074 жители или град от среден размер в групата на тези, разположени в равнинна територия. Най-ниските части на града са на 92 м надморска височина, покрай река Марица, и са най-уязвими на наводнения. Поради високото равнище на замърсяване на въздуха в анализа на плана за действие се разглеждат всички източници на емисии парникови газове в общината и се обсъждат мерки за постигане на целта от 40 процента намаление. Сред дългосрочните стратегически цели са тези, насочени към намаляване на рисковете от екстремни температури, наводнения и засушавания.</w:t>
      </w:r>
    </w:p>
    <w:p w:rsidR="00AA4661" w:rsidRPr="00B73D7E" w:rsidRDefault="00AA4661" w:rsidP="00CF297A">
      <w:pPr>
        <w:pStyle w:val="BodyText"/>
        <w:numPr>
          <w:ilvl w:val="0"/>
          <w:numId w:val="41"/>
        </w:numPr>
        <w:ind w:left="0" w:firstLine="0"/>
        <w:rPr>
          <w:lang w:val="bg-BG"/>
        </w:rPr>
      </w:pPr>
      <w:r w:rsidRPr="00B73D7E">
        <w:rPr>
          <w:lang w:val="bg-BG"/>
        </w:rPr>
        <w:t xml:space="preserve">Тези три плана могат да бъдат примери за добра практика, която останалите общини в страната да следват, и представляват различна типология за град и местоположение. Развитието на капацитета за АИК преминава през разработване и прилагане на такива свързани стратегически документи, което означава, че по-малките общини ще се нуждаят от значителна техническа, финансова и методологична подкрепа. </w:t>
      </w:r>
    </w:p>
    <w:p w:rsidR="00AA4661" w:rsidRPr="00B73D7E" w:rsidRDefault="00AA4661" w:rsidP="00676435">
      <w:pPr>
        <w:pStyle w:val="Heading2"/>
        <w:ind w:left="0" w:firstLine="0"/>
        <w:rPr>
          <w:lang w:val="bg-BG"/>
        </w:rPr>
      </w:pPr>
      <w:bookmarkStart w:id="89" w:name="_Toc486942156"/>
      <w:bookmarkStart w:id="90" w:name="_Toc501454833"/>
      <w:bookmarkStart w:id="91" w:name="_Toc522030535"/>
      <w:bookmarkStart w:id="92" w:name="_Toc529285520"/>
      <w:r w:rsidRPr="00B73D7E">
        <w:rPr>
          <w:lang w:val="bg-BG"/>
        </w:rPr>
        <w:t>Минали и настоящи метеорологични събития и последствията от тях, и ответните действия в градския сектор</w:t>
      </w:r>
      <w:bookmarkEnd w:id="89"/>
      <w:bookmarkEnd w:id="90"/>
      <w:bookmarkEnd w:id="91"/>
      <w:bookmarkEnd w:id="92"/>
    </w:p>
    <w:p w:rsidR="00AA4661" w:rsidRPr="00B73D7E" w:rsidRDefault="00AA4661" w:rsidP="00CF297A">
      <w:pPr>
        <w:pStyle w:val="BodyText"/>
        <w:numPr>
          <w:ilvl w:val="0"/>
          <w:numId w:val="41"/>
        </w:numPr>
        <w:ind w:left="0" w:firstLine="0"/>
        <w:rPr>
          <w:lang w:val="bg-BG"/>
        </w:rPr>
      </w:pPr>
      <w:r w:rsidRPr="00B73D7E">
        <w:rPr>
          <w:lang w:val="bg-BG"/>
        </w:rPr>
        <w:t>В първия Доклад от оценката на IPCC от 1990 г. са предложени четири сценария (RCP2.6, RCP4.5, RCP4.5 и RCP8.5) въз основа на представителни пътища на концентрация (RCP) в комбинация с различни фактори – замърсяване, размер на населението, икономическо развитие, земеползване, енергопотребление и политика за климата. Дори и при най-оптимистичния сценарий RCP2.6 се взема предвид глобално затопляне от 2</w:t>
      </w:r>
      <w:r w:rsidRPr="00B73D7E">
        <w:rPr>
          <w:vertAlign w:val="superscript"/>
          <w:lang w:val="bg-BG"/>
        </w:rPr>
        <w:t>o</w:t>
      </w:r>
      <w:r w:rsidRPr="00B73D7E">
        <w:rPr>
          <w:lang w:val="bg-BG"/>
        </w:rPr>
        <w:t xml:space="preserve">C и значително въздействие върху икономическите сектори, околната </w:t>
      </w:r>
      <w:r w:rsidRPr="00B73D7E">
        <w:rPr>
          <w:lang w:val="bg-BG"/>
        </w:rPr>
        <w:lastRenderedPageBreak/>
        <w:t>среда и здравето на хората, въпреки прилагане на мерките за АИК.</w:t>
      </w:r>
      <w:r w:rsidRPr="00B73D7E">
        <w:rPr>
          <w:vertAlign w:val="superscript"/>
          <w:lang w:val="bg-BG"/>
        </w:rPr>
        <w:footnoteReference w:id="32"/>
      </w:r>
    </w:p>
    <w:p w:rsidR="00AA4661" w:rsidRPr="00B73D7E" w:rsidRDefault="00AA4661" w:rsidP="00CF297A">
      <w:pPr>
        <w:pStyle w:val="BodyText"/>
        <w:numPr>
          <w:ilvl w:val="0"/>
          <w:numId w:val="41"/>
        </w:numPr>
        <w:ind w:left="0" w:firstLine="0"/>
        <w:rPr>
          <w:lang w:val="bg-BG"/>
        </w:rPr>
      </w:pPr>
      <w:r w:rsidRPr="00B73D7E">
        <w:rPr>
          <w:lang w:val="bg-BG"/>
        </w:rPr>
        <w:t>В наскоро публикувания доклад на Европейската агенция за околната среда „Изменение на климата, въздействия и уязвимост в Европа 2016 г.“ (Доклад на ЕАОС от 2017 г.) е отбелязана повишената вероятност от различни метеорологични и климатични събития в Европа. В Източна Европа екстремно високите температури и пониженото количество летни дъждове биха могли да повишат риска от суша, рисковете за здравето и потребностите от електричество и вода през лятото. Повишените интензивни валежи биха могли да увеличат риска от преливане на реки. В планинските региони изменението на климата би могло да повиши рисковете за инфраструктурата и градската среда от наводнения и свлачища. Европейските градове със застаряващо градско население биха били по-уязвими на топлинни вълни, а екстремните валежи биха увеличили опасността от наводнения.</w:t>
      </w:r>
      <w:r w:rsidRPr="00B73D7E">
        <w:rPr>
          <w:vertAlign w:val="superscript"/>
          <w:lang w:val="bg-BG"/>
        </w:rPr>
        <w:footnoteReference w:id="33"/>
      </w:r>
    </w:p>
    <w:p w:rsidR="00AA4661" w:rsidRPr="00B73D7E" w:rsidRDefault="00AA4661" w:rsidP="00CF297A">
      <w:pPr>
        <w:pStyle w:val="BodyText"/>
        <w:numPr>
          <w:ilvl w:val="0"/>
          <w:numId w:val="41"/>
        </w:numPr>
        <w:ind w:left="0" w:firstLine="0"/>
        <w:rPr>
          <w:lang w:val="bg-BG"/>
        </w:rPr>
      </w:pPr>
      <w:r w:rsidRPr="00B73D7E">
        <w:rPr>
          <w:lang w:val="bg-BG"/>
        </w:rPr>
        <w:t xml:space="preserve">Сред разнообразието от изследвания на глобалното и регионалното изменение на климата през 2015 г. беше представен Вторият доклад за оценка на </w:t>
      </w:r>
      <w:r w:rsidRPr="00B73D7E">
        <w:rPr>
          <w:i/>
          <w:lang w:val="bg-BG"/>
        </w:rPr>
        <w:t xml:space="preserve">Изменението на климата и градовете </w:t>
      </w:r>
      <w:r w:rsidRPr="00B73D7E">
        <w:rPr>
          <w:lang w:val="bg-BG"/>
        </w:rPr>
        <w:t>(ARC3-2) на Мрежата за изследвания на изменението на климата в градовете (UCCRN). Представените в този доклад прогнози са базирани на 100 града от различни региони в света и са основани на 35 глобални климатични модела и 2 RCP (RCP4.5 и RCP8.5). Констатациите са, че средните годишни температури и валежи са се увеличили за всички 100 градове, а морското равнище се е покачило при всички 53 крайбрежни градове.</w:t>
      </w:r>
      <w:r w:rsidRPr="00B73D7E">
        <w:rPr>
          <w:vertAlign w:val="superscript"/>
          <w:lang w:val="bg-BG"/>
        </w:rPr>
        <w:footnoteReference w:id="34"/>
      </w:r>
    </w:p>
    <w:p w:rsidR="00AA4661" w:rsidRPr="00B73D7E" w:rsidRDefault="00AA4661" w:rsidP="00CF297A">
      <w:pPr>
        <w:pStyle w:val="BodyText"/>
        <w:numPr>
          <w:ilvl w:val="0"/>
          <w:numId w:val="41"/>
        </w:numPr>
        <w:ind w:left="0" w:firstLine="0"/>
        <w:rPr>
          <w:lang w:val="bg-BG"/>
        </w:rPr>
      </w:pPr>
      <w:r w:rsidRPr="00B73D7E">
        <w:rPr>
          <w:lang w:val="bg-BG"/>
        </w:rPr>
        <w:t xml:space="preserve">Българската градска среда претърпява подобно изменение на климата чрез чести екстремни климатични явления, като например екстремно високи и ниски температури, интензивни валежи, често придружени от бурни ветрове и свързани с климата наводнения, суша и свлачища (вж. </w:t>
      </w:r>
      <w:r w:rsidRPr="00B73D7E">
        <w:rPr>
          <w:b/>
          <w:i/>
          <w:iCs/>
          <w:lang w:val="bg-BG"/>
        </w:rPr>
        <w:t>фигура 3</w:t>
      </w:r>
      <w:r w:rsidR="00BF3C54" w:rsidRPr="00B73D7E">
        <w:rPr>
          <w:b/>
          <w:i/>
          <w:iCs/>
          <w:lang w:val="bg-BG"/>
        </w:rPr>
        <w:t>2</w:t>
      </w:r>
      <w:r w:rsidRPr="00B73D7E">
        <w:rPr>
          <w:b/>
          <w:lang w:val="bg-BG"/>
        </w:rPr>
        <w:t xml:space="preserve"> </w:t>
      </w:r>
      <w:r w:rsidRPr="00B73D7E">
        <w:rPr>
          <w:lang w:val="bg-BG"/>
        </w:rPr>
        <w:t xml:space="preserve">в </w:t>
      </w:r>
      <w:r w:rsidRPr="00B73D7E">
        <w:rPr>
          <w:b/>
          <w:i/>
          <w:iCs/>
          <w:lang w:val="bg-BG"/>
        </w:rPr>
        <w:t xml:space="preserve">приложение </w:t>
      </w:r>
      <w:r w:rsidR="00BF3C54" w:rsidRPr="00B73D7E">
        <w:rPr>
          <w:b/>
          <w:i/>
          <w:iCs/>
          <w:lang w:val="bg-BG"/>
        </w:rPr>
        <w:t>7</w:t>
      </w:r>
      <w:r w:rsidRPr="00B73D7E">
        <w:rPr>
          <w:lang w:val="bg-BG"/>
        </w:rPr>
        <w:t>).</w:t>
      </w:r>
    </w:p>
    <w:p w:rsidR="00AA4661" w:rsidRPr="00B73D7E" w:rsidRDefault="00AA4661" w:rsidP="00123161">
      <w:pPr>
        <w:pStyle w:val="Heading3"/>
        <w:spacing w:before="160"/>
        <w:ind w:left="0" w:firstLine="0"/>
        <w:rPr>
          <w:lang w:val="bg-BG"/>
        </w:rPr>
      </w:pPr>
      <w:bookmarkStart w:id="93" w:name="_Toc486942157"/>
      <w:bookmarkStart w:id="94" w:name="_Toc501454834"/>
      <w:bookmarkStart w:id="95" w:name="_Toc522030536"/>
      <w:bookmarkStart w:id="96" w:name="_Toc529285521"/>
      <w:r w:rsidRPr="00B73D7E">
        <w:rPr>
          <w:lang w:val="bg-BG"/>
        </w:rPr>
        <w:t>Екстремни температури</w:t>
      </w:r>
      <w:bookmarkEnd w:id="93"/>
      <w:bookmarkEnd w:id="94"/>
      <w:bookmarkEnd w:id="95"/>
      <w:bookmarkEnd w:id="96"/>
    </w:p>
    <w:p w:rsidR="00AA4661" w:rsidRPr="00B73D7E" w:rsidRDefault="00AA4661" w:rsidP="00CF297A">
      <w:pPr>
        <w:pStyle w:val="BodyText"/>
        <w:numPr>
          <w:ilvl w:val="0"/>
          <w:numId w:val="41"/>
        </w:numPr>
        <w:ind w:left="0" w:firstLine="0"/>
        <w:rPr>
          <w:lang w:val="bg-BG"/>
        </w:rPr>
      </w:pPr>
      <w:r w:rsidRPr="00B73D7E">
        <w:rPr>
          <w:lang w:val="bg-BG"/>
        </w:rPr>
        <w:t>Подобно на други европейски държави България също изпитва тревожни климатични тенденции от края на 70-те години на ХХ век. Между 1998 г. и 2011 г. средната годишна температура се повишава с 1,3</w:t>
      </w:r>
      <w:r w:rsidRPr="00B73D7E">
        <w:rPr>
          <w:vertAlign w:val="superscript"/>
          <w:lang w:val="bg-BG"/>
        </w:rPr>
        <w:t>o</w:t>
      </w:r>
      <w:r w:rsidRPr="00B73D7E">
        <w:rPr>
          <w:lang w:val="bg-BG"/>
        </w:rPr>
        <w:t>C спрямо базовия период 1961–1990 г. През 1994 г., 2000 г. и 2011 г. това отклонение надвишава 2</w:t>
      </w:r>
      <w:r w:rsidRPr="00B73D7E">
        <w:rPr>
          <w:vertAlign w:val="superscript"/>
          <w:lang w:val="bg-BG"/>
        </w:rPr>
        <w:t>o</w:t>
      </w:r>
      <w:r w:rsidRPr="00B73D7E">
        <w:rPr>
          <w:lang w:val="bg-BG"/>
        </w:rPr>
        <w:t>C. НИМХ-БАН наблюдава постоянство в тенденциите на затопляне и отбелязва най-топлите 20 години за последните три десетилетия.</w:t>
      </w:r>
    </w:p>
    <w:p w:rsidR="00AA4661" w:rsidRPr="00F8728A" w:rsidRDefault="00AA4661" w:rsidP="00B73D7E">
      <w:pPr>
        <w:pStyle w:val="FiguresTablesCaption"/>
      </w:pPr>
      <w:bookmarkStart w:id="97" w:name="_Toc506143761"/>
      <w:bookmarkStart w:id="98" w:name="_Toc529286484"/>
      <w:bookmarkStart w:id="99" w:name="_Toc529286559"/>
      <w:r w:rsidRPr="00F8728A">
        <w:lastRenderedPageBreak/>
        <w:t xml:space="preserve">Фигура </w:t>
      </w:r>
      <w:r w:rsidRPr="00F8728A">
        <w:fldChar w:fldCharType="begin"/>
      </w:r>
      <w:r w:rsidRPr="00F8728A">
        <w:instrText xml:space="preserve"> SEQ Figure \* ARABIC </w:instrText>
      </w:r>
      <w:r w:rsidRPr="00F8728A">
        <w:fldChar w:fldCharType="separate"/>
      </w:r>
      <w:r w:rsidRPr="00F8728A">
        <w:t>9</w:t>
      </w:r>
      <w:r w:rsidRPr="00F8728A">
        <w:fldChar w:fldCharType="end"/>
      </w:r>
      <w:r w:rsidRPr="00F8728A">
        <w:t>. Средни годишни колебания в температурата на въздуха (</w:t>
      </w:r>
      <w:r w:rsidRPr="00F8728A">
        <w:rPr>
          <w:vertAlign w:val="superscript"/>
        </w:rPr>
        <w:t>о</w:t>
      </w:r>
      <w:r w:rsidRPr="00F8728A">
        <w:t>С) за периода </w:t>
      </w:r>
      <w:r w:rsidRPr="00F8728A">
        <w:br/>
        <w:t>1988–2015 г.</w:t>
      </w:r>
      <w:bookmarkEnd w:id="97"/>
      <w:bookmarkEnd w:id="98"/>
      <w:bookmarkEnd w:id="99"/>
    </w:p>
    <w:p w:rsidR="00AA4661" w:rsidRPr="00F8728A" w:rsidRDefault="00084198" w:rsidP="00123161">
      <w:pPr>
        <w:spacing w:after="0"/>
        <w:jc w:val="center"/>
        <w:rPr>
          <w:rFonts w:cs="Arial"/>
          <w:szCs w:val="20"/>
        </w:rPr>
      </w:pPr>
      <w:r w:rsidRPr="00B73D7E">
        <w:rPr>
          <w:rFonts w:ascii="Times New Roman" w:hAnsi="Times New Roman"/>
          <w:noProof/>
          <w:sz w:val="24"/>
          <w:szCs w:val="24"/>
          <w:lang w:val="en-US"/>
        </w:rPr>
        <w:drawing>
          <wp:inline distT="0" distB="0" distL="0" distR="0" wp14:anchorId="4E0D60AD" wp14:editId="7242AE2D">
            <wp:extent cx="3820695" cy="2105025"/>
            <wp:effectExtent l="19050" t="19050" r="27940" b="9525"/>
            <wp:docPr id="8" name="Picture 4" descr="http://eea.government.bg/bg/soer/2015/climate/figuri/fi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eea.government.bg/bg/soer/2015/climate/figuri/fig1.jpg"/>
                    <pic:cNvPicPr>
                      <a:picLocks noChangeAspect="1" noChangeArrowheads="1"/>
                    </pic:cNvPicPr>
                  </pic:nvPicPr>
                  <pic:blipFill>
                    <a:blip r:embed="rId32">
                      <a:extLst>
                        <a:ext uri="{28A0092B-C50C-407E-A947-70E740481C1C}">
                          <a14:useLocalDpi xmlns:a14="http://schemas.microsoft.com/office/drawing/2010/main" val="0"/>
                        </a:ext>
                      </a:extLst>
                    </a:blip>
                    <a:srcRect t="9605"/>
                    <a:stretch>
                      <a:fillRect/>
                    </a:stretch>
                  </pic:blipFill>
                  <pic:spPr bwMode="auto">
                    <a:xfrm>
                      <a:off x="0" y="0"/>
                      <a:ext cx="3839593" cy="2115437"/>
                    </a:xfrm>
                    <a:prstGeom prst="rect">
                      <a:avLst/>
                    </a:prstGeom>
                    <a:noFill/>
                    <a:ln w="9525" cmpd="sng">
                      <a:solidFill>
                        <a:srgbClr val="5B9BD5"/>
                      </a:solidFill>
                      <a:miter lim="800000"/>
                      <a:headEnd/>
                      <a:tailEnd/>
                    </a:ln>
                    <a:effectLst/>
                  </pic:spPr>
                </pic:pic>
              </a:graphicData>
            </a:graphic>
          </wp:inline>
        </w:drawing>
      </w:r>
    </w:p>
    <w:p w:rsidR="00AA4661" w:rsidRPr="00F8728A" w:rsidRDefault="00AA4661" w:rsidP="00123161">
      <w:pPr>
        <w:pStyle w:val="Source"/>
        <w:jc w:val="center"/>
      </w:pPr>
      <w:r w:rsidRPr="00F8728A">
        <w:t>Източник: Национален доклад за състоянието на околната среда, България, 2015 г., въз основа на данни от НИМХ-БАН.</w:t>
      </w:r>
    </w:p>
    <w:p w:rsidR="00AA4661" w:rsidRPr="00B73D7E" w:rsidRDefault="00AA4661" w:rsidP="00CF297A">
      <w:pPr>
        <w:pStyle w:val="BodyText"/>
        <w:numPr>
          <w:ilvl w:val="0"/>
          <w:numId w:val="41"/>
        </w:numPr>
        <w:ind w:left="0" w:firstLine="0"/>
        <w:rPr>
          <w:lang w:val="bg-BG"/>
        </w:rPr>
      </w:pPr>
      <w:r w:rsidRPr="00B73D7E">
        <w:rPr>
          <w:color w:val="000000"/>
          <w:lang w:val="bg-BG"/>
        </w:rPr>
        <w:t>Абсолютната максимална температура в България от 45,2</w:t>
      </w:r>
      <w:r w:rsidRPr="00B73D7E">
        <w:rPr>
          <w:color w:val="000000"/>
          <w:vertAlign w:val="superscript"/>
          <w:lang w:val="bg-BG"/>
        </w:rPr>
        <w:t>о</w:t>
      </w:r>
      <w:r w:rsidRPr="00B73D7E">
        <w:rPr>
          <w:color w:val="000000"/>
          <w:lang w:val="bg-BG"/>
        </w:rPr>
        <w:t xml:space="preserve">С е измерена в Садово през 1918 г. </w:t>
      </w:r>
      <w:r w:rsidRPr="00B73D7E">
        <w:rPr>
          <w:lang w:val="bg-BG"/>
        </w:rPr>
        <w:t>Малко по-ниски температури са измерени в Бойчиновци, Чирпан и Русе (Институт по география към БАН, 2002 г.). След 1989 г. има 18 случая на регистрирани най-топли години с температури между 32</w:t>
      </w:r>
      <w:r w:rsidRPr="00B73D7E">
        <w:rPr>
          <w:vertAlign w:val="superscript"/>
          <w:lang w:val="bg-BG"/>
        </w:rPr>
        <w:t>o</w:t>
      </w:r>
      <w:r w:rsidRPr="00B73D7E">
        <w:rPr>
          <w:lang w:val="bg-BG"/>
        </w:rPr>
        <w:t>C и 38</w:t>
      </w:r>
      <w:r w:rsidRPr="00B73D7E">
        <w:rPr>
          <w:vertAlign w:val="superscript"/>
          <w:lang w:val="bg-BG"/>
        </w:rPr>
        <w:t>o</w:t>
      </w:r>
      <w:r w:rsidRPr="00B73D7E">
        <w:rPr>
          <w:lang w:val="bg-BG"/>
        </w:rPr>
        <w:t>C (Александров, 2010 г.) През 2015 г. най-високите температури са  измерени на 30 юли – 41,2</w:t>
      </w:r>
      <w:r w:rsidRPr="00B73D7E">
        <w:rPr>
          <w:vertAlign w:val="superscript"/>
          <w:lang w:val="bg-BG"/>
        </w:rPr>
        <w:t>о</w:t>
      </w:r>
      <w:r w:rsidRPr="00B73D7E">
        <w:rPr>
          <w:lang w:val="bg-BG"/>
        </w:rPr>
        <w:t>С в Сандански, 40,5</w:t>
      </w:r>
      <w:r w:rsidRPr="00B73D7E">
        <w:rPr>
          <w:vertAlign w:val="superscript"/>
          <w:lang w:val="bg-BG"/>
        </w:rPr>
        <w:t>о</w:t>
      </w:r>
      <w:r w:rsidRPr="00B73D7E">
        <w:rPr>
          <w:lang w:val="bg-BG"/>
        </w:rPr>
        <w:t>С в Плевен и 39,5</w:t>
      </w:r>
      <w:r w:rsidRPr="00B73D7E">
        <w:rPr>
          <w:vertAlign w:val="superscript"/>
          <w:lang w:val="bg-BG"/>
        </w:rPr>
        <w:t>о</w:t>
      </w:r>
      <w:r w:rsidR="007D240D" w:rsidRPr="00B73D7E">
        <w:rPr>
          <w:lang w:val="bg-BG"/>
        </w:rPr>
        <w:t>С във Велико Търново.</w:t>
      </w:r>
    </w:p>
    <w:p w:rsidR="00AA4661" w:rsidRPr="00B73D7E" w:rsidRDefault="00AA4661" w:rsidP="00CF297A">
      <w:pPr>
        <w:pStyle w:val="BodyText"/>
        <w:numPr>
          <w:ilvl w:val="0"/>
          <w:numId w:val="41"/>
        </w:numPr>
        <w:ind w:left="0" w:firstLine="0"/>
        <w:rPr>
          <w:lang w:val="bg-BG"/>
        </w:rPr>
      </w:pPr>
      <w:r w:rsidRPr="00B73D7E">
        <w:rPr>
          <w:lang w:val="bg-BG"/>
        </w:rPr>
        <w:t xml:space="preserve">Регионите с най-висок риск от екстремно високи температури включват Благоевград, Сандански, Хасково, Кърджали, Пловдив, Ямбол и Стара Загора в южната част на страната и Плевен, Русе и Велико Търново – в северната. </w:t>
      </w:r>
    </w:p>
    <w:p w:rsidR="00AA4661" w:rsidRPr="00B73D7E" w:rsidRDefault="00AA4661" w:rsidP="00CF297A">
      <w:pPr>
        <w:pStyle w:val="BodyText"/>
        <w:numPr>
          <w:ilvl w:val="0"/>
          <w:numId w:val="41"/>
        </w:numPr>
        <w:ind w:left="0" w:firstLine="0"/>
        <w:rPr>
          <w:lang w:val="bg-BG"/>
        </w:rPr>
      </w:pPr>
      <w:r w:rsidRPr="00B73D7E">
        <w:rPr>
          <w:lang w:val="bg-BG"/>
        </w:rPr>
        <w:t>Същевременно през последните 10 години има общо намаление на валежите с 30 до 40 процента. Тази тенденция, която в миналото е била по-изявена в южните региони, през последните години се разпростира из цялата страна. Според НИМХ-БАН най-големите засушавания са регистрирани през 1945 г. и 2000 г. Прогнозите за продължаващ спад на валежите през летните месеци с 10 процента (2020 г.), до 40 процента (2080 г.) ще бъде допълнителен натиск върху градските системи за водоснабдяване.</w:t>
      </w:r>
    </w:p>
    <w:p w:rsidR="00AA4661" w:rsidRPr="00B73D7E" w:rsidRDefault="00AA4661" w:rsidP="00CF297A">
      <w:pPr>
        <w:pStyle w:val="BodyText"/>
        <w:numPr>
          <w:ilvl w:val="0"/>
          <w:numId w:val="41"/>
        </w:numPr>
        <w:ind w:left="0" w:firstLine="0"/>
        <w:rPr>
          <w:lang w:val="bg-BG"/>
        </w:rPr>
      </w:pPr>
      <w:r w:rsidRPr="00B73D7E">
        <w:rPr>
          <w:lang w:val="bg-BG"/>
        </w:rPr>
        <w:t>Абсолютната минимална температура от -38,3</w:t>
      </w:r>
      <w:r w:rsidRPr="00B73D7E">
        <w:rPr>
          <w:vertAlign w:val="superscript"/>
          <w:lang w:val="bg-BG"/>
        </w:rPr>
        <w:t>о</w:t>
      </w:r>
      <w:r w:rsidRPr="00B73D7E">
        <w:rPr>
          <w:lang w:val="bg-BG"/>
        </w:rPr>
        <w:t xml:space="preserve">С е измерена в Трън през 1947 г. Подобни измервания са правени в Кнежа и Севлиево. В миналото внезапните спадове в температурата, включително замръзване на крайбрежната зона на Черно море (през 1929 г., 1942 г. и 1954 г.) и по-често на река Дунав, както и продължителните периоди на студ са нанасяли значителни щети, включително ограничено корабоплаване и наводнения при топене на ледовете. </w:t>
      </w:r>
    </w:p>
    <w:p w:rsidR="00AA4661" w:rsidRPr="00B73D7E" w:rsidRDefault="00AA4661" w:rsidP="00CF297A">
      <w:pPr>
        <w:pStyle w:val="BodyText"/>
        <w:numPr>
          <w:ilvl w:val="0"/>
          <w:numId w:val="41"/>
        </w:numPr>
        <w:ind w:left="0" w:firstLine="0"/>
        <w:rPr>
          <w:lang w:val="bg-BG"/>
        </w:rPr>
      </w:pPr>
      <w:r w:rsidRPr="00B73D7E">
        <w:rPr>
          <w:lang w:val="bg-BG"/>
        </w:rPr>
        <w:t>Въпреки цялостното затопляне главно през януари и февруари има дълги периоди с температури под 0</w:t>
      </w:r>
      <w:r w:rsidRPr="00B73D7E">
        <w:rPr>
          <w:vertAlign w:val="superscript"/>
          <w:lang w:val="bg-BG"/>
        </w:rPr>
        <w:t>o</w:t>
      </w:r>
      <w:r w:rsidRPr="00B73D7E">
        <w:rPr>
          <w:lang w:val="bg-BG"/>
        </w:rPr>
        <w:t xml:space="preserve">C в цялата страна. През януари 2012 г. абсолютната минимална температура е близка до стойностите, записани през 1961 г. и 2011 г. Между края на януари и второто десетдневие на февруари най-ниските температури са </w:t>
      </w:r>
      <w:r w:rsidRPr="00B73D7E">
        <w:rPr>
          <w:lang w:val="bg-BG"/>
        </w:rPr>
        <w:lastRenderedPageBreak/>
        <w:t>измерени в Кнежа (-29,4</w:t>
      </w:r>
      <w:r w:rsidRPr="00B73D7E">
        <w:rPr>
          <w:vertAlign w:val="superscript"/>
          <w:lang w:val="bg-BG"/>
        </w:rPr>
        <w:t>o</w:t>
      </w:r>
      <w:r w:rsidRPr="00B73D7E">
        <w:rPr>
          <w:lang w:val="bg-BG"/>
        </w:rPr>
        <w:t>C), Видин (-28,6</w:t>
      </w:r>
      <w:r w:rsidRPr="00B73D7E">
        <w:rPr>
          <w:vertAlign w:val="superscript"/>
          <w:lang w:val="bg-BG"/>
        </w:rPr>
        <w:t>o</w:t>
      </w:r>
      <w:r w:rsidRPr="00B73D7E">
        <w:rPr>
          <w:lang w:val="bg-BG"/>
        </w:rPr>
        <w:t>C) и Монтана (</w:t>
      </w:r>
      <w:r w:rsidRPr="00B73D7E">
        <w:rPr>
          <w:lang w:val="bg-BG"/>
        </w:rPr>
        <w:noBreakHyphen/>
        <w:t>24,6</w:t>
      </w:r>
      <w:r w:rsidRPr="00B73D7E">
        <w:rPr>
          <w:vertAlign w:val="superscript"/>
          <w:lang w:val="bg-BG"/>
        </w:rPr>
        <w:t>o</w:t>
      </w:r>
      <w:r w:rsidRPr="00B73D7E">
        <w:rPr>
          <w:lang w:val="bg-BG"/>
        </w:rPr>
        <w:t>C)</w:t>
      </w:r>
      <w:r w:rsidRPr="00B73D7E">
        <w:rPr>
          <w:vertAlign w:val="superscript"/>
          <w:lang w:val="bg-BG"/>
        </w:rPr>
        <w:footnoteReference w:id="35"/>
      </w:r>
      <w:r w:rsidRPr="00B73D7E">
        <w:rPr>
          <w:lang w:val="bg-BG"/>
        </w:rPr>
        <w:t xml:space="preserve">. Януари 2017 г. е най-студеният месец в София от 1964 г. насам, с температура между </w:t>
      </w:r>
      <w:r w:rsidRPr="00B73D7E">
        <w:rPr>
          <w:lang w:val="bg-BG"/>
        </w:rPr>
        <w:noBreakHyphen/>
        <w:t xml:space="preserve">16ºС и -20ºС. Същевременно в няколко региона в цялата страна са регистрирани температури под 0˚C. </w:t>
      </w:r>
    </w:p>
    <w:p w:rsidR="00AA4661" w:rsidRPr="00B73D7E" w:rsidRDefault="00AA4661" w:rsidP="00CF297A">
      <w:pPr>
        <w:pStyle w:val="BodyText"/>
        <w:numPr>
          <w:ilvl w:val="0"/>
          <w:numId w:val="41"/>
        </w:numPr>
        <w:ind w:left="0" w:firstLine="0"/>
        <w:rPr>
          <w:lang w:val="bg-BG"/>
        </w:rPr>
      </w:pPr>
      <w:r w:rsidRPr="00B73D7E">
        <w:rPr>
          <w:lang w:val="bg-BG"/>
        </w:rPr>
        <w:t>В градските зони екстремните температури създават по-големи опасности за здравето за възрастните хора, особено за бедните и живеещите в жилища с нисък стандарт, и бездомните хора. Съществува риск за работниците на открито в строителния сектор или в поддръжката на публичната инфраструктура. Екстремните температури създават натиск и върху водоснабдителните системи през лятото, и върху електроснабдителните системи за отопление и охлаждане. В периоди с екстремно ниски температури има риск за трафика и мобилността поради заледяване. Допълнителна тежест за общините през зимния сезон са периодите със съчетание от екстремно ниски температури, силен вятър и снеговалежи.</w:t>
      </w:r>
    </w:p>
    <w:p w:rsidR="00AA4661" w:rsidRPr="00B73D7E" w:rsidRDefault="00AA4661" w:rsidP="00123161">
      <w:pPr>
        <w:pStyle w:val="Heading3"/>
        <w:spacing w:before="160"/>
        <w:ind w:left="0" w:firstLine="0"/>
        <w:rPr>
          <w:lang w:val="bg-BG"/>
        </w:rPr>
      </w:pPr>
      <w:bookmarkStart w:id="100" w:name="_Toc522030537"/>
      <w:bookmarkStart w:id="101" w:name="_Toc529285522"/>
      <w:r w:rsidRPr="00B73D7E">
        <w:rPr>
          <w:lang w:val="bg-BG"/>
        </w:rPr>
        <w:t>Интензивни валежи</w:t>
      </w:r>
      <w:bookmarkEnd w:id="100"/>
      <w:bookmarkEnd w:id="101"/>
    </w:p>
    <w:p w:rsidR="00AA4661" w:rsidRPr="00B73D7E" w:rsidRDefault="00AA4661" w:rsidP="00CF297A">
      <w:pPr>
        <w:pStyle w:val="BodyText"/>
        <w:numPr>
          <w:ilvl w:val="0"/>
          <w:numId w:val="41"/>
        </w:numPr>
        <w:ind w:left="0" w:firstLine="0"/>
        <w:rPr>
          <w:lang w:val="bg-BG"/>
        </w:rPr>
      </w:pPr>
      <w:r w:rsidRPr="00B73D7E">
        <w:rPr>
          <w:lang w:val="bg-BG"/>
        </w:rPr>
        <w:t>Наред с по-дългите периоди на суша има значително увеличение в броя на дните с валежи над 100 мм, което е с около 30 процента по-високо между 1991 г. и 2007 г. Има и повече регистрирани интензивни валежи в сравнение с базовия период (1961–1990 г.), както и по-голям брой гръмотевични бури и градушки през зимата (Maneva и колектив, 2012 г.).</w:t>
      </w:r>
    </w:p>
    <w:p w:rsidR="00AA4661" w:rsidRPr="00F8728A" w:rsidRDefault="00AA4661" w:rsidP="00B73D7E">
      <w:pPr>
        <w:pStyle w:val="FiguresTablesCaption"/>
      </w:pPr>
      <w:bookmarkStart w:id="102" w:name="_Toc506143762"/>
      <w:bookmarkStart w:id="103" w:name="_Toc529286485"/>
      <w:bookmarkStart w:id="104" w:name="_Toc529286560"/>
      <w:r w:rsidRPr="00F8728A">
        <w:t xml:space="preserve">Фигура </w:t>
      </w:r>
      <w:r w:rsidRPr="00F8728A">
        <w:fldChar w:fldCharType="begin"/>
      </w:r>
      <w:r w:rsidRPr="00F8728A">
        <w:instrText xml:space="preserve"> SEQ Figure \* ARABIC </w:instrText>
      </w:r>
      <w:r w:rsidRPr="00F8728A">
        <w:fldChar w:fldCharType="separate"/>
      </w:r>
      <w:r w:rsidRPr="00F8728A">
        <w:t>10</w:t>
      </w:r>
      <w:r w:rsidRPr="00F8728A">
        <w:fldChar w:fldCharType="end"/>
      </w:r>
      <w:r w:rsidRPr="00F8728A">
        <w:t xml:space="preserve">. Колебания в сумата на средните годишни валежи (в мм) за периода </w:t>
      </w:r>
      <w:r w:rsidRPr="00F8728A">
        <w:br/>
        <w:t>1988–2015 г.</w:t>
      </w:r>
      <w:bookmarkEnd w:id="102"/>
      <w:bookmarkEnd w:id="103"/>
      <w:bookmarkEnd w:id="104"/>
    </w:p>
    <w:p w:rsidR="00AA4661" w:rsidRPr="00F8728A" w:rsidRDefault="00084198" w:rsidP="00123161">
      <w:pPr>
        <w:spacing w:after="0"/>
        <w:jc w:val="center"/>
      </w:pPr>
      <w:r w:rsidRPr="00B73D7E">
        <w:rPr>
          <w:noProof/>
          <w:lang w:val="en-US"/>
        </w:rPr>
        <w:drawing>
          <wp:inline distT="0" distB="0" distL="0" distR="0" wp14:anchorId="398333FC" wp14:editId="796E12B3">
            <wp:extent cx="4213225" cy="2349500"/>
            <wp:effectExtent l="19050" t="19050" r="0" b="0"/>
            <wp:docPr id="9" name="Picture 8" descr="http://eea.government.bg/bg/soer/2015/climate/figur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eea.government.bg/bg/soer/2015/climate/figuri/3.jpg"/>
                    <pic:cNvPicPr>
                      <a:picLocks noChangeAspect="1" noChangeArrowheads="1"/>
                    </pic:cNvPicPr>
                  </pic:nvPicPr>
                  <pic:blipFill>
                    <a:blip r:embed="rId33">
                      <a:extLst>
                        <a:ext uri="{28A0092B-C50C-407E-A947-70E740481C1C}">
                          <a14:useLocalDpi xmlns:a14="http://schemas.microsoft.com/office/drawing/2010/main" val="0"/>
                        </a:ext>
                      </a:extLst>
                    </a:blip>
                    <a:srcRect t="7971"/>
                    <a:stretch>
                      <a:fillRect/>
                    </a:stretch>
                  </pic:blipFill>
                  <pic:spPr bwMode="auto">
                    <a:xfrm>
                      <a:off x="0" y="0"/>
                      <a:ext cx="4213225" cy="2349500"/>
                    </a:xfrm>
                    <a:prstGeom prst="rect">
                      <a:avLst/>
                    </a:prstGeom>
                    <a:noFill/>
                    <a:ln w="9525" cmpd="sng">
                      <a:solidFill>
                        <a:srgbClr val="5B9BD5"/>
                      </a:solidFill>
                      <a:miter lim="800000"/>
                      <a:headEnd/>
                      <a:tailEnd/>
                    </a:ln>
                    <a:effectLst/>
                  </pic:spPr>
                </pic:pic>
              </a:graphicData>
            </a:graphic>
          </wp:inline>
        </w:drawing>
      </w:r>
    </w:p>
    <w:p w:rsidR="00AA4661" w:rsidRPr="00F8728A" w:rsidRDefault="00AA4661" w:rsidP="00123161">
      <w:pPr>
        <w:pStyle w:val="Source"/>
        <w:jc w:val="center"/>
      </w:pPr>
      <w:r w:rsidRPr="00F8728A">
        <w:t>Източник: Национален доклад  за състоянието на околната среда, България 2015 г., въз основа на данни от НИМХ-БАН.</w:t>
      </w:r>
    </w:p>
    <w:p w:rsidR="00AA4661" w:rsidRPr="00B73D7E" w:rsidRDefault="00AA4661" w:rsidP="00CF297A">
      <w:pPr>
        <w:pStyle w:val="BodyText"/>
        <w:numPr>
          <w:ilvl w:val="0"/>
          <w:numId w:val="41"/>
        </w:numPr>
        <w:ind w:left="0" w:firstLine="0"/>
        <w:rPr>
          <w:lang w:val="bg-BG"/>
        </w:rPr>
      </w:pPr>
      <w:r w:rsidRPr="00B73D7E">
        <w:rPr>
          <w:shd w:val="clear" w:color="auto" w:fill="FFFFFF"/>
          <w:lang w:val="bg-BG"/>
        </w:rPr>
        <w:t>Между 2005 г и 2011 г. са измерени пет дневни валежи, надвишаващи 200 мм. През 2015 г., средното количество на годишните валежи е близо до нормалното, а за зоните до 800 метра надморска височина то е 689 мм. За същия период максималните дневни валежи са измерени през февруари в област Кърджали (2</w:t>
      </w:r>
      <w:r w:rsidRPr="00B73D7E">
        <w:rPr>
          <w:lang w:val="bg-BG"/>
        </w:rPr>
        <w:t xml:space="preserve">09,5 мм), докато в началото на март дневните валежи, измерени в Момчилград, са 154 мм. </w:t>
      </w:r>
    </w:p>
    <w:p w:rsidR="00AA4661" w:rsidRPr="00B73D7E" w:rsidRDefault="00AA4661" w:rsidP="00CF297A">
      <w:pPr>
        <w:pStyle w:val="BodyText"/>
        <w:numPr>
          <w:ilvl w:val="0"/>
          <w:numId w:val="41"/>
        </w:numPr>
        <w:ind w:left="0" w:firstLine="0"/>
        <w:rPr>
          <w:lang w:val="bg-BG"/>
        </w:rPr>
      </w:pPr>
      <w:r w:rsidRPr="00B73D7E">
        <w:rPr>
          <w:lang w:val="bg-BG"/>
        </w:rPr>
        <w:lastRenderedPageBreak/>
        <w:t xml:space="preserve">Прогнозите за климата в България показват постоянно увеличение на дъждовете през зимните месеци, но спад в снеговалежите и снежната покривка, както и спад в броя на дните със значителна снежна покривка за ски пистите. За градовете в планински райони без потенциал за туризъм снеговалежите също са важен фактор, понеже засягат ежедневието, доставките на храна, мобилността и достъпа до образование и социални и здравни услуги. </w:t>
      </w:r>
    </w:p>
    <w:p w:rsidR="00AA4661" w:rsidRPr="00B73D7E" w:rsidRDefault="00AA4661" w:rsidP="00CF297A">
      <w:pPr>
        <w:pStyle w:val="BodyText"/>
        <w:numPr>
          <w:ilvl w:val="0"/>
          <w:numId w:val="41"/>
        </w:numPr>
        <w:ind w:left="0" w:firstLine="0"/>
        <w:rPr>
          <w:b/>
          <w:lang w:val="bg-BG"/>
        </w:rPr>
      </w:pPr>
      <w:r w:rsidRPr="00B73D7E">
        <w:rPr>
          <w:b/>
          <w:lang w:val="bg-BG"/>
        </w:rPr>
        <w:t>Градушки.</w:t>
      </w:r>
      <w:r w:rsidRPr="00B73D7E">
        <w:rPr>
          <w:lang w:val="bg-BG"/>
        </w:rPr>
        <w:t xml:space="preserve"> През последните години увеличените валежи доста често са придружени с бурни ветрове, гръмотевични бури и градушки. България е известна като една от най-предразположените към градушки страни в Европа. През 2004 г. във Варна градушка от ледени късове с диаметър 4,5 см, придружена от силен дъжд и ураган, нанесе значителни щети на коли и имущество. Подобна по сила и с подобни последствия беше градушката през 2014 г. в София.  Общо за страната са регистрирани  85 градушки в периода 2010–2015 г., нанесли щети за 52,3 милиона лева.</w:t>
      </w:r>
      <w:r w:rsidRPr="00B73D7E">
        <w:rPr>
          <w:b/>
          <w:lang w:val="bg-BG"/>
        </w:rPr>
        <w:t xml:space="preserve"> </w:t>
      </w:r>
    </w:p>
    <w:p w:rsidR="00AA4661" w:rsidRPr="00B73D7E" w:rsidRDefault="00AA4661" w:rsidP="00E37DE2">
      <w:pPr>
        <w:pStyle w:val="Heading3"/>
        <w:spacing w:before="160"/>
        <w:ind w:left="0" w:firstLine="0"/>
        <w:rPr>
          <w:lang w:val="bg-BG"/>
        </w:rPr>
      </w:pPr>
      <w:bookmarkStart w:id="105" w:name="_Toc486942159"/>
      <w:bookmarkStart w:id="106" w:name="_Toc501454836"/>
      <w:bookmarkStart w:id="107" w:name="_Toc522030538"/>
      <w:bookmarkStart w:id="108" w:name="_Toc529285523"/>
      <w:r w:rsidRPr="00B73D7E">
        <w:rPr>
          <w:lang w:val="bg-BG"/>
        </w:rPr>
        <w:t>Наводнения</w:t>
      </w:r>
      <w:bookmarkEnd w:id="105"/>
      <w:bookmarkEnd w:id="106"/>
      <w:bookmarkEnd w:id="107"/>
      <w:bookmarkEnd w:id="108"/>
      <w:r w:rsidRPr="00B73D7E">
        <w:rPr>
          <w:lang w:val="bg-BG"/>
        </w:rPr>
        <w:t xml:space="preserve"> </w:t>
      </w:r>
    </w:p>
    <w:p w:rsidR="00AA4661" w:rsidRPr="00B73D7E" w:rsidRDefault="00AA4661" w:rsidP="00CF297A">
      <w:pPr>
        <w:pStyle w:val="BodyText"/>
        <w:numPr>
          <w:ilvl w:val="0"/>
          <w:numId w:val="41"/>
        </w:numPr>
        <w:ind w:left="0" w:firstLine="0"/>
        <w:rPr>
          <w:lang w:val="bg-BG"/>
        </w:rPr>
      </w:pPr>
      <w:r w:rsidRPr="00B73D7E">
        <w:rPr>
          <w:lang w:val="bg-BG"/>
        </w:rPr>
        <w:t>Наводненията са един от най-унищожителните природни рискове за страната. Те представляват 30 процента от всички природни бедствия в периода 1974–2006 г. Наводненията през лятото на 2005 г., които засегнаха цялата страна, са най-голямото природно бедствие през цялата записана история в България, нанесло щети на над 60</w:t>
      </w:r>
      <w:r w:rsidR="008D2580">
        <w:rPr>
          <w:lang w:val="en-US"/>
        </w:rPr>
        <w:t xml:space="preserve"> </w:t>
      </w:r>
      <w:r w:rsidRPr="00B73D7E">
        <w:rPr>
          <w:lang w:val="bg-BG"/>
        </w:rPr>
        <w:t>000 души и загуба на 11</w:t>
      </w:r>
      <w:r w:rsidR="008D2580">
        <w:rPr>
          <w:lang w:val="en-US"/>
        </w:rPr>
        <w:t xml:space="preserve"> </w:t>
      </w:r>
      <w:r w:rsidRPr="00B73D7E">
        <w:rPr>
          <w:lang w:val="bg-BG"/>
        </w:rPr>
        <w:t>000 глави добитък и превърнало 3</w:t>
      </w:r>
      <w:r w:rsidR="008D2580">
        <w:rPr>
          <w:lang w:val="en-US"/>
        </w:rPr>
        <w:t xml:space="preserve"> </w:t>
      </w:r>
      <w:r w:rsidRPr="00B73D7E">
        <w:rPr>
          <w:lang w:val="bg-BG"/>
        </w:rPr>
        <w:t>000 къщи в непригодни за живеене. Интензивните дъждове през следващите няколко години, някои от които достигащи до 300 л/м</w:t>
      </w:r>
      <w:r w:rsidRPr="00B73D7E">
        <w:rPr>
          <w:vertAlign w:val="superscript"/>
          <w:lang w:val="bg-BG"/>
        </w:rPr>
        <w:t>2</w:t>
      </w:r>
      <w:r w:rsidRPr="00B73D7E">
        <w:rPr>
          <w:lang w:val="bg-BG"/>
        </w:rPr>
        <w:t>, са довели до извънредни положения в 21 общини покрай р. Дунав и в много повече в централните и южните  области, където са нанесени значителни щети върху стотици хиляди декара селскостопански култури. Само за периода 2010–2015 г. са регистрирани общо 2</w:t>
      </w:r>
      <w:r w:rsidR="008D2580">
        <w:rPr>
          <w:lang w:val="en-US"/>
        </w:rPr>
        <w:t xml:space="preserve"> </w:t>
      </w:r>
      <w:r w:rsidRPr="00B73D7E">
        <w:rPr>
          <w:lang w:val="bg-BG"/>
        </w:rPr>
        <w:t>898 наводнения, като най-големият брой е през 2012 г.</w:t>
      </w:r>
      <w:r w:rsidRPr="00B73D7E">
        <w:rPr>
          <w:vertAlign w:val="superscript"/>
          <w:lang w:val="bg-BG"/>
        </w:rPr>
        <w:footnoteReference w:id="36"/>
      </w:r>
      <w:r w:rsidRPr="00B73D7E">
        <w:rPr>
          <w:lang w:val="bg-BG"/>
        </w:rPr>
        <w:t xml:space="preserve"> Общите оценени щети за същия период възлизат на 630,3 милиона лева (вж. </w:t>
      </w:r>
      <w:r w:rsidRPr="00B73D7E">
        <w:rPr>
          <w:b/>
          <w:i/>
          <w:iCs/>
          <w:lang w:val="bg-BG"/>
        </w:rPr>
        <w:t>фигури 3</w:t>
      </w:r>
      <w:r w:rsidR="00BF3C54" w:rsidRPr="00B73D7E">
        <w:rPr>
          <w:b/>
          <w:i/>
          <w:iCs/>
          <w:lang w:val="bg-BG"/>
        </w:rPr>
        <w:t>3</w:t>
      </w:r>
      <w:r w:rsidRPr="00B73D7E">
        <w:rPr>
          <w:b/>
          <w:i/>
          <w:iCs/>
          <w:lang w:val="bg-BG"/>
        </w:rPr>
        <w:t xml:space="preserve"> </w:t>
      </w:r>
      <w:r w:rsidRPr="00B73D7E">
        <w:rPr>
          <w:iCs/>
          <w:lang w:val="bg-BG"/>
        </w:rPr>
        <w:t>и</w:t>
      </w:r>
      <w:r w:rsidRPr="00B73D7E">
        <w:rPr>
          <w:b/>
          <w:i/>
          <w:iCs/>
          <w:lang w:val="bg-BG"/>
        </w:rPr>
        <w:t xml:space="preserve"> 3</w:t>
      </w:r>
      <w:r w:rsidR="00BF3C54" w:rsidRPr="00B73D7E">
        <w:rPr>
          <w:b/>
          <w:i/>
          <w:iCs/>
          <w:lang w:val="bg-BG"/>
        </w:rPr>
        <w:t>4</w:t>
      </w:r>
      <w:r w:rsidRPr="00B73D7E">
        <w:rPr>
          <w:lang w:val="bg-BG"/>
        </w:rPr>
        <w:t xml:space="preserve"> и </w:t>
      </w:r>
      <w:r w:rsidRPr="00B73D7E">
        <w:rPr>
          <w:b/>
          <w:i/>
          <w:iCs/>
          <w:lang w:val="bg-BG"/>
        </w:rPr>
        <w:t>таблица 2</w:t>
      </w:r>
      <w:r w:rsidR="00BF3C54" w:rsidRPr="00B73D7E">
        <w:rPr>
          <w:b/>
          <w:i/>
          <w:iCs/>
          <w:lang w:val="bg-BG"/>
        </w:rPr>
        <w:t>5</w:t>
      </w:r>
      <w:r w:rsidRPr="00B73D7E">
        <w:rPr>
          <w:b/>
          <w:lang w:val="bg-BG"/>
        </w:rPr>
        <w:t xml:space="preserve"> </w:t>
      </w:r>
      <w:r w:rsidRPr="00B73D7E">
        <w:rPr>
          <w:lang w:val="bg-BG"/>
        </w:rPr>
        <w:t xml:space="preserve">в </w:t>
      </w:r>
      <w:r w:rsidRPr="00B73D7E">
        <w:rPr>
          <w:b/>
          <w:i/>
          <w:iCs/>
          <w:lang w:val="bg-BG"/>
        </w:rPr>
        <w:t xml:space="preserve">приложение </w:t>
      </w:r>
      <w:r w:rsidR="00BF3C54" w:rsidRPr="00B73D7E">
        <w:rPr>
          <w:b/>
          <w:i/>
          <w:iCs/>
          <w:lang w:val="bg-BG"/>
        </w:rPr>
        <w:t>4</w:t>
      </w:r>
      <w:r w:rsidRPr="00B73D7E">
        <w:rPr>
          <w:b/>
          <w:i/>
          <w:iCs/>
          <w:lang w:val="bg-BG"/>
        </w:rPr>
        <w:t xml:space="preserve"> </w:t>
      </w:r>
      <w:r w:rsidRPr="00B73D7E">
        <w:rPr>
          <w:bCs/>
          <w:iCs/>
          <w:lang w:val="bg-BG"/>
        </w:rPr>
        <w:t>[Наводнения]</w:t>
      </w:r>
      <w:r w:rsidRPr="00B73D7E">
        <w:rPr>
          <w:lang w:val="bg-BG"/>
        </w:rPr>
        <w:t>). Големите наводнения във Варна през последните 10 години редовно превръщат много от улиците в реки, особено в по-ниската част на града. Част от щетите се дължат на малкия капацитет на канализационната мрежа. Наводнението през 2014 г. в квартал Аспарухово уби 13 души и остави други 600 без покрив.</w:t>
      </w:r>
    </w:p>
    <w:p w:rsidR="00AA4661" w:rsidRPr="00B73D7E" w:rsidRDefault="00AA4661" w:rsidP="00CF297A">
      <w:pPr>
        <w:pStyle w:val="BodyText"/>
        <w:numPr>
          <w:ilvl w:val="0"/>
          <w:numId w:val="41"/>
        </w:numPr>
        <w:ind w:left="0" w:firstLine="0"/>
        <w:rPr>
          <w:lang w:val="bg-BG"/>
        </w:rPr>
      </w:pPr>
      <w:r w:rsidRPr="00B73D7E">
        <w:rPr>
          <w:lang w:val="bg-BG"/>
        </w:rPr>
        <w:t>Според предварителните оценки на риска от наводнения на четирите речни басейна в България</w:t>
      </w:r>
      <w:r w:rsidRPr="00B73D7E">
        <w:rPr>
          <w:vertAlign w:val="superscript"/>
          <w:lang w:val="bg-BG"/>
        </w:rPr>
        <w:footnoteReference w:id="37"/>
      </w:r>
      <w:r w:rsidRPr="00B73D7E">
        <w:rPr>
          <w:lang w:val="bg-BG"/>
        </w:rPr>
        <w:t xml:space="preserve"> като най-уязвими на наводнения зони се определят тези покрай р. Дунав и по Черноморското крайбрежие. Уязвимите равнинни градове са тези покрай река Марица – Пазарджик, Пловдив и Свиленград и покрай река Тунджа – Ямбол и Елхово. Уязвимото население в тези пет града наброява около 509</w:t>
      </w:r>
      <w:r w:rsidR="008D2580">
        <w:rPr>
          <w:lang w:val="en-US"/>
        </w:rPr>
        <w:t xml:space="preserve"> </w:t>
      </w:r>
      <w:r w:rsidRPr="00B73D7E">
        <w:rPr>
          <w:lang w:val="bg-BG"/>
        </w:rPr>
        <w:t>000 души. За градовете в планински и полупланински райони рискът е по-висок за разположените край реки и проломи (Хасково, Чепеларе, Смолян и Кюстендил), докато град Кърджали е с високо рисково местоположение под язовир Кърджали.</w:t>
      </w:r>
    </w:p>
    <w:p w:rsidR="00AA4661" w:rsidRPr="00B73D7E" w:rsidRDefault="00AA4661" w:rsidP="00CF297A">
      <w:pPr>
        <w:pStyle w:val="BodyText"/>
        <w:numPr>
          <w:ilvl w:val="0"/>
          <w:numId w:val="41"/>
        </w:numPr>
        <w:ind w:left="0" w:firstLine="0"/>
        <w:rPr>
          <w:lang w:val="bg-BG"/>
        </w:rPr>
      </w:pPr>
      <w:r w:rsidRPr="00B73D7E">
        <w:rPr>
          <w:lang w:val="bg-BG"/>
        </w:rPr>
        <w:t xml:space="preserve">Разрастващият се брой наводнения през последните години, дължащи се отчасти на изменението на климата, засяга предимно ниските части на градовете, кварталите с </w:t>
      </w:r>
      <w:r w:rsidRPr="00B73D7E">
        <w:rPr>
          <w:lang w:val="bg-BG"/>
        </w:rPr>
        <w:lastRenderedPageBreak/>
        <w:t>лоши или незавършени канализационни системи и жилищни площи или сгради край речни корита, включително и незаконни. Повечето от тези територии са населени от бедни хора, за които е много трудно и често невъзможно да се възстановят от претърпените щети. Щетите от наводнения в големите градове са свързани също с повишената интензивност на застрояване и гъстота на обитаване и повишения дял градски запечатани повърхности. Освен наводненията на частни и обществени сгради и улици, въздействията включват щети върху инфраструктурата, археологическите обекти и паметниците на културата.</w:t>
      </w:r>
    </w:p>
    <w:p w:rsidR="00AA4661" w:rsidRPr="00B73D7E" w:rsidRDefault="00AA4661" w:rsidP="00123161">
      <w:pPr>
        <w:pStyle w:val="Heading3"/>
        <w:spacing w:before="160"/>
        <w:ind w:left="0" w:firstLine="0"/>
        <w:rPr>
          <w:lang w:val="bg-BG"/>
        </w:rPr>
      </w:pPr>
      <w:bookmarkStart w:id="109" w:name="_Toc486942160"/>
      <w:bookmarkStart w:id="110" w:name="_Toc501454837"/>
      <w:bookmarkStart w:id="111" w:name="_Toc522030539"/>
      <w:bookmarkStart w:id="112" w:name="_Toc529285524"/>
      <w:r w:rsidRPr="00B73D7E">
        <w:rPr>
          <w:lang w:val="bg-BG"/>
        </w:rPr>
        <w:t>Свлачища</w:t>
      </w:r>
      <w:bookmarkEnd w:id="109"/>
      <w:bookmarkEnd w:id="110"/>
      <w:bookmarkEnd w:id="111"/>
      <w:bookmarkEnd w:id="112"/>
      <w:r w:rsidRPr="00B73D7E">
        <w:rPr>
          <w:lang w:val="bg-BG"/>
        </w:rPr>
        <w:t xml:space="preserve"> </w:t>
      </w:r>
    </w:p>
    <w:p w:rsidR="00AA4661" w:rsidRPr="00B73D7E" w:rsidRDefault="00AA4661" w:rsidP="00CF297A">
      <w:pPr>
        <w:pStyle w:val="BodyText"/>
        <w:numPr>
          <w:ilvl w:val="0"/>
          <w:numId w:val="41"/>
        </w:numPr>
        <w:ind w:left="0" w:firstLine="0"/>
        <w:rPr>
          <w:lang w:val="bg-BG"/>
        </w:rPr>
      </w:pPr>
      <w:r w:rsidRPr="00B73D7E">
        <w:rPr>
          <w:lang w:val="bg-BG"/>
        </w:rPr>
        <w:t>Интензивните валежи, наводненията, подпочвените води, ерозията и абразията, земетресенията и антропогенната дейност са основните фактори за активизиране на свлачищата в България. В края на 2017 г. са регистрирани общо 2</w:t>
      </w:r>
      <w:r w:rsidR="008D2580">
        <w:rPr>
          <w:lang w:val="en-US"/>
        </w:rPr>
        <w:t xml:space="preserve"> </w:t>
      </w:r>
      <w:r w:rsidRPr="00B73D7E">
        <w:rPr>
          <w:lang w:val="bg-BG"/>
        </w:rPr>
        <w:t>000 свлачища в няколко района, включително високите крайбрежни територии покрай Дунав (Дунавци, Никопол, Свищов и Тутракан) и Черноморското крайбрежие (брегът между Каварна и Варна, Сарафово край Бургас). Допълнителни такива територии са Източните Родопи, Перник и Софийското поле (Банкя, Кокаляне, Бистрица, Драгалевци, Кътина, Земляне). В периода 2010–2015 г. са регистрирани 458 свлачища, а само през 2015 г. – 125</w:t>
      </w:r>
      <w:r w:rsidRPr="00B73D7E">
        <w:rPr>
          <w:rStyle w:val="FootnoteReference"/>
          <w:lang w:val="bg-BG"/>
        </w:rPr>
        <w:footnoteReference w:id="38"/>
      </w:r>
      <w:r w:rsidRPr="00B73D7E">
        <w:rPr>
          <w:lang w:val="bg-BG"/>
        </w:rPr>
        <w:t>. Общите оценени щети за този период възлизат на 558,1 милиона лева.</w:t>
      </w:r>
    </w:p>
    <w:p w:rsidR="00AA4661" w:rsidRPr="00B73D7E" w:rsidRDefault="00AA4661" w:rsidP="00CF297A">
      <w:pPr>
        <w:pStyle w:val="ListParagraph1"/>
        <w:numPr>
          <w:ilvl w:val="0"/>
          <w:numId w:val="41"/>
        </w:numPr>
        <w:ind w:left="0" w:firstLine="0"/>
        <w:jc w:val="both"/>
        <w:rPr>
          <w:rFonts w:ascii="Times New Roman" w:eastAsia="MS Mincho" w:hAnsi="Times New Roman"/>
          <w:sz w:val="24"/>
          <w:szCs w:val="24"/>
          <w:lang w:val="bg-BG"/>
        </w:rPr>
      </w:pPr>
      <w:r w:rsidRPr="00B73D7E">
        <w:rPr>
          <w:rFonts w:ascii="Times New Roman" w:hAnsi="Times New Roman"/>
          <w:sz w:val="24"/>
          <w:szCs w:val="24"/>
          <w:lang w:val="bg-BG"/>
        </w:rPr>
        <w:t>МРББ води регистър на свлачищата и провежда мониторинг на свлачишните райони в България чрез държавните дружества за геозащита. Според текущия мониторинг и преглед на данните са идентифицирани 603 свлачища в урбанизирани територии и още 9 новорегистрирани свлачища (вж.</w:t>
      </w:r>
      <w:r w:rsidRPr="00B73D7E">
        <w:rPr>
          <w:rFonts w:ascii="Times New Roman" w:hAnsi="Times New Roman"/>
          <w:b/>
          <w:sz w:val="24"/>
          <w:szCs w:val="24"/>
          <w:lang w:val="bg-BG"/>
        </w:rPr>
        <w:t xml:space="preserve"> </w:t>
      </w:r>
      <w:r w:rsidRPr="00B73D7E">
        <w:rPr>
          <w:rFonts w:ascii="Times New Roman" w:hAnsi="Times New Roman"/>
          <w:b/>
          <w:i/>
          <w:iCs/>
          <w:sz w:val="24"/>
          <w:szCs w:val="24"/>
          <w:lang w:val="bg-BG"/>
        </w:rPr>
        <w:t>фигури 3</w:t>
      </w:r>
      <w:r w:rsidR="00BF3C54" w:rsidRPr="00B73D7E">
        <w:rPr>
          <w:rFonts w:ascii="Times New Roman" w:hAnsi="Times New Roman"/>
          <w:b/>
          <w:i/>
          <w:iCs/>
          <w:sz w:val="24"/>
          <w:szCs w:val="24"/>
          <w:lang w:val="bg-BG"/>
        </w:rPr>
        <w:t>5</w:t>
      </w:r>
      <w:r w:rsidRPr="00B73D7E">
        <w:rPr>
          <w:rFonts w:ascii="Times New Roman" w:hAnsi="Times New Roman"/>
          <w:b/>
          <w:sz w:val="24"/>
          <w:szCs w:val="24"/>
          <w:lang w:val="bg-BG"/>
        </w:rPr>
        <w:t xml:space="preserve"> </w:t>
      </w:r>
      <w:r w:rsidRPr="00B73D7E">
        <w:rPr>
          <w:rFonts w:ascii="Times New Roman" w:hAnsi="Times New Roman"/>
          <w:sz w:val="24"/>
          <w:szCs w:val="24"/>
          <w:lang w:val="bg-BG"/>
        </w:rPr>
        <w:t>и</w:t>
      </w:r>
      <w:r w:rsidRPr="00B73D7E">
        <w:rPr>
          <w:rFonts w:ascii="Times New Roman" w:hAnsi="Times New Roman"/>
          <w:b/>
          <w:sz w:val="24"/>
          <w:szCs w:val="24"/>
          <w:lang w:val="bg-BG"/>
        </w:rPr>
        <w:t xml:space="preserve"> </w:t>
      </w:r>
      <w:r w:rsidRPr="00B73D7E">
        <w:rPr>
          <w:rFonts w:ascii="Times New Roman" w:hAnsi="Times New Roman"/>
          <w:b/>
          <w:i/>
          <w:iCs/>
          <w:sz w:val="24"/>
          <w:szCs w:val="24"/>
          <w:lang w:val="bg-BG"/>
        </w:rPr>
        <w:t>3</w:t>
      </w:r>
      <w:r w:rsidR="00BF3C54" w:rsidRPr="00B73D7E">
        <w:rPr>
          <w:rFonts w:ascii="Times New Roman" w:hAnsi="Times New Roman"/>
          <w:b/>
          <w:i/>
          <w:iCs/>
          <w:sz w:val="24"/>
          <w:szCs w:val="24"/>
          <w:lang w:val="bg-BG"/>
        </w:rPr>
        <w:t>6</w:t>
      </w:r>
      <w:r w:rsidRPr="00B73D7E">
        <w:rPr>
          <w:rFonts w:ascii="Times New Roman" w:hAnsi="Times New Roman"/>
          <w:b/>
          <w:sz w:val="24"/>
          <w:szCs w:val="24"/>
          <w:lang w:val="bg-BG"/>
        </w:rPr>
        <w:t xml:space="preserve"> </w:t>
      </w:r>
      <w:r w:rsidRPr="00B73D7E">
        <w:rPr>
          <w:rFonts w:ascii="Times New Roman" w:hAnsi="Times New Roman"/>
          <w:sz w:val="24"/>
          <w:szCs w:val="24"/>
          <w:lang w:val="bg-BG"/>
        </w:rPr>
        <w:t xml:space="preserve">и </w:t>
      </w:r>
      <w:r w:rsidRPr="00B73D7E">
        <w:rPr>
          <w:rFonts w:ascii="Times New Roman" w:hAnsi="Times New Roman"/>
          <w:b/>
          <w:i/>
          <w:iCs/>
          <w:sz w:val="24"/>
          <w:szCs w:val="24"/>
          <w:lang w:val="bg-BG"/>
        </w:rPr>
        <w:t>таблици 2</w:t>
      </w:r>
      <w:r w:rsidR="00BF3C54" w:rsidRPr="00B73D7E">
        <w:rPr>
          <w:rFonts w:ascii="Times New Roman" w:hAnsi="Times New Roman"/>
          <w:b/>
          <w:i/>
          <w:iCs/>
          <w:sz w:val="24"/>
          <w:szCs w:val="24"/>
          <w:lang w:val="bg-BG"/>
        </w:rPr>
        <w:t>6</w:t>
      </w:r>
      <w:r w:rsidRPr="00B73D7E">
        <w:rPr>
          <w:rFonts w:ascii="Times New Roman" w:hAnsi="Times New Roman"/>
          <w:b/>
          <w:i/>
          <w:iCs/>
          <w:sz w:val="24"/>
          <w:szCs w:val="24"/>
          <w:lang w:val="bg-BG"/>
        </w:rPr>
        <w:t xml:space="preserve"> </w:t>
      </w:r>
      <w:r w:rsidRPr="00B73D7E">
        <w:rPr>
          <w:rFonts w:ascii="Times New Roman" w:hAnsi="Times New Roman"/>
          <w:iCs/>
          <w:sz w:val="24"/>
          <w:szCs w:val="24"/>
          <w:lang w:val="bg-BG"/>
        </w:rPr>
        <w:t>и</w:t>
      </w:r>
      <w:r w:rsidRPr="00B73D7E">
        <w:rPr>
          <w:rFonts w:ascii="Times New Roman" w:hAnsi="Times New Roman"/>
          <w:b/>
          <w:i/>
          <w:iCs/>
          <w:sz w:val="24"/>
          <w:szCs w:val="24"/>
          <w:lang w:val="bg-BG"/>
        </w:rPr>
        <w:t xml:space="preserve"> 2</w:t>
      </w:r>
      <w:r w:rsidR="00BF3C54" w:rsidRPr="00B73D7E">
        <w:rPr>
          <w:rFonts w:ascii="Times New Roman" w:hAnsi="Times New Roman"/>
          <w:b/>
          <w:i/>
          <w:iCs/>
          <w:sz w:val="24"/>
          <w:szCs w:val="24"/>
          <w:lang w:val="bg-BG"/>
        </w:rPr>
        <w:t>7</w:t>
      </w:r>
      <w:r w:rsidRPr="00B73D7E">
        <w:rPr>
          <w:rFonts w:ascii="Times New Roman" w:hAnsi="Times New Roman"/>
          <w:b/>
          <w:sz w:val="24"/>
          <w:szCs w:val="24"/>
          <w:lang w:val="bg-BG"/>
        </w:rPr>
        <w:t xml:space="preserve"> </w:t>
      </w:r>
      <w:r w:rsidRPr="00B73D7E">
        <w:rPr>
          <w:rFonts w:ascii="Times New Roman" w:hAnsi="Times New Roman"/>
          <w:sz w:val="24"/>
          <w:szCs w:val="24"/>
          <w:lang w:val="bg-BG"/>
        </w:rPr>
        <w:t xml:space="preserve">в </w:t>
      </w:r>
      <w:r w:rsidRPr="00B73D7E">
        <w:rPr>
          <w:rFonts w:ascii="Times New Roman" w:hAnsi="Times New Roman"/>
          <w:b/>
          <w:i/>
          <w:iCs/>
          <w:sz w:val="24"/>
          <w:szCs w:val="24"/>
          <w:lang w:val="bg-BG"/>
        </w:rPr>
        <w:t xml:space="preserve">приложение </w:t>
      </w:r>
      <w:r w:rsidR="00BF3C54" w:rsidRPr="00B73D7E">
        <w:rPr>
          <w:rFonts w:ascii="Times New Roman" w:hAnsi="Times New Roman"/>
          <w:b/>
          <w:i/>
          <w:iCs/>
          <w:sz w:val="24"/>
          <w:szCs w:val="24"/>
          <w:lang w:val="bg-BG"/>
        </w:rPr>
        <w:t>7</w:t>
      </w:r>
      <w:r w:rsidRPr="00B73D7E">
        <w:rPr>
          <w:rFonts w:ascii="Times New Roman" w:hAnsi="Times New Roman"/>
          <w:b/>
          <w:i/>
          <w:iCs/>
          <w:sz w:val="24"/>
          <w:szCs w:val="24"/>
          <w:lang w:val="bg-BG"/>
        </w:rPr>
        <w:t xml:space="preserve"> </w:t>
      </w:r>
      <w:r w:rsidRPr="00B73D7E">
        <w:rPr>
          <w:rFonts w:ascii="Times New Roman" w:hAnsi="Times New Roman"/>
          <w:iCs/>
          <w:sz w:val="24"/>
          <w:szCs w:val="24"/>
          <w:lang w:val="bg-BG"/>
        </w:rPr>
        <w:t>[Свлачища]</w:t>
      </w:r>
      <w:r w:rsidRPr="00B73D7E">
        <w:rPr>
          <w:rFonts w:ascii="Times New Roman" w:hAnsi="Times New Roman"/>
          <w:sz w:val="24"/>
          <w:szCs w:val="24"/>
          <w:lang w:val="bg-BG"/>
        </w:rPr>
        <w:t>). Най-високият дял на свлачищата е в градовете, разположени по Черноморското крайбрежие (общо 182) и покрай Дунав (общо 111),</w:t>
      </w:r>
      <w:r w:rsidRPr="00B73D7E">
        <w:rPr>
          <w:rStyle w:val="FootnoteReference"/>
          <w:rFonts w:ascii="Times New Roman" w:hAnsi="Times New Roman"/>
          <w:sz w:val="24"/>
          <w:szCs w:val="24"/>
          <w:lang w:val="bg-BG"/>
        </w:rPr>
        <w:footnoteReference w:id="39"/>
      </w:r>
      <w:r w:rsidRPr="00B73D7E">
        <w:rPr>
          <w:rFonts w:ascii="Times New Roman" w:hAnsi="Times New Roman"/>
          <w:sz w:val="24"/>
          <w:szCs w:val="24"/>
          <w:lang w:val="bg-BG"/>
        </w:rPr>
        <w:t xml:space="preserve"> където допълнителни утежняващи фактори са абразията и ерозията. По Черноморското крайбрежие има един допълнителен антропогенен фактор – все още неизградената канализация в новите ваканционни селища</w:t>
      </w:r>
      <w:r w:rsidRPr="00B73D7E">
        <w:rPr>
          <w:lang w:val="bg-BG"/>
        </w:rPr>
        <w:t xml:space="preserve">. </w:t>
      </w:r>
    </w:p>
    <w:p w:rsidR="00AA4661" w:rsidRPr="00B73D7E" w:rsidRDefault="00AA4661" w:rsidP="00CF297A">
      <w:pPr>
        <w:pStyle w:val="BodyText"/>
        <w:numPr>
          <w:ilvl w:val="0"/>
          <w:numId w:val="41"/>
        </w:numPr>
        <w:ind w:left="0" w:firstLine="0"/>
        <w:rPr>
          <w:lang w:val="bg-BG"/>
        </w:rPr>
      </w:pPr>
      <w:r w:rsidRPr="00B73D7E">
        <w:rPr>
          <w:lang w:val="bg-BG"/>
        </w:rPr>
        <w:t>Тъй като повече от 50 процента от общия брой свлачища в страната са в границите на градовете, това създава допълнителен риск за сградния фонд, транспортната инфраструктура, подземните водоснабдителни, елетроснабдителни и газоснабдителни мрежи, и за канализационната система.</w:t>
      </w:r>
    </w:p>
    <w:p w:rsidR="00AA4661" w:rsidRPr="00B73D7E" w:rsidRDefault="00AA4661" w:rsidP="00123161">
      <w:pPr>
        <w:pStyle w:val="Heading3"/>
        <w:spacing w:before="160"/>
        <w:ind w:left="0" w:firstLine="0"/>
        <w:rPr>
          <w:lang w:val="bg-BG"/>
        </w:rPr>
      </w:pPr>
      <w:bookmarkStart w:id="113" w:name="_Toc486942161"/>
      <w:bookmarkStart w:id="114" w:name="_Toc501454838"/>
      <w:bookmarkStart w:id="115" w:name="_Toc522030540"/>
      <w:bookmarkStart w:id="116" w:name="_Toc529285525"/>
      <w:r w:rsidRPr="00B73D7E">
        <w:rPr>
          <w:lang w:val="bg-BG"/>
        </w:rPr>
        <w:t>Градски водни ресурси</w:t>
      </w:r>
      <w:bookmarkEnd w:id="113"/>
      <w:bookmarkEnd w:id="114"/>
      <w:bookmarkEnd w:id="115"/>
      <w:bookmarkEnd w:id="116"/>
    </w:p>
    <w:p w:rsidR="00AA4661" w:rsidRPr="00B73D7E" w:rsidRDefault="00AA4661" w:rsidP="00CF297A">
      <w:pPr>
        <w:pStyle w:val="BodyText"/>
        <w:numPr>
          <w:ilvl w:val="0"/>
          <w:numId w:val="41"/>
        </w:numPr>
        <w:ind w:left="0" w:firstLine="0"/>
        <w:rPr>
          <w:lang w:val="bg-BG"/>
        </w:rPr>
      </w:pPr>
      <w:r w:rsidRPr="00B73D7E">
        <w:rPr>
          <w:lang w:val="bg-BG"/>
        </w:rPr>
        <w:t>В бъдеще най-важният проблем от гледна точка на по-високите температури и по-дългите периоди на суша ще бъде свързан със снабдяването с прясна вода. В сравнение с останалите държави от ЕС България разполага с достатъчно източници на прясна вода и е сред първите 10 държави от ЕС–28 с общо 14</w:t>
      </w:r>
      <w:r w:rsidR="008D2580">
        <w:rPr>
          <w:lang w:val="en-US"/>
        </w:rPr>
        <w:t xml:space="preserve"> </w:t>
      </w:r>
      <w:r w:rsidRPr="00B73D7E">
        <w:rPr>
          <w:lang w:val="bg-BG"/>
        </w:rPr>
        <w:t>000 м</w:t>
      </w:r>
      <w:r w:rsidRPr="00B73D7E">
        <w:rPr>
          <w:vertAlign w:val="superscript"/>
          <w:lang w:val="bg-BG"/>
        </w:rPr>
        <w:t>3</w:t>
      </w:r>
      <w:r w:rsidRPr="00B73D7E">
        <w:rPr>
          <w:lang w:val="bg-BG"/>
        </w:rPr>
        <w:t>/годишно прясна вода средно на глава от населението</w:t>
      </w:r>
      <w:r w:rsidRPr="00B73D7E">
        <w:rPr>
          <w:vertAlign w:val="superscript"/>
          <w:lang w:val="bg-BG"/>
        </w:rPr>
        <w:footnoteReference w:id="40"/>
      </w:r>
      <w:r w:rsidRPr="00B73D7E">
        <w:rPr>
          <w:lang w:val="bg-BG"/>
        </w:rPr>
        <w:t xml:space="preserve">. Съществува силна конкуренция сред различните потребители на вода. В региона на басейна на река Дунав тя се дължи на нуждите от </w:t>
      </w:r>
      <w:r w:rsidRPr="00B73D7E">
        <w:rPr>
          <w:lang w:val="bg-BG"/>
        </w:rPr>
        <w:lastRenderedPageBreak/>
        <w:t>вода за охладителната система на атомната електроцентрала, а по Черноморското крайбрежие – на големия брой новоизградени хотели и ваканционни селища</w:t>
      </w:r>
      <w:r w:rsidRPr="00B73D7E">
        <w:rPr>
          <w:vertAlign w:val="superscript"/>
          <w:lang w:val="bg-BG"/>
        </w:rPr>
        <w:footnoteReference w:id="41"/>
      </w:r>
      <w:r w:rsidRPr="00B73D7E">
        <w:rPr>
          <w:lang w:val="bg-BG"/>
        </w:rPr>
        <w:t xml:space="preserve">. </w:t>
      </w:r>
    </w:p>
    <w:p w:rsidR="00AA4661" w:rsidRPr="00B73D7E" w:rsidRDefault="00AA4661" w:rsidP="00CF297A">
      <w:pPr>
        <w:pStyle w:val="BodyText"/>
        <w:numPr>
          <w:ilvl w:val="0"/>
          <w:numId w:val="41"/>
        </w:numPr>
        <w:ind w:left="0" w:firstLine="0"/>
        <w:rPr>
          <w:lang w:val="bg-BG"/>
        </w:rPr>
      </w:pPr>
      <w:r w:rsidRPr="00B73D7E">
        <w:rPr>
          <w:lang w:val="bg-BG"/>
        </w:rPr>
        <w:t>Националната стратегия за управление и развитие на водния сектор в България, приета през 2012 г. е основана на прогнозата за потреблението на вода според данните от 1999 г. до 2009 г. (между 87 и 113 л/ден) и приблизително средно дневно потребление от 120 л на глава от населението през 2035 г. От всички четири басейнови дирекции, стратегията предвижда 29 процента увеличение за басейнова дирекция „Черноморски район“ и 15 процента за басейнова дирекция „Източнобеломорски район“. Общото потребление на вода от домакинствата се очаква да се увеличи с 4,4 процента до 2035 г., а потреблението на вода за бизнеса се очаква да следва сходни тенденции и да се увеличи с 6,4 процента</w:t>
      </w:r>
      <w:r w:rsidRPr="00B73D7E">
        <w:rPr>
          <w:vertAlign w:val="superscript"/>
          <w:lang w:val="bg-BG"/>
        </w:rPr>
        <w:footnoteReference w:id="42"/>
      </w:r>
      <w:r w:rsidRPr="00B73D7E">
        <w:rPr>
          <w:lang w:val="bg-BG"/>
        </w:rPr>
        <w:t>.</w:t>
      </w:r>
    </w:p>
    <w:p w:rsidR="00AA4661" w:rsidRPr="00B73D7E" w:rsidRDefault="00AA4661" w:rsidP="00CF297A">
      <w:pPr>
        <w:pStyle w:val="BodyText"/>
        <w:numPr>
          <w:ilvl w:val="0"/>
          <w:numId w:val="41"/>
        </w:numPr>
        <w:ind w:left="0" w:firstLine="0"/>
        <w:rPr>
          <w:lang w:val="bg-BG"/>
        </w:rPr>
      </w:pPr>
      <w:r w:rsidRPr="00B73D7E">
        <w:rPr>
          <w:lang w:val="bg-BG"/>
        </w:rPr>
        <w:t>Специално внимание се отдава на един от най-малко използваните водни ресурси – термо-минералните води. Сред  проучените 200 залежи с дебит от около 5</w:t>
      </w:r>
      <w:r w:rsidR="008D2580">
        <w:rPr>
          <w:lang w:val="en-US"/>
        </w:rPr>
        <w:t xml:space="preserve"> </w:t>
      </w:r>
      <w:r w:rsidRPr="00B73D7E">
        <w:rPr>
          <w:lang w:val="bg-BG"/>
        </w:rPr>
        <w:t>600 литри в сек, съществува голямо разнообразие от химически и физически характеристики, както и лечебни свойства. В национален мащаб едва 24 процента от минералните води се използват за различни цели, като най-големият дял се пада на спортните и атракционните съоръжения (37 процента), следван от снабдяването с питейна вода (28 процента) и лечение и рехабилитация (19 процента), следван от отопление и други предназначения. Град София е единствената европейска столица с осем вида термо-минерални води в 31 залежа (Пенчев и Величков, 2011 г.). През вековете много други градове, като например Стара Загора, Кюстендил, Велинград, Сандански, Хисаря и редица по-малки градове, са се развивали около минерални извори. Тези места имат голям потенциал за развитие като балнеологични курорти, предлагащи СПА услуги. Термалните води с температура 90</w:t>
      </w:r>
      <w:r w:rsidRPr="00B73D7E">
        <w:rPr>
          <w:vertAlign w:val="superscript"/>
          <w:lang w:val="bg-BG"/>
        </w:rPr>
        <w:t xml:space="preserve"> o</w:t>
      </w:r>
      <w:r w:rsidRPr="00B73D7E">
        <w:rPr>
          <w:lang w:val="bg-BG"/>
        </w:rPr>
        <w:t>C –100</w:t>
      </w:r>
      <w:r w:rsidRPr="00B73D7E">
        <w:rPr>
          <w:vertAlign w:val="superscript"/>
          <w:lang w:val="bg-BG"/>
        </w:rPr>
        <w:t>o</w:t>
      </w:r>
      <w:r w:rsidRPr="00B73D7E">
        <w:rPr>
          <w:lang w:val="bg-BG"/>
        </w:rPr>
        <w:t>C биха могли да се използват за отопление и за подобряване на водоснабдяването.</w:t>
      </w:r>
    </w:p>
    <w:p w:rsidR="00AA4661" w:rsidRPr="00B73D7E" w:rsidRDefault="00AA4661" w:rsidP="00CF297A">
      <w:pPr>
        <w:pStyle w:val="BodyText"/>
        <w:numPr>
          <w:ilvl w:val="0"/>
          <w:numId w:val="41"/>
        </w:numPr>
        <w:ind w:left="0" w:firstLine="0"/>
        <w:rPr>
          <w:lang w:val="bg-BG"/>
        </w:rPr>
      </w:pPr>
      <w:r w:rsidRPr="00B73D7E">
        <w:rPr>
          <w:lang w:val="bg-BG"/>
        </w:rPr>
        <w:t xml:space="preserve">Друг важен въпрос в градовете са отпадъчните води, и по-специално дъждовните води в периоди на дълги и интензивни валежи и топене на снеговете. За да се намали рискът от техногенни наводнения през тези периоди, общините прилагат различни хидротехнически решения в допълнение към реконструкцията на системите за отпадъчни води и въвеждането на разделни системи за битови и повърхностни отпадъчни води. </w:t>
      </w:r>
    </w:p>
    <w:p w:rsidR="00AA4661" w:rsidRPr="00B73D7E" w:rsidRDefault="00AA4661" w:rsidP="00CF297A">
      <w:pPr>
        <w:pStyle w:val="BodyText"/>
        <w:numPr>
          <w:ilvl w:val="0"/>
          <w:numId w:val="41"/>
        </w:numPr>
        <w:ind w:left="0" w:firstLine="0"/>
        <w:rPr>
          <w:lang w:val="bg-BG"/>
        </w:rPr>
      </w:pPr>
      <w:r w:rsidRPr="00B73D7E">
        <w:rPr>
          <w:lang w:val="bg-BG"/>
        </w:rPr>
        <w:t xml:space="preserve">Според публикуваните стратегически документи, анализи и оценки на Министерството на околната среда и водите (МОСВ), в периода до 2021 г. не се очаква воден стрес,  а до 2035 г. се очаква ниско ниво. Въпреки това, въз основа на подробния анализ на уязвимите към недостиг на вода области на страната, главно поради неравномерното разпределение на водните ресурси, са дадени препоръки за изграждане на резервоари за вода, както и за проучвания и сондиране за нови източници на вода. </w:t>
      </w:r>
    </w:p>
    <w:p w:rsidR="00AA4661" w:rsidRPr="00B73D7E" w:rsidRDefault="00AA4661" w:rsidP="00123161">
      <w:pPr>
        <w:pStyle w:val="Heading3"/>
        <w:spacing w:before="160"/>
        <w:ind w:left="0" w:firstLine="0"/>
        <w:rPr>
          <w:lang w:val="bg-BG"/>
        </w:rPr>
      </w:pPr>
      <w:bookmarkStart w:id="117" w:name="_Toc486942162"/>
      <w:bookmarkStart w:id="118" w:name="_Toc501454839"/>
      <w:bookmarkStart w:id="119" w:name="_Toc522030541"/>
      <w:bookmarkStart w:id="120" w:name="_Toc529285526"/>
      <w:r w:rsidRPr="00B73D7E">
        <w:rPr>
          <w:lang w:val="bg-BG"/>
        </w:rPr>
        <w:t>Замърсяване на въздуха</w:t>
      </w:r>
      <w:bookmarkEnd w:id="117"/>
      <w:bookmarkEnd w:id="118"/>
      <w:bookmarkEnd w:id="119"/>
      <w:bookmarkEnd w:id="120"/>
      <w:r w:rsidRPr="00B73D7E">
        <w:rPr>
          <w:lang w:val="bg-BG"/>
        </w:rPr>
        <w:t xml:space="preserve"> </w:t>
      </w:r>
    </w:p>
    <w:p w:rsidR="00AA4661" w:rsidRPr="00B73D7E" w:rsidRDefault="00AA4661" w:rsidP="00CF297A">
      <w:pPr>
        <w:pStyle w:val="BodyText"/>
        <w:numPr>
          <w:ilvl w:val="0"/>
          <w:numId w:val="41"/>
        </w:numPr>
        <w:ind w:left="0" w:firstLine="0"/>
        <w:rPr>
          <w:lang w:val="bg-BG"/>
        </w:rPr>
      </w:pPr>
      <w:r w:rsidRPr="00B73D7E">
        <w:rPr>
          <w:lang w:val="bg-BG"/>
        </w:rPr>
        <w:t xml:space="preserve">В съчетание с екстремната температура и повишената влажност както през </w:t>
      </w:r>
      <w:r w:rsidRPr="00B73D7E">
        <w:rPr>
          <w:lang w:val="bg-BG"/>
        </w:rPr>
        <w:lastRenderedPageBreak/>
        <w:t xml:space="preserve">топлия, така и през студения сезон, замърсяването на въздуха е най-ключовият фактор с негативно въздействие върху здравето на човека в българските градове. Емисиите от транспорта, отоплението на твърди горива, опесъчаването на улиците през зимата, производството на енергия, промишлените и строителните работи допринасят за замърсяване на въздуха. Допълнителни фактори са неблагоприятните климатични условия, като например продължителни периоди с ниска скорост на вятъра, продължителни засушавания и възпрепятстване на проветряването на  плътно застроените градски зони. Праховите частици са добре известен рисков фактор за респираторни заболявания. В зависимост от своя състав те също засягат негативно околната среда чрез намаляване на видимостта и нанесени щети върху сградите. </w:t>
      </w:r>
    </w:p>
    <w:p w:rsidR="00AA4661" w:rsidRPr="00B73D7E" w:rsidRDefault="00AA4661" w:rsidP="00CF297A">
      <w:pPr>
        <w:pStyle w:val="BodyText"/>
        <w:numPr>
          <w:ilvl w:val="0"/>
          <w:numId w:val="41"/>
        </w:numPr>
        <w:ind w:left="0" w:firstLine="0"/>
        <w:rPr>
          <w:lang w:val="bg-BG"/>
        </w:rPr>
      </w:pPr>
      <w:r w:rsidRPr="00B73D7E">
        <w:rPr>
          <w:lang w:val="bg-BG"/>
        </w:rPr>
        <w:t>Според последния Преглед на изпълнението на политиките на ЕС, публикуван през 2017 г. (ЕО, 2017 г.), България е сред страните с най-висока концентрация на ФПЧ2,5 и ФПЧ10 в ЕС–28 със 77 мг/м</w:t>
      </w:r>
      <w:r w:rsidRPr="00B73D7E">
        <w:rPr>
          <w:vertAlign w:val="superscript"/>
          <w:lang w:val="bg-BG"/>
        </w:rPr>
        <w:t>3</w:t>
      </w:r>
      <w:r w:rsidRPr="00B73D7E">
        <w:rPr>
          <w:lang w:val="bg-BG"/>
        </w:rPr>
        <w:t xml:space="preserve"> от дневната средна концентрация, което надвишава прага на ЕС от 50 мг/м</w:t>
      </w:r>
      <w:r w:rsidRPr="00B73D7E">
        <w:rPr>
          <w:vertAlign w:val="superscript"/>
          <w:lang w:val="bg-BG"/>
        </w:rPr>
        <w:t>3</w:t>
      </w:r>
      <w:r w:rsidRPr="00B73D7E">
        <w:rPr>
          <w:lang w:val="bg-BG"/>
        </w:rPr>
        <w:t>. Сходни наблюдения са публикувани от Изпълнителна агенция „Околна среда“ (ИАОС) към МОСВ в държавния доклад „Състояние на околната среда“.</w:t>
      </w:r>
      <w:r w:rsidRPr="00B73D7E">
        <w:rPr>
          <w:vertAlign w:val="superscript"/>
          <w:lang w:val="bg-BG"/>
        </w:rPr>
        <w:footnoteReference w:id="43"/>
      </w:r>
      <w:r w:rsidRPr="00B73D7E">
        <w:rPr>
          <w:lang w:val="bg-BG"/>
        </w:rPr>
        <w:t xml:space="preserve"> Световната здравна организация определи 11</w:t>
      </w:r>
      <w:r w:rsidR="008D2580">
        <w:rPr>
          <w:lang w:val="en-US"/>
        </w:rPr>
        <w:t xml:space="preserve"> </w:t>
      </w:r>
      <w:r w:rsidRPr="00B73D7E">
        <w:rPr>
          <w:lang w:val="bg-BG"/>
        </w:rPr>
        <w:t>787 преждевременни смъртни случая в страната поради излагане на ФПЧ2,5 и озон (HEAL, 2014 г.)</w:t>
      </w:r>
      <w:r w:rsidR="007D240D" w:rsidRPr="00F8728A">
        <w:rPr>
          <w:lang w:val="bg-BG"/>
        </w:rPr>
        <w:t>.</w:t>
      </w:r>
    </w:p>
    <w:p w:rsidR="00AA4661" w:rsidRPr="00B73D7E" w:rsidRDefault="00AA4661" w:rsidP="00CF297A">
      <w:pPr>
        <w:pStyle w:val="BodyText"/>
        <w:numPr>
          <w:ilvl w:val="0"/>
          <w:numId w:val="41"/>
        </w:numPr>
        <w:ind w:left="0" w:firstLine="0"/>
        <w:rPr>
          <w:lang w:val="bg-BG"/>
        </w:rPr>
      </w:pPr>
      <w:r w:rsidRPr="00B73D7E">
        <w:rPr>
          <w:lang w:val="bg-BG"/>
        </w:rPr>
        <w:t xml:space="preserve">Най-големият брой дни, в които дневните средни стойности за ФПЧ10 са надхвърлени през 2014 г. е регистриран във Видин (171 дни), Монтана (171 дни), и Ловеч (150 дни). Столицата София се счита за града с най-замърсен въздух в страната. Поради това </w:t>
      </w:r>
      <w:r w:rsidR="00F21D7A" w:rsidRPr="00F8728A">
        <w:rPr>
          <w:lang w:val="bg-BG"/>
        </w:rPr>
        <w:t xml:space="preserve">Столична </w:t>
      </w:r>
      <w:r w:rsidRPr="00B73D7E">
        <w:rPr>
          <w:lang w:val="bg-BG"/>
        </w:rPr>
        <w:t xml:space="preserve">община стартира редица инициативи: да намали броя автомобилите, да въведе по-надеждна система на градски транспорт и по-интелигентни схеми за мобилност; да подмени превозните средства на градския транспорт с „по-интелигентни“; да стимулира колоезденето и ходенето чрез по-добре проектирани мрежи и публични открити пространства, да увеличи контрола на качеството на въздуха в основните станции за наблюдение и да инсталира система за автоматично ранно предупреждаване за замърсяване на въздуха. </w:t>
      </w:r>
    </w:p>
    <w:p w:rsidR="00AA4661" w:rsidRPr="00B73D7E" w:rsidRDefault="00AA4661" w:rsidP="00CF297A">
      <w:pPr>
        <w:pStyle w:val="BodyText"/>
        <w:numPr>
          <w:ilvl w:val="0"/>
          <w:numId w:val="41"/>
        </w:numPr>
        <w:ind w:left="0" w:firstLine="0"/>
        <w:rPr>
          <w:lang w:val="bg-BG"/>
        </w:rPr>
      </w:pPr>
      <w:r w:rsidRPr="00B73D7E">
        <w:rPr>
          <w:lang w:val="bg-BG"/>
        </w:rPr>
        <w:t xml:space="preserve">България е единствената държава в ЕС, където е регистрирано надвишаване на нормите на серния диоксид. През 2014 г. в Гълъбово аларменият праг е надвишен два пъти. През 2014 г. всички центрове за наблюдение регистрират съответствие с нормите за азотен диоксид. </w:t>
      </w:r>
    </w:p>
    <w:p w:rsidR="00AA4661" w:rsidRPr="00B73D7E" w:rsidRDefault="00AA4661" w:rsidP="00123161">
      <w:pPr>
        <w:pStyle w:val="Heading3"/>
        <w:spacing w:before="160"/>
        <w:ind w:left="0" w:firstLine="0"/>
        <w:rPr>
          <w:lang w:val="bg-BG"/>
        </w:rPr>
      </w:pPr>
      <w:bookmarkStart w:id="121" w:name="_Toc486942163"/>
      <w:bookmarkStart w:id="122" w:name="_Toc501454840"/>
      <w:bookmarkStart w:id="123" w:name="_Toc522030542"/>
      <w:bookmarkStart w:id="124" w:name="_Toc529285527"/>
      <w:r w:rsidRPr="00B73D7E">
        <w:rPr>
          <w:lang w:val="bg-BG"/>
        </w:rPr>
        <w:t>Земетресения</w:t>
      </w:r>
      <w:bookmarkEnd w:id="121"/>
      <w:bookmarkEnd w:id="122"/>
      <w:bookmarkEnd w:id="123"/>
      <w:bookmarkEnd w:id="124"/>
    </w:p>
    <w:p w:rsidR="00AA4661" w:rsidRPr="00B73D7E" w:rsidRDefault="00AA4661" w:rsidP="00CF297A">
      <w:pPr>
        <w:pStyle w:val="BodyText"/>
        <w:numPr>
          <w:ilvl w:val="0"/>
          <w:numId w:val="41"/>
        </w:numPr>
        <w:ind w:left="0" w:firstLine="0"/>
        <w:rPr>
          <w:lang w:val="bg-BG"/>
        </w:rPr>
      </w:pPr>
      <w:r w:rsidRPr="00B73D7E">
        <w:rPr>
          <w:lang w:val="bg-BG"/>
        </w:rPr>
        <w:t xml:space="preserve">Макар да не са свързани с екстремни метеорологични условия, земетресенията са едно от природните бедствия в България с унищожителен ефект за градската среда и населението. Значителна сеизмична активност обхваща  около 98  процента от територията на страната със сериозно влияние върху сградите, жилищния фонд, техническата инфраструктура и безопасността на хората. През последния век, преди 1942 г., са регистрирани осем големи земетресения с магнитуд между 7,0 и 7,8. Унищожителното земетресение във Вранча, Румъния, през 1977 г., с магнитуд 7,2 усетено в цяла България, убива 120 души и оставя много без покрив. През изминалите </w:t>
      </w:r>
      <w:r w:rsidRPr="00B73D7E">
        <w:rPr>
          <w:lang w:val="bg-BG"/>
        </w:rPr>
        <w:lastRenderedPageBreak/>
        <w:t>30 години има 13 земетресения с магнитуд между 4,0 и 4,7, едно с магнитуд 4,9 близо до Калиакра при Черно море (2009 г.), две с магнитуд 5,6 в Попово (1986 г.) и в Перник (2012 г.)</w:t>
      </w:r>
      <w:r w:rsidRPr="00B73D7E">
        <w:rPr>
          <w:vertAlign w:val="superscript"/>
          <w:lang w:val="bg-BG"/>
        </w:rPr>
        <w:footnoteReference w:id="44"/>
      </w:r>
      <w:r w:rsidRPr="00B73D7E">
        <w:rPr>
          <w:lang w:val="bg-BG"/>
        </w:rPr>
        <w:t xml:space="preserve">. </w:t>
      </w:r>
    </w:p>
    <w:p w:rsidR="00AA4661" w:rsidRPr="00B73D7E" w:rsidRDefault="00AA4661" w:rsidP="00CF297A">
      <w:pPr>
        <w:pStyle w:val="BodyText"/>
        <w:numPr>
          <w:ilvl w:val="0"/>
          <w:numId w:val="41"/>
        </w:numPr>
        <w:ind w:left="0" w:firstLine="0"/>
        <w:rPr>
          <w:lang w:val="bg-BG"/>
        </w:rPr>
      </w:pPr>
      <w:r w:rsidRPr="00B73D7E">
        <w:rPr>
          <w:lang w:val="bg-BG"/>
        </w:rPr>
        <w:t>Както и при много други области на уязвимост, редица антропогенни фактори допринасят за вероятните щети по време на земетресения, включително паянтови незаконни къщи и подслони, различни трансформации на сградни конструкции, като например премахване на стени и колони за разполагане на магазини в приземни етажи или за осигуряване на по-голямо жилищно пространство в апартаментите. За да се осигури безопасността на жилищните и нежилищните частни и обществени сгради, според измененията на ЗУТ и наредбата от началото на 2007 г., обследването на сградите и техническият паспорт станаха задължителни.</w:t>
      </w:r>
    </w:p>
    <w:p w:rsidR="00491557" w:rsidRPr="00B73D7E" w:rsidRDefault="00AA4661" w:rsidP="00CF297A">
      <w:pPr>
        <w:pStyle w:val="BodyText"/>
        <w:numPr>
          <w:ilvl w:val="0"/>
          <w:numId w:val="41"/>
        </w:numPr>
        <w:ind w:left="0" w:firstLine="0"/>
        <w:rPr>
          <w:lang w:val="bg-BG"/>
        </w:rPr>
      </w:pPr>
      <w:r w:rsidRPr="00B73D7E">
        <w:rPr>
          <w:lang w:val="bg-BG"/>
        </w:rPr>
        <w:t xml:space="preserve">Анализът на данните на НСИ относно земетресенията в страната (2010–2015 г.) сочи, че най-тежкото земетресение през периода е това през 2012 г. в Перник с щети, оценени на 52,38 милиона лева. Общият брой земетресения за периода са 49 с щети за над 60 милиона лева (вж. </w:t>
      </w:r>
      <w:r w:rsidRPr="00B73D7E">
        <w:rPr>
          <w:b/>
          <w:i/>
          <w:iCs/>
          <w:lang w:val="bg-BG"/>
        </w:rPr>
        <w:t xml:space="preserve">фигури </w:t>
      </w:r>
      <w:r w:rsidR="00DC3C52" w:rsidRPr="00B73D7E">
        <w:rPr>
          <w:b/>
          <w:i/>
          <w:iCs/>
          <w:lang w:val="bg-BG"/>
        </w:rPr>
        <w:t>37</w:t>
      </w:r>
      <w:r w:rsidRPr="00B73D7E">
        <w:rPr>
          <w:b/>
          <w:i/>
          <w:iCs/>
          <w:lang w:val="bg-BG"/>
        </w:rPr>
        <w:t xml:space="preserve"> </w:t>
      </w:r>
      <w:r w:rsidRPr="00B73D7E">
        <w:rPr>
          <w:iCs/>
          <w:lang w:val="bg-BG"/>
        </w:rPr>
        <w:t>и</w:t>
      </w:r>
      <w:r w:rsidRPr="00B73D7E">
        <w:rPr>
          <w:b/>
          <w:i/>
          <w:lang w:val="bg-BG"/>
        </w:rPr>
        <w:t xml:space="preserve"> </w:t>
      </w:r>
      <w:r w:rsidRPr="00B73D7E">
        <w:rPr>
          <w:b/>
          <w:i/>
          <w:iCs/>
          <w:lang w:val="bg-BG"/>
        </w:rPr>
        <w:t>3</w:t>
      </w:r>
      <w:r w:rsidR="00DC3C52" w:rsidRPr="00B73D7E">
        <w:rPr>
          <w:b/>
          <w:i/>
          <w:iCs/>
          <w:lang w:val="bg-BG"/>
        </w:rPr>
        <w:t>8</w:t>
      </w:r>
      <w:r w:rsidRPr="00B73D7E">
        <w:rPr>
          <w:b/>
          <w:i/>
          <w:iCs/>
          <w:lang w:val="bg-BG"/>
        </w:rPr>
        <w:t xml:space="preserve"> </w:t>
      </w:r>
      <w:r w:rsidRPr="00B73D7E">
        <w:rPr>
          <w:iCs/>
          <w:lang w:val="bg-BG"/>
        </w:rPr>
        <w:t xml:space="preserve">и </w:t>
      </w:r>
      <w:r w:rsidRPr="00B73D7E">
        <w:rPr>
          <w:b/>
          <w:i/>
          <w:iCs/>
          <w:lang w:val="bg-BG"/>
        </w:rPr>
        <w:t>таблица 2</w:t>
      </w:r>
      <w:r w:rsidR="00DC3C52" w:rsidRPr="00B73D7E">
        <w:rPr>
          <w:b/>
          <w:i/>
          <w:iCs/>
          <w:lang w:val="bg-BG"/>
        </w:rPr>
        <w:t>8</w:t>
      </w:r>
      <w:r w:rsidRPr="00B73D7E">
        <w:rPr>
          <w:b/>
          <w:lang w:val="bg-BG"/>
        </w:rPr>
        <w:t xml:space="preserve"> </w:t>
      </w:r>
      <w:r w:rsidRPr="00B73D7E">
        <w:rPr>
          <w:lang w:val="bg-BG"/>
        </w:rPr>
        <w:t>в</w:t>
      </w:r>
      <w:r w:rsidRPr="00B73D7E">
        <w:rPr>
          <w:b/>
          <w:lang w:val="bg-BG"/>
        </w:rPr>
        <w:t xml:space="preserve"> </w:t>
      </w:r>
      <w:r w:rsidRPr="00B73D7E">
        <w:rPr>
          <w:b/>
          <w:i/>
          <w:iCs/>
          <w:lang w:val="bg-BG"/>
        </w:rPr>
        <w:t xml:space="preserve">приложение </w:t>
      </w:r>
      <w:r w:rsidR="00DC3C52" w:rsidRPr="00B73D7E">
        <w:rPr>
          <w:b/>
          <w:i/>
          <w:iCs/>
          <w:lang w:val="bg-BG"/>
        </w:rPr>
        <w:t>7</w:t>
      </w:r>
      <w:r w:rsidRPr="00B73D7E">
        <w:rPr>
          <w:b/>
          <w:i/>
          <w:iCs/>
          <w:lang w:val="bg-BG"/>
        </w:rPr>
        <w:t xml:space="preserve"> </w:t>
      </w:r>
      <w:r w:rsidRPr="00B73D7E">
        <w:rPr>
          <w:iCs/>
          <w:lang w:val="bg-BG"/>
        </w:rPr>
        <w:t>[Земетресения</w:t>
      </w:r>
      <w:r w:rsidRPr="00B73D7E">
        <w:rPr>
          <w:bCs/>
          <w:iCs/>
          <w:lang w:val="bg-BG"/>
        </w:rPr>
        <w:t xml:space="preserve">] и </w:t>
      </w:r>
      <w:r w:rsidR="00DC3C52" w:rsidRPr="00B73D7E">
        <w:rPr>
          <w:b/>
          <w:bCs/>
          <w:i/>
          <w:iCs/>
          <w:lang w:val="bg-BG"/>
        </w:rPr>
        <w:t>фигура 39</w:t>
      </w:r>
      <w:r w:rsidRPr="00B73D7E">
        <w:rPr>
          <w:b/>
          <w:bCs/>
          <w:i/>
          <w:iCs/>
          <w:lang w:val="bg-BG"/>
        </w:rPr>
        <w:t xml:space="preserve"> </w:t>
      </w:r>
      <w:r w:rsidRPr="00B73D7E">
        <w:rPr>
          <w:bCs/>
          <w:iCs/>
          <w:lang w:val="bg-BG"/>
        </w:rPr>
        <w:t xml:space="preserve">в </w:t>
      </w:r>
      <w:r w:rsidRPr="00B73D7E">
        <w:rPr>
          <w:b/>
          <w:bCs/>
          <w:i/>
          <w:iCs/>
          <w:lang w:val="bg-BG"/>
        </w:rPr>
        <w:t xml:space="preserve">приложение </w:t>
      </w:r>
      <w:r w:rsidR="00DC3C52" w:rsidRPr="00B73D7E">
        <w:rPr>
          <w:b/>
          <w:bCs/>
          <w:i/>
          <w:iCs/>
          <w:lang w:val="bg-BG"/>
        </w:rPr>
        <w:t>4</w:t>
      </w:r>
      <w:r w:rsidRPr="00B73D7E">
        <w:rPr>
          <w:b/>
          <w:bCs/>
          <w:i/>
          <w:iCs/>
          <w:lang w:val="bg-BG"/>
        </w:rPr>
        <w:t xml:space="preserve"> </w:t>
      </w:r>
      <w:r w:rsidRPr="00B73D7E">
        <w:rPr>
          <w:bCs/>
          <w:iCs/>
          <w:lang w:val="bg-BG"/>
        </w:rPr>
        <w:t>[Потенциален сеизмичен риск]</w:t>
      </w:r>
      <w:r w:rsidRPr="00B73D7E">
        <w:rPr>
          <w:lang w:val="bg-BG"/>
        </w:rPr>
        <w:t xml:space="preserve">). В допълнение към тези щети върху градската среда, транспортната и техническата подземна инфраструктура, върху сградите, и по-специално обявените паметници на културата, сериозен проблем е опазването на човешкия живот и намаляването на пост-травматичния стрес след кризисно събитие. </w:t>
      </w:r>
    </w:p>
    <w:p w:rsidR="00AA4661" w:rsidRPr="00F8728A" w:rsidRDefault="00AA4661" w:rsidP="00B73D7E">
      <w:pPr>
        <w:pStyle w:val="FiguresTablesCaption"/>
      </w:pPr>
      <w:bookmarkStart w:id="125" w:name="_Toc529286632"/>
      <w:r w:rsidRPr="00F8728A">
        <w:t xml:space="preserve">Таблица </w:t>
      </w:r>
      <w:r w:rsidRPr="00F8728A">
        <w:fldChar w:fldCharType="begin"/>
      </w:r>
      <w:r w:rsidRPr="00F8728A">
        <w:instrText xml:space="preserve"> SEQ Table \* ARABIC </w:instrText>
      </w:r>
      <w:r w:rsidRPr="00F8728A">
        <w:fldChar w:fldCharType="separate"/>
      </w:r>
      <w:r w:rsidRPr="00F8728A">
        <w:t>5</w:t>
      </w:r>
      <w:r w:rsidRPr="00F8728A">
        <w:fldChar w:fldCharType="end"/>
      </w:r>
      <w:r w:rsidRPr="00F8728A">
        <w:t>. Щети в България в резултат на кризисни събития в периода 2010–2015 г.</w:t>
      </w:r>
      <w:bookmarkEnd w:id="125"/>
    </w:p>
    <w:tbl>
      <w:tblPr>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0A0" w:firstRow="1" w:lastRow="0" w:firstColumn="1" w:lastColumn="0" w:noHBand="0" w:noVBand="0"/>
      </w:tblPr>
      <w:tblGrid>
        <w:gridCol w:w="2430"/>
        <w:gridCol w:w="900"/>
        <w:gridCol w:w="990"/>
        <w:gridCol w:w="900"/>
        <w:gridCol w:w="990"/>
        <w:gridCol w:w="990"/>
        <w:gridCol w:w="990"/>
        <w:gridCol w:w="967"/>
      </w:tblGrid>
      <w:tr w:rsidR="00AA4661" w:rsidRPr="00F8728A" w:rsidTr="00B155A6">
        <w:trPr>
          <w:jc w:val="center"/>
        </w:trPr>
        <w:tc>
          <w:tcPr>
            <w:tcW w:w="2430" w:type="dxa"/>
            <w:vMerge w:val="restart"/>
            <w:shd w:val="clear" w:color="auto" w:fill="365F91"/>
            <w:vAlign w:val="center"/>
          </w:tcPr>
          <w:p w:rsidR="00AA4661" w:rsidRPr="00F8728A" w:rsidRDefault="00AA4661" w:rsidP="00B155A6">
            <w:pPr>
              <w:autoSpaceDE w:val="0"/>
              <w:autoSpaceDN w:val="0"/>
              <w:adjustRightInd w:val="0"/>
              <w:spacing w:before="60" w:after="60"/>
              <w:jc w:val="center"/>
              <w:rPr>
                <w:rFonts w:ascii="Calibri" w:hAnsi="Calibri" w:cs="Calibri"/>
                <w:b/>
                <w:color w:val="FFFFFF"/>
                <w:sz w:val="22"/>
              </w:rPr>
            </w:pPr>
            <w:r w:rsidRPr="00F8728A">
              <w:rPr>
                <w:rFonts w:ascii="Calibri" w:hAnsi="Calibri" w:cs="Calibri"/>
                <w:b/>
                <w:color w:val="FFFFFF"/>
                <w:sz w:val="22"/>
              </w:rPr>
              <w:t>Явление</w:t>
            </w:r>
          </w:p>
        </w:tc>
        <w:tc>
          <w:tcPr>
            <w:tcW w:w="6727" w:type="dxa"/>
            <w:gridSpan w:val="7"/>
            <w:shd w:val="clear" w:color="auto" w:fill="365F91"/>
          </w:tcPr>
          <w:p w:rsidR="00AA4661" w:rsidRPr="00F8728A" w:rsidRDefault="00AA4661" w:rsidP="00B155A6">
            <w:pPr>
              <w:autoSpaceDE w:val="0"/>
              <w:autoSpaceDN w:val="0"/>
              <w:adjustRightInd w:val="0"/>
              <w:spacing w:before="60" w:after="60"/>
              <w:jc w:val="center"/>
              <w:rPr>
                <w:rFonts w:ascii="Calibri" w:hAnsi="Calibri" w:cs="Calibri"/>
                <w:b/>
                <w:color w:val="FFFFFF"/>
                <w:sz w:val="22"/>
              </w:rPr>
            </w:pPr>
            <w:r w:rsidRPr="00F8728A">
              <w:rPr>
                <w:rFonts w:ascii="Calibri" w:hAnsi="Calibri" w:cs="Calibri"/>
                <w:b/>
                <w:color w:val="FFFFFF"/>
                <w:sz w:val="22"/>
              </w:rPr>
              <w:t>Щети (хиляди лева)</w:t>
            </w:r>
          </w:p>
        </w:tc>
      </w:tr>
      <w:tr w:rsidR="00AA4661" w:rsidRPr="00F8728A" w:rsidTr="00B155A6">
        <w:trPr>
          <w:jc w:val="center"/>
        </w:trPr>
        <w:tc>
          <w:tcPr>
            <w:tcW w:w="2430" w:type="dxa"/>
            <w:vMerge/>
            <w:shd w:val="clear" w:color="auto" w:fill="365F91"/>
          </w:tcPr>
          <w:p w:rsidR="00AA4661" w:rsidRPr="00F8728A" w:rsidRDefault="00AA4661" w:rsidP="00B155A6">
            <w:pPr>
              <w:autoSpaceDE w:val="0"/>
              <w:autoSpaceDN w:val="0"/>
              <w:adjustRightInd w:val="0"/>
              <w:spacing w:before="60" w:after="60"/>
              <w:jc w:val="both"/>
              <w:rPr>
                <w:rFonts w:ascii="Calibri" w:hAnsi="Calibri" w:cs="Calibri"/>
                <w:color w:val="FFFFFF"/>
                <w:sz w:val="22"/>
                <w:lang w:eastAsia="en-CA"/>
              </w:rPr>
            </w:pPr>
          </w:p>
        </w:tc>
        <w:tc>
          <w:tcPr>
            <w:tcW w:w="900" w:type="dxa"/>
            <w:shd w:val="clear" w:color="auto" w:fill="D9D9D9"/>
          </w:tcPr>
          <w:p w:rsidR="00AA4661" w:rsidRPr="00F8728A" w:rsidRDefault="00AA4661" w:rsidP="00B155A6">
            <w:pPr>
              <w:autoSpaceDE w:val="0"/>
              <w:autoSpaceDN w:val="0"/>
              <w:adjustRightInd w:val="0"/>
              <w:spacing w:before="60" w:after="60"/>
              <w:jc w:val="center"/>
              <w:rPr>
                <w:rFonts w:ascii="Calibri" w:hAnsi="Calibri" w:cs="Calibri"/>
                <w:b/>
                <w:sz w:val="22"/>
              </w:rPr>
            </w:pPr>
            <w:r w:rsidRPr="00F8728A">
              <w:rPr>
                <w:rFonts w:ascii="Calibri" w:hAnsi="Calibri" w:cs="Calibri"/>
                <w:b/>
                <w:sz w:val="22"/>
              </w:rPr>
              <w:t>2010 г.</w:t>
            </w:r>
          </w:p>
        </w:tc>
        <w:tc>
          <w:tcPr>
            <w:tcW w:w="990" w:type="dxa"/>
            <w:shd w:val="clear" w:color="auto" w:fill="D9D9D9"/>
          </w:tcPr>
          <w:p w:rsidR="00AA4661" w:rsidRPr="00F8728A" w:rsidRDefault="00AA4661" w:rsidP="00B155A6">
            <w:pPr>
              <w:autoSpaceDE w:val="0"/>
              <w:autoSpaceDN w:val="0"/>
              <w:adjustRightInd w:val="0"/>
              <w:spacing w:before="60" w:after="60"/>
              <w:jc w:val="center"/>
              <w:rPr>
                <w:rFonts w:ascii="Calibri" w:hAnsi="Calibri" w:cs="Calibri"/>
                <w:b/>
                <w:sz w:val="22"/>
              </w:rPr>
            </w:pPr>
            <w:r w:rsidRPr="00F8728A">
              <w:rPr>
                <w:rFonts w:ascii="Calibri" w:hAnsi="Calibri" w:cs="Calibri"/>
                <w:b/>
                <w:sz w:val="22"/>
              </w:rPr>
              <w:t>2011 г.</w:t>
            </w:r>
          </w:p>
        </w:tc>
        <w:tc>
          <w:tcPr>
            <w:tcW w:w="900" w:type="dxa"/>
            <w:shd w:val="clear" w:color="auto" w:fill="D9D9D9"/>
          </w:tcPr>
          <w:p w:rsidR="00AA4661" w:rsidRPr="00F8728A" w:rsidRDefault="00AA4661" w:rsidP="00B155A6">
            <w:pPr>
              <w:autoSpaceDE w:val="0"/>
              <w:autoSpaceDN w:val="0"/>
              <w:adjustRightInd w:val="0"/>
              <w:spacing w:before="60" w:after="60"/>
              <w:jc w:val="center"/>
              <w:rPr>
                <w:rFonts w:ascii="Calibri" w:hAnsi="Calibri" w:cs="Calibri"/>
                <w:b/>
                <w:sz w:val="22"/>
              </w:rPr>
            </w:pPr>
            <w:r w:rsidRPr="00F8728A">
              <w:rPr>
                <w:rFonts w:ascii="Calibri" w:hAnsi="Calibri" w:cs="Calibri"/>
                <w:b/>
                <w:sz w:val="22"/>
              </w:rPr>
              <w:t>2012 г.</w:t>
            </w:r>
          </w:p>
        </w:tc>
        <w:tc>
          <w:tcPr>
            <w:tcW w:w="990" w:type="dxa"/>
            <w:shd w:val="clear" w:color="auto" w:fill="D9D9D9"/>
          </w:tcPr>
          <w:p w:rsidR="00AA4661" w:rsidRPr="00F8728A" w:rsidRDefault="00AA4661" w:rsidP="00B155A6">
            <w:pPr>
              <w:autoSpaceDE w:val="0"/>
              <w:autoSpaceDN w:val="0"/>
              <w:adjustRightInd w:val="0"/>
              <w:spacing w:before="60" w:after="60"/>
              <w:jc w:val="center"/>
              <w:rPr>
                <w:rFonts w:ascii="Calibri" w:hAnsi="Calibri" w:cs="Calibri"/>
                <w:b/>
                <w:sz w:val="22"/>
              </w:rPr>
            </w:pPr>
            <w:r w:rsidRPr="00F8728A">
              <w:rPr>
                <w:rFonts w:ascii="Calibri" w:hAnsi="Calibri" w:cs="Calibri"/>
                <w:b/>
                <w:sz w:val="22"/>
              </w:rPr>
              <w:t>2013 г.</w:t>
            </w:r>
          </w:p>
        </w:tc>
        <w:tc>
          <w:tcPr>
            <w:tcW w:w="990" w:type="dxa"/>
            <w:shd w:val="clear" w:color="auto" w:fill="D9D9D9"/>
          </w:tcPr>
          <w:p w:rsidR="00AA4661" w:rsidRPr="00F8728A" w:rsidRDefault="00AA4661" w:rsidP="00B155A6">
            <w:pPr>
              <w:autoSpaceDE w:val="0"/>
              <w:autoSpaceDN w:val="0"/>
              <w:adjustRightInd w:val="0"/>
              <w:spacing w:before="60" w:after="60"/>
              <w:jc w:val="center"/>
              <w:rPr>
                <w:rFonts w:ascii="Calibri" w:hAnsi="Calibri" w:cs="Calibri"/>
                <w:b/>
                <w:sz w:val="22"/>
              </w:rPr>
            </w:pPr>
            <w:r w:rsidRPr="00F8728A">
              <w:rPr>
                <w:rFonts w:ascii="Calibri" w:hAnsi="Calibri" w:cs="Calibri"/>
                <w:b/>
                <w:sz w:val="22"/>
              </w:rPr>
              <w:t>2014 г.</w:t>
            </w:r>
          </w:p>
        </w:tc>
        <w:tc>
          <w:tcPr>
            <w:tcW w:w="990" w:type="dxa"/>
            <w:shd w:val="clear" w:color="auto" w:fill="D9D9D9"/>
          </w:tcPr>
          <w:p w:rsidR="00AA4661" w:rsidRPr="00F8728A" w:rsidRDefault="00AA4661" w:rsidP="00B155A6">
            <w:pPr>
              <w:autoSpaceDE w:val="0"/>
              <w:autoSpaceDN w:val="0"/>
              <w:adjustRightInd w:val="0"/>
              <w:spacing w:before="60" w:after="60"/>
              <w:jc w:val="center"/>
              <w:rPr>
                <w:rFonts w:ascii="Calibri" w:hAnsi="Calibri" w:cs="Calibri"/>
                <w:b/>
                <w:sz w:val="22"/>
              </w:rPr>
            </w:pPr>
            <w:r w:rsidRPr="00F8728A">
              <w:rPr>
                <w:rFonts w:ascii="Calibri" w:hAnsi="Calibri" w:cs="Calibri"/>
                <w:b/>
                <w:sz w:val="22"/>
              </w:rPr>
              <w:t>2015 г.</w:t>
            </w:r>
          </w:p>
        </w:tc>
        <w:tc>
          <w:tcPr>
            <w:tcW w:w="967" w:type="dxa"/>
            <w:shd w:val="clear" w:color="auto" w:fill="D9D9D9"/>
          </w:tcPr>
          <w:p w:rsidR="00AA4661" w:rsidRPr="00F8728A" w:rsidRDefault="00AA4661" w:rsidP="00B155A6">
            <w:pPr>
              <w:autoSpaceDE w:val="0"/>
              <w:autoSpaceDN w:val="0"/>
              <w:adjustRightInd w:val="0"/>
              <w:spacing w:before="60" w:after="60"/>
              <w:jc w:val="center"/>
              <w:rPr>
                <w:rFonts w:ascii="Calibri" w:hAnsi="Calibri" w:cs="Calibri"/>
                <w:b/>
                <w:sz w:val="22"/>
              </w:rPr>
            </w:pPr>
            <w:r w:rsidRPr="00F8728A">
              <w:rPr>
                <w:rFonts w:ascii="Calibri" w:hAnsi="Calibri" w:cs="Calibri"/>
                <w:b/>
                <w:sz w:val="22"/>
              </w:rPr>
              <w:t>Общо</w:t>
            </w:r>
          </w:p>
        </w:tc>
      </w:tr>
      <w:tr w:rsidR="00AA4661" w:rsidRPr="00F8728A" w:rsidTr="00B155A6">
        <w:trPr>
          <w:jc w:val="center"/>
        </w:trPr>
        <w:tc>
          <w:tcPr>
            <w:tcW w:w="2430" w:type="dxa"/>
            <w:shd w:val="clear" w:color="auto" w:fill="B8CCE4"/>
          </w:tcPr>
          <w:p w:rsidR="00AA4661" w:rsidRPr="00F8728A" w:rsidRDefault="00AA4661" w:rsidP="00B155A6">
            <w:pPr>
              <w:autoSpaceDE w:val="0"/>
              <w:autoSpaceDN w:val="0"/>
              <w:adjustRightInd w:val="0"/>
              <w:spacing w:before="20" w:after="20"/>
              <w:jc w:val="both"/>
              <w:rPr>
                <w:rFonts w:ascii="Calibri" w:hAnsi="Calibri" w:cs="Calibri"/>
                <w:b/>
                <w:sz w:val="22"/>
              </w:rPr>
            </w:pPr>
            <w:r w:rsidRPr="00F8728A">
              <w:rPr>
                <w:rFonts w:ascii="Calibri" w:hAnsi="Calibri" w:cs="Calibri"/>
                <w:b/>
                <w:sz w:val="22"/>
              </w:rPr>
              <w:t xml:space="preserve">Наводнения </w:t>
            </w:r>
          </w:p>
        </w:tc>
        <w:tc>
          <w:tcPr>
            <w:tcW w:w="90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38</w:t>
            </w:r>
            <w:r w:rsidR="008D2580">
              <w:rPr>
                <w:rFonts w:ascii="Calibri" w:hAnsi="Calibri" w:cs="Calibri"/>
                <w:sz w:val="22"/>
              </w:rPr>
              <w:t xml:space="preserve"> </w:t>
            </w:r>
            <w:r w:rsidRPr="00F8728A">
              <w:rPr>
                <w:rFonts w:ascii="Calibri" w:hAnsi="Calibri" w:cs="Calibri"/>
                <w:sz w:val="22"/>
              </w:rPr>
              <w:t>882</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206</w:t>
            </w:r>
            <w:r w:rsidR="008D2580">
              <w:rPr>
                <w:rFonts w:ascii="Calibri" w:hAnsi="Calibri" w:cs="Calibri"/>
                <w:sz w:val="22"/>
              </w:rPr>
              <w:t xml:space="preserve"> </w:t>
            </w:r>
            <w:r w:rsidRPr="00F8728A">
              <w:rPr>
                <w:rFonts w:ascii="Calibri" w:hAnsi="Calibri" w:cs="Calibri"/>
                <w:sz w:val="22"/>
              </w:rPr>
              <w:t>659</w:t>
            </w:r>
          </w:p>
        </w:tc>
        <w:tc>
          <w:tcPr>
            <w:tcW w:w="90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20</w:t>
            </w:r>
            <w:r w:rsidR="008D2580">
              <w:rPr>
                <w:rFonts w:ascii="Calibri" w:hAnsi="Calibri" w:cs="Calibri"/>
                <w:sz w:val="22"/>
              </w:rPr>
              <w:t xml:space="preserve"> </w:t>
            </w:r>
            <w:r w:rsidRPr="00F8728A">
              <w:rPr>
                <w:rFonts w:ascii="Calibri" w:hAnsi="Calibri" w:cs="Calibri"/>
                <w:sz w:val="22"/>
              </w:rPr>
              <w:t>898</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15</w:t>
            </w:r>
            <w:r w:rsidR="008D2580">
              <w:rPr>
                <w:rFonts w:ascii="Calibri" w:hAnsi="Calibri" w:cs="Calibri"/>
                <w:sz w:val="22"/>
              </w:rPr>
              <w:t xml:space="preserve"> </w:t>
            </w:r>
            <w:r w:rsidRPr="00F8728A">
              <w:rPr>
                <w:rFonts w:ascii="Calibri" w:hAnsi="Calibri" w:cs="Calibri"/>
                <w:sz w:val="22"/>
              </w:rPr>
              <w:t>285</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177</w:t>
            </w:r>
            <w:r w:rsidR="008D2580">
              <w:rPr>
                <w:rFonts w:ascii="Calibri" w:hAnsi="Calibri" w:cs="Calibri"/>
                <w:sz w:val="22"/>
              </w:rPr>
              <w:t xml:space="preserve"> </w:t>
            </w:r>
            <w:r w:rsidRPr="00F8728A">
              <w:rPr>
                <w:rFonts w:ascii="Calibri" w:hAnsi="Calibri" w:cs="Calibri"/>
                <w:sz w:val="22"/>
              </w:rPr>
              <w:t>604</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171</w:t>
            </w:r>
            <w:r w:rsidR="008D2580">
              <w:rPr>
                <w:rFonts w:ascii="Calibri" w:hAnsi="Calibri" w:cs="Calibri"/>
                <w:sz w:val="22"/>
              </w:rPr>
              <w:t xml:space="preserve"> </w:t>
            </w:r>
            <w:r w:rsidRPr="00F8728A">
              <w:rPr>
                <w:rFonts w:ascii="Calibri" w:hAnsi="Calibri" w:cs="Calibri"/>
                <w:sz w:val="22"/>
              </w:rPr>
              <w:t>032</w:t>
            </w:r>
          </w:p>
        </w:tc>
        <w:tc>
          <w:tcPr>
            <w:tcW w:w="967" w:type="dxa"/>
          </w:tcPr>
          <w:p w:rsidR="00AA4661" w:rsidRPr="00F8728A" w:rsidRDefault="00AA4661" w:rsidP="00B155A6">
            <w:pPr>
              <w:autoSpaceDE w:val="0"/>
              <w:autoSpaceDN w:val="0"/>
              <w:adjustRightInd w:val="0"/>
              <w:spacing w:before="20" w:after="20"/>
              <w:jc w:val="right"/>
              <w:rPr>
                <w:rFonts w:ascii="Calibri" w:hAnsi="Calibri" w:cs="Calibri"/>
                <w:b/>
                <w:sz w:val="22"/>
              </w:rPr>
            </w:pPr>
            <w:r w:rsidRPr="00F8728A">
              <w:rPr>
                <w:rFonts w:ascii="Calibri" w:hAnsi="Calibri" w:cs="Calibri"/>
                <w:b/>
                <w:sz w:val="22"/>
              </w:rPr>
              <w:t>630</w:t>
            </w:r>
            <w:r w:rsidR="008D2580">
              <w:rPr>
                <w:rFonts w:ascii="Calibri" w:hAnsi="Calibri" w:cs="Calibri"/>
                <w:b/>
                <w:sz w:val="22"/>
              </w:rPr>
              <w:t xml:space="preserve"> </w:t>
            </w:r>
            <w:r w:rsidRPr="00F8728A">
              <w:rPr>
                <w:rFonts w:ascii="Calibri" w:hAnsi="Calibri" w:cs="Calibri"/>
                <w:b/>
                <w:sz w:val="22"/>
              </w:rPr>
              <w:t>360</w:t>
            </w:r>
          </w:p>
        </w:tc>
      </w:tr>
      <w:tr w:rsidR="00AA4661" w:rsidRPr="00F8728A" w:rsidTr="00B155A6">
        <w:trPr>
          <w:jc w:val="center"/>
        </w:trPr>
        <w:tc>
          <w:tcPr>
            <w:tcW w:w="2430" w:type="dxa"/>
            <w:shd w:val="clear" w:color="auto" w:fill="B8CCE4"/>
          </w:tcPr>
          <w:p w:rsidR="00AA4661" w:rsidRPr="00F8728A" w:rsidRDefault="00AA4661" w:rsidP="00B155A6">
            <w:pPr>
              <w:autoSpaceDE w:val="0"/>
              <w:autoSpaceDN w:val="0"/>
              <w:adjustRightInd w:val="0"/>
              <w:spacing w:before="20" w:after="20"/>
              <w:jc w:val="both"/>
              <w:rPr>
                <w:rFonts w:ascii="Calibri" w:hAnsi="Calibri" w:cs="Calibri"/>
                <w:b/>
                <w:sz w:val="22"/>
              </w:rPr>
            </w:pPr>
            <w:r w:rsidRPr="00F8728A">
              <w:rPr>
                <w:rFonts w:ascii="Calibri" w:hAnsi="Calibri" w:cs="Calibri"/>
                <w:b/>
                <w:sz w:val="22"/>
              </w:rPr>
              <w:t>Свлачища</w:t>
            </w:r>
          </w:p>
        </w:tc>
        <w:tc>
          <w:tcPr>
            <w:tcW w:w="90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2</w:t>
            </w:r>
            <w:r w:rsidR="008D2580">
              <w:rPr>
                <w:rFonts w:ascii="Calibri" w:hAnsi="Calibri" w:cs="Calibri"/>
                <w:sz w:val="22"/>
              </w:rPr>
              <w:t xml:space="preserve"> </w:t>
            </w:r>
            <w:r w:rsidRPr="00F8728A">
              <w:rPr>
                <w:rFonts w:ascii="Calibri" w:hAnsi="Calibri" w:cs="Calibri"/>
                <w:sz w:val="22"/>
              </w:rPr>
              <w:t>182</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224</w:t>
            </w:r>
            <w:r w:rsidR="008D2580">
              <w:rPr>
                <w:rFonts w:ascii="Calibri" w:hAnsi="Calibri" w:cs="Calibri"/>
                <w:sz w:val="22"/>
              </w:rPr>
              <w:t xml:space="preserve"> </w:t>
            </w:r>
            <w:r w:rsidRPr="00F8728A">
              <w:rPr>
                <w:rFonts w:ascii="Calibri" w:hAnsi="Calibri" w:cs="Calibri"/>
                <w:sz w:val="22"/>
              </w:rPr>
              <w:t>790</w:t>
            </w:r>
          </w:p>
        </w:tc>
        <w:tc>
          <w:tcPr>
            <w:tcW w:w="90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17</w:t>
            </w:r>
            <w:r w:rsidR="008D2580">
              <w:rPr>
                <w:rFonts w:ascii="Calibri" w:hAnsi="Calibri" w:cs="Calibri"/>
                <w:sz w:val="22"/>
              </w:rPr>
              <w:t xml:space="preserve"> </w:t>
            </w:r>
            <w:r w:rsidRPr="00F8728A">
              <w:rPr>
                <w:rFonts w:ascii="Calibri" w:hAnsi="Calibri" w:cs="Calibri"/>
                <w:sz w:val="22"/>
              </w:rPr>
              <w:t>384</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294</w:t>
            </w:r>
            <w:r w:rsidR="008D2580">
              <w:rPr>
                <w:rFonts w:ascii="Calibri" w:hAnsi="Calibri" w:cs="Calibri"/>
                <w:sz w:val="22"/>
              </w:rPr>
              <w:t xml:space="preserve"> </w:t>
            </w:r>
            <w:r w:rsidRPr="00F8728A">
              <w:rPr>
                <w:rFonts w:ascii="Calibri" w:hAnsi="Calibri" w:cs="Calibri"/>
                <w:sz w:val="22"/>
              </w:rPr>
              <w:t>459</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9</w:t>
            </w:r>
            <w:r w:rsidR="008D2580">
              <w:rPr>
                <w:rFonts w:ascii="Calibri" w:hAnsi="Calibri" w:cs="Calibri"/>
                <w:sz w:val="22"/>
              </w:rPr>
              <w:t xml:space="preserve"> </w:t>
            </w:r>
            <w:r w:rsidRPr="00F8728A">
              <w:rPr>
                <w:rFonts w:ascii="Calibri" w:hAnsi="Calibri" w:cs="Calibri"/>
                <w:sz w:val="22"/>
              </w:rPr>
              <w:t>291</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10</w:t>
            </w:r>
            <w:r w:rsidR="008D2580">
              <w:rPr>
                <w:rFonts w:ascii="Calibri" w:hAnsi="Calibri" w:cs="Calibri"/>
                <w:sz w:val="22"/>
              </w:rPr>
              <w:t xml:space="preserve"> </w:t>
            </w:r>
            <w:r w:rsidRPr="00F8728A">
              <w:rPr>
                <w:rFonts w:ascii="Calibri" w:hAnsi="Calibri" w:cs="Calibri"/>
                <w:sz w:val="22"/>
              </w:rPr>
              <w:t>011</w:t>
            </w:r>
          </w:p>
        </w:tc>
        <w:tc>
          <w:tcPr>
            <w:tcW w:w="967" w:type="dxa"/>
          </w:tcPr>
          <w:p w:rsidR="00AA4661" w:rsidRPr="00F8728A" w:rsidRDefault="00AA4661" w:rsidP="00B155A6">
            <w:pPr>
              <w:autoSpaceDE w:val="0"/>
              <w:autoSpaceDN w:val="0"/>
              <w:adjustRightInd w:val="0"/>
              <w:spacing w:before="20" w:after="20"/>
              <w:jc w:val="right"/>
              <w:rPr>
                <w:rFonts w:ascii="Calibri" w:hAnsi="Calibri" w:cs="Calibri"/>
                <w:b/>
                <w:sz w:val="22"/>
              </w:rPr>
            </w:pPr>
            <w:r w:rsidRPr="00F8728A">
              <w:rPr>
                <w:rFonts w:ascii="Calibri" w:hAnsi="Calibri" w:cs="Calibri"/>
                <w:b/>
                <w:sz w:val="22"/>
              </w:rPr>
              <w:t>558</w:t>
            </w:r>
            <w:r w:rsidR="008D2580">
              <w:rPr>
                <w:rFonts w:ascii="Calibri" w:hAnsi="Calibri" w:cs="Calibri"/>
                <w:b/>
                <w:sz w:val="22"/>
              </w:rPr>
              <w:t xml:space="preserve"> </w:t>
            </w:r>
            <w:r w:rsidRPr="00F8728A">
              <w:rPr>
                <w:rFonts w:ascii="Calibri" w:hAnsi="Calibri" w:cs="Calibri"/>
                <w:b/>
                <w:sz w:val="22"/>
              </w:rPr>
              <w:t>117</w:t>
            </w:r>
          </w:p>
        </w:tc>
      </w:tr>
      <w:tr w:rsidR="00AA4661" w:rsidRPr="00F8728A" w:rsidTr="00B155A6">
        <w:trPr>
          <w:jc w:val="center"/>
        </w:trPr>
        <w:tc>
          <w:tcPr>
            <w:tcW w:w="2430" w:type="dxa"/>
            <w:shd w:val="clear" w:color="auto" w:fill="B8CCE4"/>
          </w:tcPr>
          <w:p w:rsidR="00AA4661" w:rsidRPr="00F8728A" w:rsidRDefault="00AA4661" w:rsidP="00B155A6">
            <w:pPr>
              <w:autoSpaceDE w:val="0"/>
              <w:autoSpaceDN w:val="0"/>
              <w:adjustRightInd w:val="0"/>
              <w:spacing w:before="20" w:after="20"/>
              <w:jc w:val="both"/>
              <w:rPr>
                <w:rFonts w:ascii="Calibri" w:hAnsi="Calibri" w:cs="Calibri"/>
                <w:b/>
                <w:sz w:val="22"/>
              </w:rPr>
            </w:pPr>
            <w:r w:rsidRPr="00F8728A">
              <w:rPr>
                <w:rFonts w:ascii="Calibri" w:hAnsi="Calibri" w:cs="Calibri"/>
                <w:b/>
                <w:sz w:val="22"/>
              </w:rPr>
              <w:t xml:space="preserve">Бури и торнадо </w:t>
            </w:r>
          </w:p>
        </w:tc>
        <w:tc>
          <w:tcPr>
            <w:tcW w:w="90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54</w:t>
            </w:r>
            <w:r w:rsidR="008D2580">
              <w:rPr>
                <w:rFonts w:ascii="Calibri" w:hAnsi="Calibri" w:cs="Calibri"/>
                <w:sz w:val="22"/>
              </w:rPr>
              <w:t xml:space="preserve"> </w:t>
            </w:r>
            <w:r w:rsidRPr="00F8728A">
              <w:rPr>
                <w:rFonts w:ascii="Calibri" w:hAnsi="Calibri" w:cs="Calibri"/>
                <w:sz w:val="22"/>
              </w:rPr>
              <w:t>722</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1</w:t>
            </w:r>
            <w:r w:rsidR="008D2580">
              <w:rPr>
                <w:rFonts w:ascii="Calibri" w:hAnsi="Calibri" w:cs="Calibri"/>
                <w:sz w:val="22"/>
              </w:rPr>
              <w:t xml:space="preserve"> </w:t>
            </w:r>
            <w:r w:rsidRPr="00F8728A">
              <w:rPr>
                <w:rFonts w:ascii="Calibri" w:hAnsi="Calibri" w:cs="Calibri"/>
                <w:sz w:val="22"/>
              </w:rPr>
              <w:t>614</w:t>
            </w:r>
          </w:p>
        </w:tc>
        <w:tc>
          <w:tcPr>
            <w:tcW w:w="90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3</w:t>
            </w:r>
            <w:r w:rsidR="008D2580">
              <w:rPr>
                <w:rFonts w:ascii="Calibri" w:hAnsi="Calibri" w:cs="Calibri"/>
                <w:sz w:val="22"/>
              </w:rPr>
              <w:t xml:space="preserve"> </w:t>
            </w:r>
            <w:r w:rsidRPr="00F8728A">
              <w:rPr>
                <w:rFonts w:ascii="Calibri" w:hAnsi="Calibri" w:cs="Calibri"/>
                <w:sz w:val="22"/>
              </w:rPr>
              <w:t>488</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99</w:t>
            </w:r>
            <w:r w:rsidR="008D2580">
              <w:rPr>
                <w:rFonts w:ascii="Calibri" w:hAnsi="Calibri" w:cs="Calibri"/>
                <w:sz w:val="22"/>
              </w:rPr>
              <w:t xml:space="preserve"> </w:t>
            </w:r>
            <w:r w:rsidRPr="00F8728A">
              <w:rPr>
                <w:rFonts w:ascii="Calibri" w:hAnsi="Calibri" w:cs="Calibri"/>
                <w:sz w:val="22"/>
              </w:rPr>
              <w:t>387</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746</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1</w:t>
            </w:r>
            <w:r w:rsidR="008D2580">
              <w:rPr>
                <w:rFonts w:ascii="Calibri" w:hAnsi="Calibri" w:cs="Calibri"/>
                <w:sz w:val="22"/>
              </w:rPr>
              <w:t xml:space="preserve"> </w:t>
            </w:r>
            <w:r w:rsidRPr="00F8728A">
              <w:rPr>
                <w:rFonts w:ascii="Calibri" w:hAnsi="Calibri" w:cs="Calibri"/>
                <w:sz w:val="22"/>
              </w:rPr>
              <w:t>640</w:t>
            </w:r>
          </w:p>
        </w:tc>
        <w:tc>
          <w:tcPr>
            <w:tcW w:w="967" w:type="dxa"/>
          </w:tcPr>
          <w:p w:rsidR="00AA4661" w:rsidRPr="00F8728A" w:rsidRDefault="00AA4661" w:rsidP="00B155A6">
            <w:pPr>
              <w:autoSpaceDE w:val="0"/>
              <w:autoSpaceDN w:val="0"/>
              <w:adjustRightInd w:val="0"/>
              <w:spacing w:before="20" w:after="20"/>
              <w:jc w:val="right"/>
              <w:rPr>
                <w:rFonts w:ascii="Calibri" w:hAnsi="Calibri" w:cs="Calibri"/>
                <w:b/>
                <w:sz w:val="22"/>
              </w:rPr>
            </w:pPr>
            <w:r w:rsidRPr="00F8728A">
              <w:rPr>
                <w:rFonts w:ascii="Calibri" w:hAnsi="Calibri" w:cs="Calibri"/>
                <w:b/>
                <w:sz w:val="22"/>
              </w:rPr>
              <w:t>161</w:t>
            </w:r>
            <w:r w:rsidR="008D2580">
              <w:rPr>
                <w:rFonts w:ascii="Calibri" w:hAnsi="Calibri" w:cs="Calibri"/>
                <w:b/>
                <w:sz w:val="22"/>
              </w:rPr>
              <w:t xml:space="preserve"> </w:t>
            </w:r>
            <w:r w:rsidRPr="00F8728A">
              <w:rPr>
                <w:rFonts w:ascii="Calibri" w:hAnsi="Calibri" w:cs="Calibri"/>
                <w:b/>
                <w:sz w:val="22"/>
              </w:rPr>
              <w:t>597</w:t>
            </w:r>
          </w:p>
        </w:tc>
      </w:tr>
      <w:tr w:rsidR="00AA4661" w:rsidRPr="00F8728A" w:rsidTr="00B155A6">
        <w:trPr>
          <w:jc w:val="center"/>
        </w:trPr>
        <w:tc>
          <w:tcPr>
            <w:tcW w:w="2430" w:type="dxa"/>
            <w:shd w:val="clear" w:color="auto" w:fill="B8CCE4"/>
          </w:tcPr>
          <w:p w:rsidR="00AA4661" w:rsidRPr="00F8728A" w:rsidRDefault="00AA4661" w:rsidP="00B155A6">
            <w:pPr>
              <w:autoSpaceDE w:val="0"/>
              <w:autoSpaceDN w:val="0"/>
              <w:adjustRightInd w:val="0"/>
              <w:spacing w:before="20" w:after="20"/>
              <w:jc w:val="both"/>
              <w:rPr>
                <w:rFonts w:ascii="Calibri" w:hAnsi="Calibri" w:cs="Calibri"/>
                <w:b/>
                <w:sz w:val="22"/>
              </w:rPr>
            </w:pPr>
            <w:r w:rsidRPr="00F8728A">
              <w:rPr>
                <w:rFonts w:ascii="Calibri" w:hAnsi="Calibri" w:cs="Calibri"/>
                <w:b/>
                <w:sz w:val="22"/>
              </w:rPr>
              <w:t>Земетресения</w:t>
            </w:r>
          </w:p>
        </w:tc>
        <w:tc>
          <w:tcPr>
            <w:tcW w:w="90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224</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w:t>
            </w:r>
          </w:p>
        </w:tc>
        <w:tc>
          <w:tcPr>
            <w:tcW w:w="90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59</w:t>
            </w:r>
            <w:r w:rsidR="008D2580">
              <w:rPr>
                <w:rFonts w:ascii="Calibri" w:hAnsi="Calibri" w:cs="Calibri"/>
                <w:sz w:val="22"/>
              </w:rPr>
              <w:t xml:space="preserve"> </w:t>
            </w:r>
            <w:r w:rsidRPr="00F8728A">
              <w:rPr>
                <w:rFonts w:ascii="Calibri" w:hAnsi="Calibri" w:cs="Calibri"/>
                <w:sz w:val="22"/>
              </w:rPr>
              <w:t>037</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915</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62</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w:t>
            </w:r>
          </w:p>
        </w:tc>
        <w:tc>
          <w:tcPr>
            <w:tcW w:w="967" w:type="dxa"/>
          </w:tcPr>
          <w:p w:rsidR="00AA4661" w:rsidRPr="00F8728A" w:rsidRDefault="00AA4661" w:rsidP="00B155A6">
            <w:pPr>
              <w:autoSpaceDE w:val="0"/>
              <w:autoSpaceDN w:val="0"/>
              <w:adjustRightInd w:val="0"/>
              <w:spacing w:before="20" w:after="20"/>
              <w:jc w:val="right"/>
              <w:rPr>
                <w:rFonts w:ascii="Calibri" w:hAnsi="Calibri" w:cs="Calibri"/>
                <w:b/>
                <w:sz w:val="22"/>
              </w:rPr>
            </w:pPr>
            <w:r w:rsidRPr="00F8728A">
              <w:rPr>
                <w:rFonts w:ascii="Calibri" w:hAnsi="Calibri" w:cs="Calibri"/>
                <w:b/>
                <w:sz w:val="22"/>
              </w:rPr>
              <w:t>60</w:t>
            </w:r>
            <w:r w:rsidR="008D2580">
              <w:rPr>
                <w:rFonts w:ascii="Calibri" w:hAnsi="Calibri" w:cs="Calibri"/>
                <w:b/>
                <w:sz w:val="22"/>
              </w:rPr>
              <w:t xml:space="preserve"> </w:t>
            </w:r>
            <w:r w:rsidRPr="00F8728A">
              <w:rPr>
                <w:rFonts w:ascii="Calibri" w:hAnsi="Calibri" w:cs="Calibri"/>
                <w:b/>
                <w:sz w:val="22"/>
              </w:rPr>
              <w:t>240</w:t>
            </w:r>
          </w:p>
        </w:tc>
      </w:tr>
      <w:tr w:rsidR="00AA4661" w:rsidRPr="00F8728A" w:rsidTr="00B155A6">
        <w:trPr>
          <w:jc w:val="center"/>
        </w:trPr>
        <w:tc>
          <w:tcPr>
            <w:tcW w:w="2430" w:type="dxa"/>
            <w:shd w:val="clear" w:color="auto" w:fill="B8CCE4"/>
          </w:tcPr>
          <w:p w:rsidR="00AA4661" w:rsidRPr="00F8728A" w:rsidRDefault="00AA4661" w:rsidP="00B155A6">
            <w:pPr>
              <w:autoSpaceDE w:val="0"/>
              <w:autoSpaceDN w:val="0"/>
              <w:adjustRightInd w:val="0"/>
              <w:spacing w:before="20" w:after="20"/>
              <w:jc w:val="both"/>
              <w:rPr>
                <w:rFonts w:ascii="Calibri" w:hAnsi="Calibri" w:cs="Calibri"/>
                <w:b/>
                <w:sz w:val="22"/>
              </w:rPr>
            </w:pPr>
            <w:r w:rsidRPr="00F8728A">
              <w:rPr>
                <w:rFonts w:ascii="Calibri" w:hAnsi="Calibri" w:cs="Calibri"/>
                <w:b/>
                <w:sz w:val="22"/>
              </w:rPr>
              <w:t>Градушки</w:t>
            </w:r>
          </w:p>
        </w:tc>
        <w:tc>
          <w:tcPr>
            <w:tcW w:w="90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505</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50</w:t>
            </w:r>
            <w:r w:rsidR="008D2580">
              <w:rPr>
                <w:rFonts w:ascii="Calibri" w:hAnsi="Calibri" w:cs="Calibri"/>
                <w:sz w:val="22"/>
              </w:rPr>
              <w:t xml:space="preserve"> </w:t>
            </w:r>
            <w:r w:rsidRPr="00F8728A">
              <w:rPr>
                <w:rFonts w:ascii="Calibri" w:hAnsi="Calibri" w:cs="Calibri"/>
                <w:sz w:val="22"/>
              </w:rPr>
              <w:t>150</w:t>
            </w:r>
          </w:p>
        </w:tc>
        <w:tc>
          <w:tcPr>
            <w:tcW w:w="90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187</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853</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583</w:t>
            </w:r>
          </w:p>
        </w:tc>
        <w:tc>
          <w:tcPr>
            <w:tcW w:w="967" w:type="dxa"/>
          </w:tcPr>
          <w:p w:rsidR="00AA4661" w:rsidRPr="00F8728A" w:rsidRDefault="00AA4661" w:rsidP="00B155A6">
            <w:pPr>
              <w:autoSpaceDE w:val="0"/>
              <w:autoSpaceDN w:val="0"/>
              <w:adjustRightInd w:val="0"/>
              <w:spacing w:before="20" w:after="20"/>
              <w:jc w:val="right"/>
              <w:rPr>
                <w:rFonts w:ascii="Calibri" w:hAnsi="Calibri" w:cs="Calibri"/>
                <w:b/>
                <w:sz w:val="22"/>
              </w:rPr>
            </w:pPr>
            <w:r w:rsidRPr="00F8728A">
              <w:rPr>
                <w:rFonts w:ascii="Calibri" w:hAnsi="Calibri" w:cs="Calibri"/>
                <w:b/>
                <w:sz w:val="22"/>
              </w:rPr>
              <w:t>52</w:t>
            </w:r>
            <w:r w:rsidR="008D2580">
              <w:rPr>
                <w:rFonts w:ascii="Calibri" w:hAnsi="Calibri" w:cs="Calibri"/>
                <w:b/>
                <w:sz w:val="22"/>
              </w:rPr>
              <w:t xml:space="preserve"> </w:t>
            </w:r>
            <w:r w:rsidRPr="00F8728A">
              <w:rPr>
                <w:rFonts w:ascii="Calibri" w:hAnsi="Calibri" w:cs="Calibri"/>
                <w:b/>
                <w:sz w:val="22"/>
              </w:rPr>
              <w:t>278</w:t>
            </w:r>
          </w:p>
        </w:tc>
      </w:tr>
      <w:tr w:rsidR="00AA4661" w:rsidRPr="00F8728A" w:rsidTr="00B155A6">
        <w:trPr>
          <w:jc w:val="center"/>
        </w:trPr>
        <w:tc>
          <w:tcPr>
            <w:tcW w:w="2430" w:type="dxa"/>
            <w:shd w:val="clear" w:color="auto" w:fill="B8CCE4"/>
          </w:tcPr>
          <w:p w:rsidR="00AA4661" w:rsidRPr="00F8728A" w:rsidRDefault="00AA4661" w:rsidP="00B155A6">
            <w:pPr>
              <w:autoSpaceDE w:val="0"/>
              <w:autoSpaceDN w:val="0"/>
              <w:adjustRightInd w:val="0"/>
              <w:spacing w:before="20" w:after="20"/>
              <w:jc w:val="both"/>
              <w:rPr>
                <w:rFonts w:ascii="Calibri" w:hAnsi="Calibri" w:cs="Calibri"/>
                <w:b/>
                <w:sz w:val="22"/>
              </w:rPr>
            </w:pPr>
            <w:r w:rsidRPr="00F8728A">
              <w:rPr>
                <w:rFonts w:ascii="Calibri" w:hAnsi="Calibri" w:cs="Calibri"/>
                <w:b/>
                <w:sz w:val="22"/>
              </w:rPr>
              <w:t>Пожари</w:t>
            </w:r>
          </w:p>
        </w:tc>
        <w:tc>
          <w:tcPr>
            <w:tcW w:w="90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2</w:t>
            </w:r>
            <w:r w:rsidR="008D2580">
              <w:rPr>
                <w:rFonts w:ascii="Calibri" w:hAnsi="Calibri" w:cs="Calibri"/>
                <w:sz w:val="22"/>
              </w:rPr>
              <w:t xml:space="preserve"> </w:t>
            </w:r>
            <w:r w:rsidRPr="00F8728A">
              <w:rPr>
                <w:rFonts w:ascii="Calibri" w:hAnsi="Calibri" w:cs="Calibri"/>
                <w:sz w:val="22"/>
              </w:rPr>
              <w:t>239</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2</w:t>
            </w:r>
            <w:r w:rsidR="008D2580">
              <w:rPr>
                <w:rFonts w:ascii="Calibri" w:hAnsi="Calibri" w:cs="Calibri"/>
                <w:sz w:val="22"/>
              </w:rPr>
              <w:t xml:space="preserve"> </w:t>
            </w:r>
            <w:r w:rsidRPr="00F8728A">
              <w:rPr>
                <w:rFonts w:ascii="Calibri" w:hAnsi="Calibri" w:cs="Calibri"/>
                <w:sz w:val="22"/>
              </w:rPr>
              <w:t>186</w:t>
            </w:r>
          </w:p>
        </w:tc>
        <w:tc>
          <w:tcPr>
            <w:tcW w:w="90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1</w:t>
            </w:r>
            <w:r w:rsidR="008D2580">
              <w:rPr>
                <w:rFonts w:ascii="Calibri" w:hAnsi="Calibri" w:cs="Calibri"/>
                <w:sz w:val="22"/>
              </w:rPr>
              <w:t xml:space="preserve"> </w:t>
            </w:r>
            <w:r w:rsidRPr="00F8728A">
              <w:rPr>
                <w:rFonts w:ascii="Calibri" w:hAnsi="Calibri" w:cs="Calibri"/>
                <w:sz w:val="22"/>
              </w:rPr>
              <w:t>437</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2</w:t>
            </w:r>
            <w:r w:rsidR="008D2580">
              <w:rPr>
                <w:rFonts w:ascii="Calibri" w:hAnsi="Calibri" w:cs="Calibri"/>
                <w:sz w:val="22"/>
              </w:rPr>
              <w:t xml:space="preserve"> </w:t>
            </w:r>
            <w:r w:rsidRPr="00F8728A">
              <w:rPr>
                <w:rFonts w:ascii="Calibri" w:hAnsi="Calibri" w:cs="Calibri"/>
                <w:sz w:val="22"/>
              </w:rPr>
              <w:t>013</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729</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1</w:t>
            </w:r>
            <w:r w:rsidR="008D2580">
              <w:rPr>
                <w:rFonts w:ascii="Calibri" w:hAnsi="Calibri" w:cs="Calibri"/>
                <w:sz w:val="22"/>
              </w:rPr>
              <w:t xml:space="preserve"> </w:t>
            </w:r>
            <w:r w:rsidRPr="00F8728A">
              <w:rPr>
                <w:rFonts w:ascii="Calibri" w:hAnsi="Calibri" w:cs="Calibri"/>
                <w:sz w:val="22"/>
              </w:rPr>
              <w:t>795</w:t>
            </w:r>
          </w:p>
        </w:tc>
        <w:tc>
          <w:tcPr>
            <w:tcW w:w="967" w:type="dxa"/>
          </w:tcPr>
          <w:p w:rsidR="00AA4661" w:rsidRPr="00F8728A" w:rsidRDefault="00AA4661" w:rsidP="00B155A6">
            <w:pPr>
              <w:autoSpaceDE w:val="0"/>
              <w:autoSpaceDN w:val="0"/>
              <w:adjustRightInd w:val="0"/>
              <w:spacing w:before="20" w:after="20"/>
              <w:jc w:val="right"/>
              <w:rPr>
                <w:rFonts w:ascii="Calibri" w:hAnsi="Calibri" w:cs="Calibri"/>
                <w:b/>
                <w:sz w:val="22"/>
              </w:rPr>
            </w:pPr>
            <w:r w:rsidRPr="00F8728A">
              <w:rPr>
                <w:rFonts w:ascii="Calibri" w:hAnsi="Calibri" w:cs="Calibri"/>
                <w:b/>
                <w:sz w:val="22"/>
              </w:rPr>
              <w:t>10</w:t>
            </w:r>
            <w:r w:rsidR="008D2580">
              <w:rPr>
                <w:rFonts w:ascii="Calibri" w:hAnsi="Calibri" w:cs="Calibri"/>
                <w:b/>
                <w:sz w:val="22"/>
              </w:rPr>
              <w:t xml:space="preserve"> </w:t>
            </w:r>
            <w:r w:rsidRPr="00F8728A">
              <w:rPr>
                <w:rFonts w:ascii="Calibri" w:hAnsi="Calibri" w:cs="Calibri"/>
                <w:b/>
                <w:sz w:val="22"/>
              </w:rPr>
              <w:t>399</w:t>
            </w:r>
          </w:p>
        </w:tc>
      </w:tr>
      <w:tr w:rsidR="00AA4661" w:rsidRPr="00F8728A" w:rsidTr="00B155A6">
        <w:trPr>
          <w:jc w:val="center"/>
        </w:trPr>
        <w:tc>
          <w:tcPr>
            <w:tcW w:w="2430" w:type="dxa"/>
            <w:shd w:val="clear" w:color="auto" w:fill="B8CCE4"/>
          </w:tcPr>
          <w:p w:rsidR="00AA4661" w:rsidRPr="00F8728A" w:rsidRDefault="00AA4661" w:rsidP="00B155A6">
            <w:pPr>
              <w:autoSpaceDE w:val="0"/>
              <w:autoSpaceDN w:val="0"/>
              <w:adjustRightInd w:val="0"/>
              <w:spacing w:before="20" w:after="20"/>
              <w:jc w:val="both"/>
              <w:rPr>
                <w:rFonts w:ascii="Calibri" w:hAnsi="Calibri" w:cs="Calibri"/>
                <w:b/>
                <w:sz w:val="22"/>
              </w:rPr>
            </w:pPr>
            <w:r w:rsidRPr="00F8728A">
              <w:rPr>
                <w:rFonts w:ascii="Calibri" w:hAnsi="Calibri" w:cs="Calibri"/>
                <w:b/>
                <w:sz w:val="22"/>
              </w:rPr>
              <w:t>Снежни бури</w:t>
            </w:r>
          </w:p>
        </w:tc>
        <w:tc>
          <w:tcPr>
            <w:tcW w:w="90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441</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1</w:t>
            </w:r>
            <w:r w:rsidR="008D2580">
              <w:rPr>
                <w:rFonts w:ascii="Calibri" w:hAnsi="Calibri" w:cs="Calibri"/>
                <w:sz w:val="22"/>
              </w:rPr>
              <w:t xml:space="preserve"> </w:t>
            </w:r>
            <w:r w:rsidRPr="00F8728A">
              <w:rPr>
                <w:rFonts w:ascii="Calibri" w:hAnsi="Calibri" w:cs="Calibri"/>
                <w:sz w:val="22"/>
              </w:rPr>
              <w:t>205</w:t>
            </w:r>
          </w:p>
        </w:tc>
        <w:tc>
          <w:tcPr>
            <w:tcW w:w="90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945</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200</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410</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5</w:t>
            </w:r>
            <w:r w:rsidR="008D2580">
              <w:rPr>
                <w:rFonts w:ascii="Calibri" w:hAnsi="Calibri" w:cs="Calibri"/>
                <w:sz w:val="22"/>
              </w:rPr>
              <w:t xml:space="preserve"> </w:t>
            </w:r>
            <w:r w:rsidRPr="00F8728A">
              <w:rPr>
                <w:rFonts w:ascii="Calibri" w:hAnsi="Calibri" w:cs="Calibri"/>
                <w:sz w:val="22"/>
              </w:rPr>
              <w:t>436</w:t>
            </w:r>
          </w:p>
        </w:tc>
        <w:tc>
          <w:tcPr>
            <w:tcW w:w="967" w:type="dxa"/>
          </w:tcPr>
          <w:p w:rsidR="00AA4661" w:rsidRPr="00F8728A" w:rsidRDefault="00AA4661" w:rsidP="00B155A6">
            <w:pPr>
              <w:autoSpaceDE w:val="0"/>
              <w:autoSpaceDN w:val="0"/>
              <w:adjustRightInd w:val="0"/>
              <w:spacing w:before="20" w:after="20"/>
              <w:jc w:val="right"/>
              <w:rPr>
                <w:rFonts w:ascii="Calibri" w:hAnsi="Calibri" w:cs="Calibri"/>
                <w:b/>
                <w:sz w:val="22"/>
              </w:rPr>
            </w:pPr>
            <w:r w:rsidRPr="00F8728A">
              <w:rPr>
                <w:rFonts w:ascii="Calibri" w:hAnsi="Calibri" w:cs="Calibri"/>
                <w:b/>
                <w:sz w:val="22"/>
              </w:rPr>
              <w:t>8</w:t>
            </w:r>
            <w:r w:rsidR="008D2580">
              <w:rPr>
                <w:rFonts w:ascii="Calibri" w:hAnsi="Calibri" w:cs="Calibri"/>
                <w:b/>
                <w:sz w:val="22"/>
              </w:rPr>
              <w:t xml:space="preserve"> </w:t>
            </w:r>
            <w:r w:rsidRPr="00F8728A">
              <w:rPr>
                <w:rFonts w:ascii="Calibri" w:hAnsi="Calibri" w:cs="Calibri"/>
                <w:b/>
                <w:sz w:val="22"/>
              </w:rPr>
              <w:t>637</w:t>
            </w:r>
          </w:p>
        </w:tc>
      </w:tr>
      <w:tr w:rsidR="00AA4661" w:rsidRPr="00F8728A" w:rsidTr="00B155A6">
        <w:trPr>
          <w:jc w:val="center"/>
        </w:trPr>
        <w:tc>
          <w:tcPr>
            <w:tcW w:w="2430" w:type="dxa"/>
            <w:shd w:val="clear" w:color="auto" w:fill="B8CCE4"/>
          </w:tcPr>
          <w:p w:rsidR="00AA4661" w:rsidRPr="00F8728A" w:rsidRDefault="00AA4661" w:rsidP="00B155A6">
            <w:pPr>
              <w:autoSpaceDE w:val="0"/>
              <w:autoSpaceDN w:val="0"/>
              <w:adjustRightInd w:val="0"/>
              <w:spacing w:before="20" w:after="20"/>
              <w:rPr>
                <w:rFonts w:ascii="Calibri" w:hAnsi="Calibri" w:cs="Calibri"/>
                <w:b/>
                <w:sz w:val="22"/>
              </w:rPr>
            </w:pPr>
            <w:r w:rsidRPr="00F8728A">
              <w:rPr>
                <w:rFonts w:ascii="Calibri" w:hAnsi="Calibri" w:cs="Calibri"/>
                <w:b/>
                <w:sz w:val="22"/>
              </w:rPr>
              <w:t>Заледяване/екстрем-но ниски температури</w:t>
            </w:r>
          </w:p>
        </w:tc>
        <w:tc>
          <w:tcPr>
            <w:tcW w:w="90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128</w:t>
            </w:r>
          </w:p>
        </w:tc>
        <w:tc>
          <w:tcPr>
            <w:tcW w:w="90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136</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200</w:t>
            </w:r>
          </w:p>
        </w:tc>
        <w:tc>
          <w:tcPr>
            <w:tcW w:w="967" w:type="dxa"/>
          </w:tcPr>
          <w:p w:rsidR="00AA4661" w:rsidRPr="00F8728A" w:rsidRDefault="00AA4661" w:rsidP="00B155A6">
            <w:pPr>
              <w:autoSpaceDE w:val="0"/>
              <w:autoSpaceDN w:val="0"/>
              <w:adjustRightInd w:val="0"/>
              <w:spacing w:before="20" w:after="20"/>
              <w:jc w:val="right"/>
              <w:rPr>
                <w:rFonts w:ascii="Calibri" w:hAnsi="Calibri" w:cs="Calibri"/>
                <w:b/>
                <w:sz w:val="22"/>
              </w:rPr>
            </w:pPr>
            <w:r w:rsidRPr="00F8728A">
              <w:rPr>
                <w:rFonts w:ascii="Calibri" w:hAnsi="Calibri" w:cs="Calibri"/>
                <w:b/>
                <w:sz w:val="22"/>
              </w:rPr>
              <w:t>463</w:t>
            </w:r>
          </w:p>
        </w:tc>
      </w:tr>
      <w:tr w:rsidR="00AA4661" w:rsidRPr="00F8728A" w:rsidTr="00B155A6">
        <w:trPr>
          <w:jc w:val="center"/>
        </w:trPr>
        <w:tc>
          <w:tcPr>
            <w:tcW w:w="2430" w:type="dxa"/>
            <w:shd w:val="clear" w:color="auto" w:fill="B8CCE4"/>
          </w:tcPr>
          <w:p w:rsidR="00AA4661" w:rsidRPr="00F8728A" w:rsidRDefault="00AA4661" w:rsidP="00B155A6">
            <w:pPr>
              <w:autoSpaceDE w:val="0"/>
              <w:autoSpaceDN w:val="0"/>
              <w:adjustRightInd w:val="0"/>
              <w:spacing w:before="20" w:after="20"/>
              <w:jc w:val="both"/>
              <w:rPr>
                <w:rFonts w:ascii="Calibri" w:hAnsi="Calibri" w:cs="Calibri"/>
                <w:b/>
                <w:sz w:val="22"/>
              </w:rPr>
            </w:pPr>
            <w:r w:rsidRPr="00F8728A">
              <w:rPr>
                <w:rFonts w:ascii="Calibri" w:hAnsi="Calibri" w:cs="Calibri"/>
                <w:b/>
                <w:sz w:val="22"/>
              </w:rPr>
              <w:t>Засушаване</w:t>
            </w:r>
          </w:p>
        </w:tc>
        <w:tc>
          <w:tcPr>
            <w:tcW w:w="90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1</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117</w:t>
            </w:r>
          </w:p>
        </w:tc>
        <w:tc>
          <w:tcPr>
            <w:tcW w:w="90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149</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1</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w:t>
            </w:r>
          </w:p>
        </w:tc>
        <w:tc>
          <w:tcPr>
            <w:tcW w:w="967" w:type="dxa"/>
          </w:tcPr>
          <w:p w:rsidR="00AA4661" w:rsidRPr="00F8728A" w:rsidRDefault="00AA4661" w:rsidP="00B155A6">
            <w:pPr>
              <w:autoSpaceDE w:val="0"/>
              <w:autoSpaceDN w:val="0"/>
              <w:adjustRightInd w:val="0"/>
              <w:spacing w:before="20" w:after="20"/>
              <w:jc w:val="right"/>
              <w:rPr>
                <w:rFonts w:ascii="Calibri" w:hAnsi="Calibri" w:cs="Calibri"/>
                <w:b/>
                <w:sz w:val="22"/>
              </w:rPr>
            </w:pPr>
            <w:r w:rsidRPr="00F8728A">
              <w:rPr>
                <w:rFonts w:ascii="Calibri" w:hAnsi="Calibri" w:cs="Calibri"/>
                <w:b/>
                <w:sz w:val="22"/>
              </w:rPr>
              <w:t>268</w:t>
            </w:r>
          </w:p>
        </w:tc>
      </w:tr>
    </w:tbl>
    <w:p w:rsidR="00AA4661" w:rsidRPr="00F8728A" w:rsidRDefault="00AA4661" w:rsidP="00123161">
      <w:pPr>
        <w:pStyle w:val="Source"/>
        <w:jc w:val="center"/>
      </w:pPr>
      <w:r w:rsidRPr="00F8728A">
        <w:t>Източник: НСИ, 2016 г.</w:t>
      </w:r>
    </w:p>
    <w:p w:rsidR="00AA4661" w:rsidRPr="00B73D7E" w:rsidRDefault="00AA4661" w:rsidP="00CF297A">
      <w:pPr>
        <w:pStyle w:val="BodyText"/>
        <w:numPr>
          <w:ilvl w:val="0"/>
          <w:numId w:val="41"/>
        </w:numPr>
        <w:ind w:left="0" w:firstLine="0"/>
        <w:rPr>
          <w:lang w:val="bg-BG"/>
        </w:rPr>
      </w:pPr>
      <w:r w:rsidRPr="00B73D7E">
        <w:rPr>
          <w:lang w:val="bg-BG"/>
        </w:rPr>
        <w:t xml:space="preserve">При засушаване и високи температури рискът от </w:t>
      </w:r>
      <w:r w:rsidRPr="00B73D7E">
        <w:rPr>
          <w:b/>
          <w:lang w:val="bg-BG"/>
        </w:rPr>
        <w:t>пожари</w:t>
      </w:r>
      <w:r w:rsidRPr="00B73D7E">
        <w:rPr>
          <w:lang w:val="bg-BG"/>
        </w:rPr>
        <w:t xml:space="preserve"> се увеличава, но при българските условия не са регистрирани явления на засегнати от горски пожари градове или предградия. Макар че между 2010 г. и 2015 г. са регистрирани 12</w:t>
      </w:r>
      <w:r w:rsidR="008D2580">
        <w:rPr>
          <w:lang w:val="en-US"/>
        </w:rPr>
        <w:t xml:space="preserve"> </w:t>
      </w:r>
      <w:r w:rsidRPr="00B73D7E">
        <w:rPr>
          <w:lang w:val="bg-BG"/>
        </w:rPr>
        <w:t xml:space="preserve">308 пожара с щети за около 10,4 милиона лева, повечето от тях са в резултат на човешка небрежност, умишлено действие или нарушаване на противопожарните правила. Косвено тези горски пожари или пожари, възникнали от горящи стърнища в земеделска земя близо </w:t>
      </w:r>
      <w:r w:rsidRPr="00B73D7E">
        <w:rPr>
          <w:lang w:val="bg-BG"/>
        </w:rPr>
        <w:lastRenderedPageBreak/>
        <w:t>до населените  места, могат да причинят замърсяване на въздуха, понижаване на видимостта и дискомфорт. През горещите и сухи периоди на годините ще има допълнителен натиск върху водните ресурси за пожарогасене.</w:t>
      </w:r>
    </w:p>
    <w:p w:rsidR="00AA4661" w:rsidRPr="00B73D7E" w:rsidRDefault="00AA4661" w:rsidP="00CF297A">
      <w:pPr>
        <w:pStyle w:val="BodyText"/>
        <w:numPr>
          <w:ilvl w:val="0"/>
          <w:numId w:val="41"/>
        </w:numPr>
        <w:ind w:left="0" w:firstLine="0"/>
        <w:rPr>
          <w:lang w:val="bg-BG"/>
        </w:rPr>
      </w:pPr>
      <w:r w:rsidRPr="00B73D7E">
        <w:rPr>
          <w:lang w:val="bg-BG"/>
        </w:rPr>
        <w:t>Резултатите от анализа на минали и настоящи метеорологични събития показва, че в бъдеще българските градове ще бъдат най-силно засегнати от екстремните температура и повишения интензитет и честота на валежите. Последиците от последните – наводнения и свлачища – ще бъдат сред приоритетите на правителството, общините и населението през следващите 20 години.</w:t>
      </w:r>
    </w:p>
    <w:p w:rsidR="00AA4661" w:rsidRPr="00B73D7E" w:rsidRDefault="00AA4661" w:rsidP="00733C34">
      <w:pPr>
        <w:pStyle w:val="Heading2"/>
        <w:spacing w:line="240" w:lineRule="auto"/>
        <w:ind w:left="0" w:firstLine="0"/>
        <w:rPr>
          <w:lang w:val="bg-BG"/>
        </w:rPr>
      </w:pPr>
      <w:bookmarkStart w:id="126" w:name="_Toc486942164"/>
      <w:bookmarkStart w:id="127" w:name="_Toc501454841"/>
      <w:bookmarkStart w:id="128" w:name="_Toc522030543"/>
      <w:bookmarkStart w:id="129" w:name="_Toc529285528"/>
      <w:r w:rsidRPr="00B73D7E">
        <w:rPr>
          <w:lang w:val="bg-BG"/>
        </w:rPr>
        <w:t>Рискове и уязвимост към изменението на климата, свързани със  сектора</w:t>
      </w:r>
      <w:bookmarkEnd w:id="126"/>
      <w:bookmarkEnd w:id="127"/>
      <w:bookmarkEnd w:id="128"/>
      <w:bookmarkEnd w:id="129"/>
    </w:p>
    <w:p w:rsidR="00AA4661" w:rsidRPr="00B73D7E" w:rsidRDefault="00AA4661" w:rsidP="00CF297A">
      <w:pPr>
        <w:pStyle w:val="BodyText"/>
        <w:numPr>
          <w:ilvl w:val="0"/>
          <w:numId w:val="41"/>
        </w:numPr>
        <w:ind w:left="0" w:firstLine="0"/>
        <w:rPr>
          <w:lang w:val="bg-BG"/>
        </w:rPr>
      </w:pPr>
      <w:r w:rsidRPr="00B73D7E">
        <w:rPr>
          <w:lang w:val="bg-BG"/>
        </w:rPr>
        <w:t>Основното предизвикателство при оценката на изменението на климата на градско равнище, а дори и на равнището на единична сграда, е да се намери връзката между специфичните сценарии за градско развитие и регионалните модели за АИК.</w:t>
      </w:r>
      <w:r w:rsidRPr="00B73D7E">
        <w:rPr>
          <w:vertAlign w:val="superscript"/>
          <w:lang w:val="bg-BG"/>
        </w:rPr>
        <w:footnoteReference w:id="45"/>
      </w:r>
      <w:r w:rsidRPr="00B73D7E">
        <w:rPr>
          <w:lang w:val="bg-BG"/>
        </w:rPr>
        <w:t xml:space="preserve"> През последните 20 години има постоянно търсене на общоприемлива методология въз основа на градската структура, земеползването или типологията на сградите, за да се постигне по-ефективна и надеждна оценка на риска и уязвимостта (ОРУ) към изменението на климата, (Moon и колектив, 2009 г.) без да се подценяват местните характеристики. Възприетият подход в текущата оценка е основан на предложената типология на градовете по размер и местоположение и функционалното им зониране.</w:t>
      </w:r>
    </w:p>
    <w:p w:rsidR="00AA4661" w:rsidRPr="00B73D7E" w:rsidRDefault="00AA4661" w:rsidP="00123161">
      <w:pPr>
        <w:pStyle w:val="Heading3"/>
        <w:spacing w:before="160"/>
        <w:ind w:left="0" w:firstLine="0"/>
        <w:rPr>
          <w:lang w:val="bg-BG"/>
        </w:rPr>
      </w:pPr>
      <w:bookmarkStart w:id="130" w:name="_Toc486942165"/>
      <w:bookmarkStart w:id="131" w:name="_Toc501454842"/>
      <w:bookmarkStart w:id="132" w:name="_Toc522030544"/>
      <w:bookmarkStart w:id="133" w:name="_Toc529285529"/>
      <w:r w:rsidRPr="00B73D7E">
        <w:rPr>
          <w:lang w:val="bg-BG"/>
        </w:rPr>
        <w:t>Оценка на уязвимостта на градската среда</w:t>
      </w:r>
      <w:bookmarkEnd w:id="130"/>
      <w:bookmarkEnd w:id="131"/>
      <w:bookmarkEnd w:id="132"/>
      <w:bookmarkEnd w:id="133"/>
    </w:p>
    <w:p w:rsidR="00AA4661" w:rsidRPr="00B73D7E" w:rsidRDefault="00AA4661" w:rsidP="00CF297A">
      <w:pPr>
        <w:pStyle w:val="BodyText"/>
        <w:numPr>
          <w:ilvl w:val="0"/>
          <w:numId w:val="41"/>
        </w:numPr>
        <w:ind w:left="0" w:firstLine="0"/>
        <w:rPr>
          <w:lang w:val="bg-BG"/>
        </w:rPr>
      </w:pPr>
      <w:r w:rsidRPr="00B73D7E">
        <w:rPr>
          <w:lang w:val="bg-BG"/>
        </w:rPr>
        <w:t xml:space="preserve">Оценката на уязвимостта на градската среда към изменението на климата е сравнително слабо развита тема в България в сравнение със секторите на енергетиката, транспорта, здравеопазването, селското стопанство и горското стопанство. Включването на тази тема в глобалната политическа програма през последните две десетилетия е обосновано от нарастващия дял на градското население и концентрацията му в по-големите градове и сложното взаимодействие между различните природни и антропогенни ресурси и дейности (Carter и колектив, 2015 г.). Очаква се, че до 2050 г. 65  процента от световното население ще живее в градовете, докато този процент е значително по-висок за Европа – 82 процента (ООН, 2014 г.) </w:t>
      </w:r>
    </w:p>
    <w:p w:rsidR="00AA4661" w:rsidRPr="00B73D7E" w:rsidRDefault="00AA4661" w:rsidP="00CF297A">
      <w:pPr>
        <w:pStyle w:val="BodyText"/>
        <w:numPr>
          <w:ilvl w:val="0"/>
          <w:numId w:val="41"/>
        </w:numPr>
        <w:ind w:left="0" w:firstLine="0"/>
        <w:rPr>
          <w:lang w:val="bg-BG"/>
        </w:rPr>
      </w:pPr>
      <w:r w:rsidRPr="00B73D7E">
        <w:rPr>
          <w:lang w:val="bg-BG"/>
        </w:rPr>
        <w:t>В България, въпреки  общата негативна демографска прогноза, делът на градското население се очаква да продължи да нараства и да достигне 81 процента до 2050 г. Така повече хора ще бъдат изложени на рискове от природни бедствия, особено в по-големите градове, в които има по-голяма концентрация на уязвими групи, включително деца, възрастни, болни, хора с увреждания, бедни и малцинства.</w:t>
      </w:r>
    </w:p>
    <w:p w:rsidR="00AA4661" w:rsidRPr="00B73D7E" w:rsidRDefault="00AA4661" w:rsidP="00CF297A">
      <w:pPr>
        <w:pStyle w:val="BodyText"/>
        <w:numPr>
          <w:ilvl w:val="0"/>
          <w:numId w:val="41"/>
        </w:numPr>
        <w:ind w:left="0" w:firstLine="0"/>
        <w:rPr>
          <w:color w:val="000000"/>
          <w:lang w:val="bg-BG"/>
        </w:rPr>
      </w:pPr>
      <w:r w:rsidRPr="00B73D7E">
        <w:rPr>
          <w:color w:val="000000"/>
          <w:lang w:val="bg-BG"/>
        </w:rPr>
        <w:t xml:space="preserve">При оценяване на уязвимостта към изменението на климата на градската среда в България е отчетено въздействието на различни природни, материални, икономически, социални и политически фактори и кумулативният им ефект. Те оказват различни въздействия върху градовете в зависимост от техния размер и местоположение, и различна степен на въздействие върху градското население и основните компоненти на </w:t>
      </w:r>
      <w:r w:rsidRPr="00B73D7E">
        <w:rPr>
          <w:color w:val="000000"/>
          <w:lang w:val="bg-BG"/>
        </w:rPr>
        <w:lastRenderedPageBreak/>
        <w:t xml:space="preserve">околната среда, като например функционални зони, сгради, открити  и зелени пространства, мрежи и съоръжения на транспортната и техническата инфраструктура, и предоставяне на услуги. </w:t>
      </w:r>
    </w:p>
    <w:p w:rsidR="007D240D" w:rsidRPr="00B73D7E" w:rsidRDefault="00AA4661" w:rsidP="00B73D7E">
      <w:pPr>
        <w:pStyle w:val="BodyText"/>
        <w:numPr>
          <w:ilvl w:val="0"/>
          <w:numId w:val="41"/>
        </w:numPr>
        <w:ind w:left="0" w:firstLine="0"/>
        <w:rPr>
          <w:color w:val="000000"/>
          <w:lang w:val="bg-BG"/>
        </w:rPr>
      </w:pPr>
      <w:r w:rsidRPr="00B73D7E">
        <w:rPr>
          <w:lang w:val="bg-BG"/>
        </w:rPr>
        <w:t>Природните фактори, които определят различните нива на уязвимост, включват компонентите  на климата (температура, дъждове и снеговалежи, вятър и бури), релефа (включително надморска височина, изложение, наклон и разчлененост), водните ресурси и горите. Групирането на градовете в четири групи в зависимост от тяхното местоположение отразява кумулативния ефект на тези фактори. Следователно градовете, разположени по Дунав (Русе, Силистра, Свищов и др.) и Черноморското крайбрежие (Варна, Бургас, Поморие и др.), са по-силно изложени на риск от наводнение, но по-малко изложени на екстремно високи температури поради по-добрата циркулация на въздуха, което е видно от приетите за страната сценарии в случай на изменение на климата. В повечето Български градове, разположени в планински и полупланински региони, по-голямата надморска височина и разположените в близост гори правят тези градове по-устойчиви на екстремно високи температури, но по-уязвими на екстремно ниски температури, снежни бури и наводнения по време на периодите на снеготопене (Смолян, Чепеларе, Самоков и др.). Градовете, разположени в равнинни зони, са по-уязвими както на екстремни температури и бури, така и на наводнения, когато са разположени покрай реки (Пловдив, Пазарджик, Хасково, Ямбол и др.).</w:t>
      </w:r>
    </w:p>
    <w:p w:rsidR="00AA4661" w:rsidRPr="00B73D7E" w:rsidRDefault="00AA4661" w:rsidP="00CF297A">
      <w:pPr>
        <w:pStyle w:val="BodyText"/>
        <w:numPr>
          <w:ilvl w:val="0"/>
          <w:numId w:val="41"/>
        </w:numPr>
        <w:ind w:left="0" w:firstLine="0"/>
        <w:rPr>
          <w:color w:val="000000"/>
          <w:lang w:val="bg-BG"/>
        </w:rPr>
      </w:pPr>
      <w:r w:rsidRPr="00B73D7E">
        <w:rPr>
          <w:color w:val="000000"/>
          <w:lang w:val="bg-BG"/>
        </w:rPr>
        <w:t>Втората група фактори, свързана с първата, се основава главно на модели за пространствено и градско развитие. В по-широк смисъл тези фактори са свързани с въпросите на   планирането и засягат градската морфология и типология, и двете оказващи въздействие върху уязвимостта на градската среда към изменението на климата. Уязвимостта на градовете зависи не само от тяхното местоположение, но и от тяхната форма и структура, тяхното интензивно или екстензивно развитие, модела на земеползване, гъстотата на обитаване, зелената система, местоположението на „сините“ и „зелените“ коридори. Застроените площи с висока плътност в големите градове са изложени в по-силна степен на екстремно високи температури и топлинни вълни, отколкото тези, застроени с отделни къщи, типични за малките градове, поради по-високият процент частни градини/дворове във втората група. Традиционният градски модел на по-малките и по-големите български градове със свързани сгради и дворове значително понижава уязвимостта към бурни ветрове. Разточително проектираните отворени и зелени пространства в жилищните комплекси, изградени след 60</w:t>
      </w:r>
      <w:r w:rsidRPr="00B73D7E">
        <w:rPr>
          <w:color w:val="000000"/>
          <w:vertAlign w:val="superscript"/>
          <w:lang w:val="bg-BG"/>
        </w:rPr>
        <w:t>-те</w:t>
      </w:r>
      <w:r w:rsidRPr="00B73D7E">
        <w:rPr>
          <w:color w:val="000000"/>
          <w:lang w:val="bg-BG"/>
        </w:rPr>
        <w:t xml:space="preserve"> години на ХХ век на периферията на големите индустриални градове за мигрантите от селските райони, правят тези територии по-уязвими на екстремно ниски температури, сняг и бурни ветрове, и заледявания. Тяхното предимство е потенциалът да осигуряват безопасност на обитателите по време на земетресения. </w:t>
      </w:r>
    </w:p>
    <w:p w:rsidR="00AA4661" w:rsidRPr="00B73D7E" w:rsidRDefault="00AA4661" w:rsidP="00CF297A">
      <w:pPr>
        <w:pStyle w:val="BodyText"/>
        <w:numPr>
          <w:ilvl w:val="0"/>
          <w:numId w:val="41"/>
        </w:numPr>
        <w:ind w:left="0" w:firstLine="0"/>
        <w:rPr>
          <w:color w:val="000000"/>
          <w:lang w:val="bg-BG"/>
        </w:rPr>
      </w:pPr>
      <w:r w:rsidRPr="00B73D7E">
        <w:rPr>
          <w:color w:val="000000"/>
          <w:lang w:val="bg-BG"/>
        </w:rPr>
        <w:t xml:space="preserve">Третата група „материални“ фактори е тясно свързана с предишната и се отнася до сградите и съоръженията, считани общо като застроена среда или за материални активи, или за „сива“ инфраструктура (ЕЕА, 2015 г.). Градските функционални зони според българската нормативна уредба по устройство на територията са с различна плътност, интензивност на застрояване и процент на озеленяване, с което </w:t>
      </w:r>
      <w:r w:rsidRPr="00B73D7E">
        <w:rPr>
          <w:color w:val="000000"/>
          <w:lang w:val="bg-BG"/>
        </w:rPr>
        <w:lastRenderedPageBreak/>
        <w:t xml:space="preserve">предопределят различната уязвимост към изменението на климата. Приложени към големи, средни и малки градове, при различен инвестиционен натиск, обикновено с най-високите примерни стойности на устройствените нормативи, смесените многофункционални зони често застрашават устойчивостта на териториите с по-висока плътност, концентрация на дейности и услуги, посетители и ползватели. Старите жилищни комплекси със своята отворена структура и голям брой реституирани площи между жилищните блокове след 90-те години на ХХ век също намаляват устойчивостта на изменението на климата на тези зони, когато са предмет на нови инвестиционни инициативи поради повишения процент „запечатана“ земна повърхност. Приложените строителни технологии, конструкции  и материали, и техните изолационни и отразителни характеристики оказват своето въздействие и същевременно имат голям потенциал за намаляване на градската топлина и за по-добра защита на  вътрешните  пространства. Тези фактори са проучени по-обстойно през последните години в опит да се възстанови прилагането на основните принципи на градската екология в полза на енергийната ефективност (Maneva и колектив, 2012 г.; Maneva и Ivanov, 2016 г.). </w:t>
      </w:r>
    </w:p>
    <w:p w:rsidR="00AA4661" w:rsidRPr="00B73D7E" w:rsidRDefault="00AA4661" w:rsidP="00CF297A">
      <w:pPr>
        <w:pStyle w:val="BodyText"/>
        <w:numPr>
          <w:ilvl w:val="0"/>
          <w:numId w:val="41"/>
        </w:numPr>
        <w:ind w:left="0" w:firstLine="0"/>
        <w:rPr>
          <w:color w:val="FF0000"/>
          <w:lang w:val="bg-BG"/>
        </w:rPr>
      </w:pPr>
      <w:r w:rsidRPr="00B73D7E">
        <w:rPr>
          <w:lang w:val="bg-BG"/>
        </w:rPr>
        <w:t>Увеличаващите се изисквания към градската техническа инфраструктура с оглед на намаляването на риска от природни бедствия заедно със специфичната роля на водоснабдителните и отводнителните системи при условия на продължително засушаване с недостиг на питейна вода или риск от обилни валежи и наводнения  налагат градската инфраструктура да се разглежда отделно от сградите и системите на градския транспорт при оценяване на риска и уязвимостта в сектора на градската среда.</w:t>
      </w:r>
    </w:p>
    <w:p w:rsidR="00AA4661" w:rsidRPr="00B73D7E" w:rsidRDefault="00AA4661" w:rsidP="00CF297A">
      <w:pPr>
        <w:pStyle w:val="BodyText"/>
        <w:numPr>
          <w:ilvl w:val="0"/>
          <w:numId w:val="41"/>
        </w:numPr>
        <w:ind w:left="0" w:firstLine="0"/>
        <w:rPr>
          <w:color w:val="000000"/>
          <w:lang w:val="bg-BG"/>
        </w:rPr>
      </w:pPr>
      <w:r w:rsidRPr="00B73D7E">
        <w:rPr>
          <w:color w:val="000000"/>
          <w:lang w:val="bg-BG"/>
        </w:rPr>
        <w:t xml:space="preserve">Четвъртата група от фактори, включва социалните фактори, заедно с демографските промени, с оглед на по-доброто идентифициране на рисковите групи, техните характеристики и концентрация в конкретни градове и зони. Според данните от преброяването и анализа през 2011 г. сред по-уязвимите групи са възрастните хора на 65 годишна възраст и повече (23 процента от общото население в България); бедните (30 процента от населението), концентрирани главно в националната периферия и в Северозападния район, хората, живеещи в примитивни жилища (2,3 процента), и тези, живеещи в незаконни къщи (други 4,9 процента). Малките деца също са сред уязвимите групи. Социалната инфраструктура (образователни, здравни, социални услуги, включително новоизградени центрове за имигранти) и структурите, свързани със защита при бедствия (като пожарни, центрове за спешна медицинска помощ, кризисни центрове) са почти равномерно разпределени в цялата страна с цел да се осигури еднаква достъпност в случай на кризи (вж. </w:t>
      </w:r>
      <w:r w:rsidRPr="00B73D7E">
        <w:rPr>
          <w:b/>
          <w:i/>
          <w:iCs/>
          <w:color w:val="000000"/>
          <w:lang w:val="bg-BG"/>
        </w:rPr>
        <w:t>фигури 21, 22</w:t>
      </w:r>
      <w:r w:rsidR="00DC3C52" w:rsidRPr="00B73D7E">
        <w:rPr>
          <w:b/>
          <w:i/>
          <w:iCs/>
          <w:color w:val="000000"/>
          <w:lang w:val="bg-BG"/>
        </w:rPr>
        <w:t>,</w:t>
      </w:r>
      <w:r w:rsidRPr="00B73D7E">
        <w:rPr>
          <w:b/>
          <w:i/>
          <w:iCs/>
          <w:color w:val="000000"/>
          <w:lang w:val="bg-BG"/>
        </w:rPr>
        <w:t xml:space="preserve"> 23</w:t>
      </w:r>
      <w:r w:rsidR="00DC3C52" w:rsidRPr="00B73D7E">
        <w:rPr>
          <w:b/>
          <w:i/>
          <w:iCs/>
          <w:color w:val="000000"/>
          <w:lang w:val="bg-BG"/>
        </w:rPr>
        <w:t>, 24 и 25</w:t>
      </w:r>
      <w:r w:rsidRPr="00B73D7E">
        <w:rPr>
          <w:b/>
          <w:color w:val="000000"/>
          <w:lang w:val="bg-BG"/>
        </w:rPr>
        <w:t xml:space="preserve"> </w:t>
      </w:r>
      <w:r w:rsidRPr="00B73D7E">
        <w:rPr>
          <w:color w:val="000000"/>
          <w:lang w:val="bg-BG"/>
        </w:rPr>
        <w:t xml:space="preserve">в </w:t>
      </w:r>
      <w:r w:rsidR="00DC3C52" w:rsidRPr="00B73D7E">
        <w:rPr>
          <w:b/>
          <w:i/>
          <w:iCs/>
          <w:color w:val="000000"/>
          <w:lang w:val="bg-BG"/>
        </w:rPr>
        <w:t>приложение 4</w:t>
      </w:r>
      <w:r w:rsidRPr="00B73D7E">
        <w:rPr>
          <w:color w:val="000000"/>
          <w:lang w:val="bg-BG"/>
        </w:rPr>
        <w:t xml:space="preserve">). </w:t>
      </w:r>
    </w:p>
    <w:p w:rsidR="00AA4661" w:rsidRPr="00B73D7E" w:rsidRDefault="00AA4661" w:rsidP="00CF297A">
      <w:pPr>
        <w:pStyle w:val="BodyText"/>
        <w:numPr>
          <w:ilvl w:val="0"/>
          <w:numId w:val="41"/>
        </w:numPr>
        <w:ind w:left="0" w:firstLine="0"/>
        <w:rPr>
          <w:lang w:val="bg-BG"/>
        </w:rPr>
      </w:pPr>
      <w:r w:rsidRPr="00B73D7E">
        <w:rPr>
          <w:color w:val="000000"/>
          <w:lang w:val="bg-BG"/>
        </w:rPr>
        <w:t xml:space="preserve">Човешкият фактор, здравето и безопасността са в центъра на тази група. Множеството реформи в здравната система на България през последните 25 години възпрепятстват събирането и обработването на информация относно заболеваемостта и смъртността, причинявани от изменението на климата, и свързаните с него природни бедствия, особено при екстремно високи температури и топлинни вълни. Съществуват  незначителен брой изследвания относно пост-травматичния стрес и ефектите на природните бедствия върху психиката и нервната система. Въздействието на тази група фактори до голяма степен зависи от социалното поведение, равнището на образование, познаването на последиците, съпричастността  и чувството за отговорност. </w:t>
      </w:r>
      <w:r w:rsidRPr="00B73D7E">
        <w:rPr>
          <w:lang w:val="bg-BG"/>
        </w:rPr>
        <w:t xml:space="preserve">Добре </w:t>
      </w:r>
      <w:r w:rsidRPr="00B73D7E">
        <w:rPr>
          <w:lang w:val="bg-BG"/>
        </w:rPr>
        <w:lastRenderedPageBreak/>
        <w:t xml:space="preserve">известно е, че значителен процент от жертвите на природни бедствия се дължи на паника и неподходящи реакции по време на такива събития и след тях. </w:t>
      </w:r>
    </w:p>
    <w:p w:rsidR="00AA4661" w:rsidRPr="00B73D7E" w:rsidRDefault="00AA4661" w:rsidP="00CF297A">
      <w:pPr>
        <w:pStyle w:val="BodyText"/>
        <w:numPr>
          <w:ilvl w:val="0"/>
          <w:numId w:val="41"/>
        </w:numPr>
        <w:ind w:left="0" w:firstLine="0"/>
        <w:rPr>
          <w:lang w:val="bg-BG"/>
        </w:rPr>
      </w:pPr>
      <w:r w:rsidRPr="00B73D7E">
        <w:rPr>
          <w:color w:val="000000"/>
          <w:lang w:val="bg-BG"/>
        </w:rPr>
        <w:t xml:space="preserve">Петата група фактори включва икономическите (често  посочвани като основна причина за неблагоприятните последици от  много природни бедствия), свързани със слабо икономическо развитие, финансови ограничения и неблагоприятно икономическо състояние на значителна част от градското население в страната. Тези фактори имат няколко измерения, свързани с градската среда. От една страна икономически развитите градове, макар атрактивни за новите жители и по-големите инвеститори, са с по-отявлени неравенства и по-големи уязвими групи. От друга страна те имат по-голям капацитет за инвестиране в иновативни проекти, свързани с АИК и смекчаването на уязвимостта на градската среда и нейните жители. По-малките градове имат по-ограничени ресурси, по-ограничен достъп до програми за финансова помощ, ограничен капацитет за разработване на проекти, свързани с управление на риска от природни бедствия, както и ограничен капацитет за възстановяване от щети. </w:t>
      </w:r>
      <w:r w:rsidRPr="00B73D7E">
        <w:rPr>
          <w:lang w:val="bg-BG"/>
        </w:rPr>
        <w:t>Горните твърдения са подкрепени от критериите за допустимост и приоритетните оси на всички оперативни програми за периода 2014–2020 г. и от наблюдението на проектите, съфинансирани от ЕС.</w:t>
      </w:r>
    </w:p>
    <w:p w:rsidR="00AA4661" w:rsidRPr="00B73D7E" w:rsidRDefault="00AA4661" w:rsidP="00CF297A">
      <w:pPr>
        <w:pStyle w:val="BodyText"/>
        <w:numPr>
          <w:ilvl w:val="0"/>
          <w:numId w:val="41"/>
        </w:numPr>
        <w:ind w:left="0" w:firstLine="0"/>
        <w:rPr>
          <w:lang w:val="bg-BG"/>
        </w:rPr>
      </w:pPr>
      <w:r w:rsidRPr="00B73D7E">
        <w:rPr>
          <w:lang w:val="bg-BG"/>
        </w:rPr>
        <w:t xml:space="preserve">Друго измерение на икономическите фактори е въздействието (положително и отрицателно, пряко и косвено), което изменението на климата ще има върху глобалните и локалните сектори на икономиката. Докладът на ОИСР „Икономически последици от изменението на климата“ </w:t>
      </w:r>
      <w:r w:rsidRPr="00B73D7E">
        <w:rPr>
          <w:rStyle w:val="FootnoteReference"/>
          <w:lang w:val="bg-BG"/>
        </w:rPr>
        <w:footnoteReference w:id="46"/>
      </w:r>
      <w:r w:rsidRPr="00B73D7E">
        <w:rPr>
          <w:lang w:val="bg-BG"/>
        </w:rPr>
        <w:t xml:space="preserve">  представя задълбочен анализ на очакваните щети до 2060 г. и след това, в това число „</w:t>
      </w:r>
      <w:r w:rsidRPr="00B73D7E">
        <w:rPr>
          <w:i/>
          <w:lang w:val="bg-BG"/>
        </w:rPr>
        <w:t>промени в добива от културите, загуба на земя и капитали в резултат на покачването на морското равнище, промени в улова на риба, капиталови щети в резултат на урагани, промени в производителността на труда и промени в разходите за здравеопазване поради заболявания и топлинен стрес, промени в туристическите потоци, както и промени в потребностите от електрическа енергия за отопление и охлаждане</w:t>
      </w:r>
      <w:r w:rsidRPr="00B73D7E">
        <w:rPr>
          <w:lang w:val="bg-BG"/>
        </w:rPr>
        <w:t xml:space="preserve">.“ Всички тези щети оказват въздействие върху градската икономика и благосъстоянието на населението. Значимостта на преките и косвени въздействия изисква „многосекторен, мултирегионален икономически подход“, което съвпада с приоритетната цел на ЕС за стимулиране на интегрирано териториално и секторно планиране, и териториални инвестиции. </w:t>
      </w:r>
    </w:p>
    <w:p w:rsidR="00AA4661" w:rsidRPr="00B73D7E" w:rsidRDefault="00AA4661" w:rsidP="00CF297A">
      <w:pPr>
        <w:pStyle w:val="BodyText"/>
        <w:numPr>
          <w:ilvl w:val="0"/>
          <w:numId w:val="41"/>
        </w:numPr>
        <w:ind w:left="0" w:firstLine="0"/>
        <w:rPr>
          <w:lang w:val="bg-BG"/>
        </w:rPr>
      </w:pPr>
      <w:r w:rsidRPr="00B73D7E">
        <w:rPr>
          <w:lang w:val="bg-BG"/>
        </w:rPr>
        <w:t xml:space="preserve">Последната шеста група включва политиките, стратегиите и плановете, чието разработване и прилагане зависи от политическата воля, сътрудничеството и координацията, както и капацитета и разнообразието от участници във вземането на решения и способността им да работят в мрежа. Сред най-важните са: национална стратегия и план за действие относно АИК (и двете предстои да бъдат приети в края на 2017 г.); Национална програма за защита при бедствия (2014–2018 г.); Националната стратегия за развитие и управление на водоснабдяването и канализацията в Република България (2014–2023 г.); Енергийната стратегия на Република България до 2020 г. заедно с Националния план за действие за енергийна ефективност 2014–2020 г.; Националната програма за превенция и ограничаване на свлачищата на територията на </w:t>
      </w:r>
      <w:r w:rsidRPr="00B73D7E">
        <w:rPr>
          <w:lang w:val="bg-BG"/>
        </w:rPr>
        <w:lastRenderedPageBreak/>
        <w:t>Република България, ерозията и абразията по дунавското и черноморското крайбрежие 2015–2020 г.; НКПР 2013–2025 г. и много други, с пряко и косвено въздействие върху политиката в областта на АИК за градската среда. Един от главните недостатъци на всички тези добре подготвени документи със съответните планове за действие, системи за наблюдение и показатели е слабото им прилагане, в повечето случаи поради финансови и/или политически причини.</w:t>
      </w:r>
    </w:p>
    <w:p w:rsidR="00AA4661" w:rsidRPr="00B73D7E" w:rsidRDefault="00AA4661" w:rsidP="00B73D7E">
      <w:pPr>
        <w:pStyle w:val="BodyText"/>
        <w:numPr>
          <w:ilvl w:val="0"/>
          <w:numId w:val="41"/>
        </w:numPr>
        <w:ind w:left="0" w:firstLine="0"/>
        <w:rPr>
          <w:rFonts w:ascii="Calibri" w:eastAsia="MS Gothic" w:hAnsi="Calibri"/>
          <w:b/>
          <w:bCs/>
          <w:i/>
          <w:color w:val="4F81BD"/>
          <w:sz w:val="26"/>
        </w:rPr>
      </w:pPr>
      <w:r w:rsidRPr="00B73D7E">
        <w:rPr>
          <w:color w:val="000000"/>
          <w:lang w:val="bg-BG"/>
        </w:rPr>
        <w:t xml:space="preserve">Влиянието на горепосочените шест групи от фактори върху изменението на климата в градската среда се различава в случаи на различни екстремни събития и следва да се разглежда с оглед на преобладаващите и типични за всеки регион природни бедствия (вж. </w:t>
      </w:r>
      <w:r w:rsidRPr="00B73D7E">
        <w:rPr>
          <w:b/>
          <w:i/>
          <w:iCs/>
          <w:color w:val="000000"/>
          <w:lang w:val="bg-BG"/>
        </w:rPr>
        <w:t xml:space="preserve">таблица </w:t>
      </w:r>
      <w:r w:rsidR="00447FAA" w:rsidRPr="00B73D7E">
        <w:rPr>
          <w:b/>
          <w:i/>
          <w:iCs/>
          <w:color w:val="000000"/>
          <w:lang w:val="bg-BG"/>
        </w:rPr>
        <w:t>30</w:t>
      </w:r>
      <w:r w:rsidRPr="00B73D7E">
        <w:rPr>
          <w:color w:val="000000"/>
          <w:lang w:val="bg-BG"/>
        </w:rPr>
        <w:t xml:space="preserve"> в </w:t>
      </w:r>
      <w:r w:rsidRPr="00B73D7E">
        <w:rPr>
          <w:b/>
          <w:i/>
          <w:iCs/>
          <w:color w:val="000000"/>
          <w:lang w:val="bg-BG"/>
        </w:rPr>
        <w:t xml:space="preserve">приложение </w:t>
      </w:r>
      <w:r w:rsidR="00447FAA" w:rsidRPr="00B73D7E">
        <w:rPr>
          <w:b/>
          <w:i/>
          <w:iCs/>
          <w:color w:val="000000"/>
          <w:lang w:val="bg-BG"/>
        </w:rPr>
        <w:t>8</w:t>
      </w:r>
      <w:r w:rsidRPr="00B73D7E">
        <w:rPr>
          <w:b/>
          <w:color w:val="000000"/>
          <w:lang w:val="bg-BG"/>
        </w:rPr>
        <w:t>).</w:t>
      </w:r>
      <w:r w:rsidRPr="00B73D7E">
        <w:rPr>
          <w:color w:val="000000"/>
          <w:lang w:val="bg-BG"/>
        </w:rPr>
        <w:t xml:space="preserve"> Според НСИ най-често срещаните бедствия в периода 2010–2015 са пожарите (12</w:t>
      </w:r>
      <w:r w:rsidR="008D2580">
        <w:rPr>
          <w:color w:val="000000"/>
          <w:lang w:val="en-US"/>
        </w:rPr>
        <w:t xml:space="preserve"> </w:t>
      </w:r>
      <w:r w:rsidRPr="00B73D7E">
        <w:rPr>
          <w:color w:val="000000"/>
          <w:lang w:val="bg-BG"/>
        </w:rPr>
        <w:t>308), следвани от наводненията (2</w:t>
      </w:r>
      <w:r w:rsidR="008D2580">
        <w:rPr>
          <w:color w:val="000000"/>
          <w:lang w:val="en-US"/>
        </w:rPr>
        <w:t xml:space="preserve"> </w:t>
      </w:r>
      <w:r w:rsidRPr="00B73D7E">
        <w:rPr>
          <w:color w:val="000000"/>
          <w:lang w:val="bg-BG"/>
        </w:rPr>
        <w:t xml:space="preserve">898), бурите (738) и свлачищата (458) (НСИ, 2016 г.). Очаква се тази тенденция да продължи и в бъдеще, така че може да се предположи, че това са природните бедствия, които ще създават най-голям риск. От друга страна бедствията, от които се очаква да има най-сериозни последствия и щети, включват наводнения, свлачища, бури, земетресения и пожари (вж. </w:t>
      </w:r>
      <w:r w:rsidR="00447FAA" w:rsidRPr="00B73D7E">
        <w:rPr>
          <w:b/>
          <w:i/>
          <w:iCs/>
          <w:color w:val="000000"/>
          <w:lang w:val="bg-BG"/>
        </w:rPr>
        <w:t xml:space="preserve">таблици </w:t>
      </w:r>
      <w:r w:rsidRPr="00B73D7E">
        <w:rPr>
          <w:b/>
          <w:i/>
          <w:iCs/>
          <w:color w:val="000000"/>
          <w:lang w:val="bg-BG"/>
        </w:rPr>
        <w:t>18</w:t>
      </w:r>
      <w:r w:rsidR="00447FAA" w:rsidRPr="00B73D7E">
        <w:rPr>
          <w:b/>
          <w:i/>
          <w:iCs/>
          <w:color w:val="000000"/>
          <w:lang w:val="bg-BG"/>
        </w:rPr>
        <w:t xml:space="preserve"> и 19</w:t>
      </w:r>
      <w:r w:rsidRPr="00B73D7E">
        <w:rPr>
          <w:color w:val="000000"/>
          <w:lang w:val="bg-BG"/>
        </w:rPr>
        <w:t xml:space="preserve"> в </w:t>
      </w:r>
      <w:r w:rsidRPr="00B73D7E">
        <w:rPr>
          <w:b/>
          <w:i/>
          <w:iCs/>
          <w:color w:val="000000"/>
          <w:lang w:val="bg-BG"/>
        </w:rPr>
        <w:t>приложение 1</w:t>
      </w:r>
      <w:r w:rsidRPr="00B73D7E">
        <w:rPr>
          <w:color w:val="000000"/>
          <w:lang w:val="bg-BG"/>
        </w:rPr>
        <w:t>). Като се има предвид, че няма информация за горски пожари, засегнали градската среда, и че земетресенията не са свързани с климата, най-голямо внимание следва да се насочи към наводненията и екстремните температури с многостранните им въздействия върху градската среда.</w:t>
      </w:r>
      <w:bookmarkStart w:id="134" w:name="_Toc486942166"/>
      <w:bookmarkStart w:id="135" w:name="_Toc501454843"/>
    </w:p>
    <w:p w:rsidR="00AA4661" w:rsidRPr="00B73D7E" w:rsidRDefault="00AA4661" w:rsidP="00123161">
      <w:pPr>
        <w:pStyle w:val="Heading3"/>
        <w:spacing w:before="160"/>
        <w:ind w:left="0" w:firstLine="0"/>
        <w:rPr>
          <w:lang w:val="bg-BG"/>
        </w:rPr>
      </w:pPr>
      <w:bookmarkStart w:id="136" w:name="_Toc522030545"/>
      <w:bookmarkStart w:id="137" w:name="_Toc529285530"/>
      <w:r w:rsidRPr="00B73D7E">
        <w:rPr>
          <w:lang w:val="bg-BG"/>
        </w:rPr>
        <w:t>Потенциално въздействие на изменението на климата върху градската среда</w:t>
      </w:r>
      <w:bookmarkEnd w:id="134"/>
      <w:bookmarkEnd w:id="135"/>
      <w:bookmarkEnd w:id="136"/>
      <w:bookmarkEnd w:id="137"/>
    </w:p>
    <w:p w:rsidR="00AA4661" w:rsidRPr="00B73D7E" w:rsidRDefault="00AA4661" w:rsidP="00CF297A">
      <w:pPr>
        <w:pStyle w:val="BodyText"/>
        <w:numPr>
          <w:ilvl w:val="0"/>
          <w:numId w:val="41"/>
        </w:numPr>
        <w:ind w:left="0" w:firstLine="0"/>
        <w:rPr>
          <w:lang w:val="bg-BG"/>
        </w:rPr>
      </w:pPr>
      <w:r w:rsidRPr="00B73D7E">
        <w:rPr>
          <w:lang w:val="bg-BG"/>
        </w:rPr>
        <w:t xml:space="preserve">Потенциалното въздействие на ИК върху градската среда се проучва чрез определени свързани  във времето събития, които е най-вероятно да настъпят в различни райони и градове – екстремни температури (високи и ниски), интензивни валежи и впоследствие – наводнения и свлачища, замърсяване на градските води и въздуха. При приоритизирането на рисковете се отчита сложността на градската среда, въздействието на различните групи фактори, разнообразието от градски територии и градската морфология. </w:t>
      </w:r>
    </w:p>
    <w:p w:rsidR="00AA4661" w:rsidRPr="00B73D7E" w:rsidRDefault="00AA4661" w:rsidP="00CF297A">
      <w:pPr>
        <w:pStyle w:val="BodyText"/>
        <w:numPr>
          <w:ilvl w:val="0"/>
          <w:numId w:val="41"/>
        </w:numPr>
        <w:ind w:left="0" w:firstLine="0"/>
        <w:rPr>
          <w:lang w:val="bg-BG"/>
        </w:rPr>
      </w:pPr>
      <w:r w:rsidRPr="00B73D7E">
        <w:rPr>
          <w:lang w:val="bg-BG"/>
        </w:rPr>
        <w:t xml:space="preserve">В „Анализ и оценка на риска и уязвимостта на секторите в българската икономика от климатичните промени“ (2014 г.) са разгледани шест вида компоненти на градската среда от гледна точка на техните функции и височината на сградите: а) територии с високо застрояване от комплексен тип; б) територии със средно високо застрояване ; в) територии с ниско застрояване; г) индустриални зони; д) територии за озеленяване и рекреация; и е) територии за обществено обслужване. За целите на настоящата оценка тези компоненти са разбити допълнително, за да се определи потенциалното въздействие върху климата и уязвимостта на различните функционални зони, публичните услуги, транспортната и техническата инфраструктура и сградите (вж. </w:t>
      </w:r>
      <w:r w:rsidRPr="00B73D7E">
        <w:rPr>
          <w:b/>
          <w:i/>
          <w:lang w:val="bg-BG"/>
        </w:rPr>
        <w:t>фигури 28</w:t>
      </w:r>
      <w:r w:rsidR="00447FAA" w:rsidRPr="00B73D7E">
        <w:rPr>
          <w:b/>
          <w:i/>
          <w:lang w:val="bg-BG"/>
        </w:rPr>
        <w:t>,</w:t>
      </w:r>
      <w:r w:rsidRPr="00B73D7E">
        <w:rPr>
          <w:b/>
          <w:i/>
          <w:lang w:val="bg-BG"/>
        </w:rPr>
        <w:t xml:space="preserve"> 29</w:t>
      </w:r>
      <w:r w:rsidR="00447FAA" w:rsidRPr="00B73D7E">
        <w:rPr>
          <w:b/>
          <w:i/>
          <w:lang w:val="bg-BG"/>
        </w:rPr>
        <w:t>, 30 и 31</w:t>
      </w:r>
      <w:r w:rsidRPr="00B73D7E">
        <w:rPr>
          <w:lang w:val="bg-BG"/>
        </w:rPr>
        <w:t xml:space="preserve"> в </w:t>
      </w:r>
      <w:r w:rsidRPr="00B73D7E">
        <w:rPr>
          <w:b/>
          <w:i/>
          <w:lang w:val="bg-BG"/>
        </w:rPr>
        <w:t xml:space="preserve">приложение </w:t>
      </w:r>
      <w:r w:rsidR="00447FAA" w:rsidRPr="00B73D7E">
        <w:rPr>
          <w:b/>
          <w:i/>
          <w:lang w:val="bg-BG"/>
        </w:rPr>
        <w:t>6</w:t>
      </w:r>
      <w:r w:rsidRPr="00B73D7E">
        <w:rPr>
          <w:b/>
          <w:bCs/>
          <w:i/>
          <w:iCs/>
          <w:lang w:val="bg-BG"/>
        </w:rPr>
        <w:t xml:space="preserve"> </w:t>
      </w:r>
      <w:r w:rsidRPr="00B73D7E">
        <w:rPr>
          <w:bCs/>
          <w:iCs/>
          <w:lang w:val="bg-BG"/>
        </w:rPr>
        <w:t>и</w:t>
      </w:r>
      <w:r w:rsidRPr="00B73D7E">
        <w:rPr>
          <w:b/>
          <w:bCs/>
          <w:i/>
          <w:iCs/>
          <w:lang w:val="bg-BG"/>
        </w:rPr>
        <w:t xml:space="preserve"> таблица 1</w:t>
      </w:r>
      <w:r w:rsidR="0089623E" w:rsidRPr="00B73D7E">
        <w:rPr>
          <w:b/>
          <w:bCs/>
          <w:i/>
          <w:iCs/>
          <w:lang w:val="bg-BG"/>
        </w:rPr>
        <w:t>9</w:t>
      </w:r>
      <w:r w:rsidRPr="00B73D7E">
        <w:rPr>
          <w:b/>
          <w:bCs/>
          <w:i/>
          <w:iCs/>
          <w:lang w:val="bg-BG"/>
        </w:rPr>
        <w:t xml:space="preserve"> </w:t>
      </w:r>
      <w:r w:rsidRPr="00B73D7E">
        <w:rPr>
          <w:bCs/>
          <w:iCs/>
          <w:lang w:val="bg-BG"/>
        </w:rPr>
        <w:t>в</w:t>
      </w:r>
      <w:r w:rsidRPr="00B73D7E">
        <w:rPr>
          <w:b/>
          <w:bCs/>
          <w:i/>
          <w:iCs/>
          <w:lang w:val="bg-BG"/>
        </w:rPr>
        <w:t xml:space="preserve"> приложение 1</w:t>
      </w:r>
      <w:r w:rsidRPr="00B73D7E">
        <w:rPr>
          <w:b/>
          <w:i/>
          <w:lang w:val="bg-BG"/>
        </w:rPr>
        <w:t>).</w:t>
      </w:r>
    </w:p>
    <w:p w:rsidR="00AA4661" w:rsidRPr="00B73D7E" w:rsidRDefault="00AA4661" w:rsidP="00491557">
      <w:pPr>
        <w:pStyle w:val="Heading4"/>
        <w:rPr>
          <w:lang w:val="bg-BG"/>
        </w:rPr>
      </w:pPr>
      <w:r w:rsidRPr="00B73D7E">
        <w:rPr>
          <w:lang w:val="bg-BG"/>
        </w:rPr>
        <w:t>Екстремни температури</w:t>
      </w:r>
    </w:p>
    <w:p w:rsidR="00AA4661" w:rsidRPr="00B73D7E" w:rsidRDefault="00AA4661" w:rsidP="00CF297A">
      <w:pPr>
        <w:pStyle w:val="BodyText"/>
        <w:numPr>
          <w:ilvl w:val="0"/>
          <w:numId w:val="41"/>
        </w:numPr>
        <w:ind w:left="0" w:firstLine="0"/>
        <w:rPr>
          <w:lang w:val="bg-BG"/>
        </w:rPr>
      </w:pPr>
      <w:r w:rsidRPr="00B73D7E">
        <w:rPr>
          <w:lang w:val="bg-BG"/>
        </w:rPr>
        <w:t xml:space="preserve">Оценката на уязвимостта на градската среда в „Анализ и оценка на риска и уязвимостта на секторите в българската икономика от климатичните промени“ (2014 г.) </w:t>
      </w:r>
      <w:r w:rsidRPr="00B73D7E">
        <w:rPr>
          <w:lang w:val="bg-BG"/>
        </w:rPr>
        <w:lastRenderedPageBreak/>
        <w:t>при сценарии RCP2.6, RCP4.5, RCP6.0 и RCP8.5 IPCC представя очакваните тенденции за периода 2016–2035 г. и степента на уязвимост за шестте идентифицирани вида градски територии, изброени по-горе. Очаква се до края на избрания период средните температури да се повишат с 1,5</w:t>
      </w:r>
      <w:r w:rsidRPr="00B73D7E">
        <w:rPr>
          <w:vertAlign w:val="superscript"/>
          <w:lang w:val="bg-BG"/>
        </w:rPr>
        <w:t>o</w:t>
      </w:r>
      <w:r w:rsidRPr="00B73D7E">
        <w:rPr>
          <w:lang w:val="bg-BG"/>
        </w:rPr>
        <w:t>C –2,0</w:t>
      </w:r>
      <w:r w:rsidRPr="00B73D7E">
        <w:rPr>
          <w:vertAlign w:val="superscript"/>
          <w:lang w:val="bg-BG"/>
        </w:rPr>
        <w:t>o</w:t>
      </w:r>
      <w:r w:rsidRPr="00B73D7E">
        <w:rPr>
          <w:lang w:val="bg-BG"/>
        </w:rPr>
        <w:t>C при всички сценарии, освен при RCP6.0, където очакваното увеличение е оценено на 1,0</w:t>
      </w:r>
      <w:r w:rsidRPr="00B73D7E">
        <w:rPr>
          <w:vertAlign w:val="superscript"/>
          <w:lang w:val="bg-BG"/>
        </w:rPr>
        <w:t>o</w:t>
      </w:r>
      <w:r w:rsidRPr="00B73D7E">
        <w:rPr>
          <w:lang w:val="bg-BG"/>
        </w:rPr>
        <w:t>C –2,0</w:t>
      </w:r>
      <w:r w:rsidRPr="00B73D7E">
        <w:rPr>
          <w:vertAlign w:val="superscript"/>
          <w:lang w:val="bg-BG"/>
        </w:rPr>
        <w:t>o</w:t>
      </w:r>
      <w:r w:rsidRPr="00B73D7E">
        <w:rPr>
          <w:lang w:val="bg-BG"/>
        </w:rPr>
        <w:t xml:space="preserve">C. Изчисленият индекс от 0,87 съответства на категорията „изключително устойчиви“ поради факта, че до 2035 г. не се очакват драстични климатични изменения със значително въздействие върху компонентите и характеристиките на градската среда в страната. </w:t>
      </w:r>
    </w:p>
    <w:p w:rsidR="00AA4661" w:rsidRPr="00B73D7E" w:rsidRDefault="00AA4661" w:rsidP="00CF297A">
      <w:pPr>
        <w:pStyle w:val="BodyText"/>
        <w:numPr>
          <w:ilvl w:val="0"/>
          <w:numId w:val="41"/>
        </w:numPr>
        <w:ind w:left="0" w:firstLine="0"/>
        <w:rPr>
          <w:lang w:val="bg-BG"/>
        </w:rPr>
      </w:pPr>
      <w:r w:rsidRPr="00B73D7E">
        <w:rPr>
          <w:lang w:val="bg-BG"/>
        </w:rPr>
        <w:t>Прогнозирано е процентът на горещите летни дни да се покачи с над 20  процента в повечето градове в Южна България, разположени в равнинни зони. Повишеният брой дни с екстремно високи температури и „топлинните острови“ в градовете ще създаде по-висок риск в жилищните и обществените зони в големите градове с по-голяма плътност на застрояване, по-голяма концентрация на дейности, хора и автомобили, по-малко зеленина и слабо естествено проветряване. Двата най-големи града София и Пловдив, разположени в равнините и заобиколени от планини, ще бъдат най-силно засегнати поради температурните инверсии и образуването на „топлинни острови“. Най-големите градове по Черноморското крайбрежие ще бъдат облагодетелствани от почти постоянната бризова циркулация поради близостта до морето, с изключение на най-гъсто застроените им и отдалечени части в центъра, жилищните квартали и промишлените зони с компактна структура.</w:t>
      </w:r>
    </w:p>
    <w:p w:rsidR="00AA4661" w:rsidRPr="00B73D7E" w:rsidRDefault="00AA4661" w:rsidP="00CF297A">
      <w:pPr>
        <w:pStyle w:val="BodyText"/>
        <w:numPr>
          <w:ilvl w:val="0"/>
          <w:numId w:val="41"/>
        </w:numPr>
        <w:ind w:left="0" w:firstLine="0"/>
        <w:rPr>
          <w:lang w:val="bg-BG"/>
        </w:rPr>
      </w:pPr>
      <w:r w:rsidRPr="00B73D7E">
        <w:rPr>
          <w:lang w:val="bg-BG"/>
        </w:rPr>
        <w:t>Средните и малките градове с преобладаващи индивидуални къщи и добре развити зелени системи, със зелени улици и речни корита, както и водни обекти и течения, ще имат по-добър потенциал за проветряване и охлаждане, а прогнозното въздействие се очаква да е по-ниско. Екстремно високите температури ще имат още по-малко въздействие върху градовете, разположени в планински зони, със сложен и раздвижен релеф, и близкоразположени гори (Смолян, Габрово, Враца, Сливен, Троян, Чепеларе, Казанлък и т.н.).</w:t>
      </w:r>
    </w:p>
    <w:p w:rsidR="00AA4661" w:rsidRPr="00B73D7E" w:rsidRDefault="00AA4661" w:rsidP="00CF297A">
      <w:pPr>
        <w:pStyle w:val="BodyText"/>
        <w:numPr>
          <w:ilvl w:val="0"/>
          <w:numId w:val="41"/>
        </w:numPr>
        <w:ind w:left="0" w:firstLine="0"/>
        <w:rPr>
          <w:lang w:val="bg-BG"/>
        </w:rPr>
      </w:pPr>
      <w:r w:rsidRPr="00B73D7E">
        <w:rPr>
          <w:lang w:val="bg-BG"/>
        </w:rPr>
        <w:t xml:space="preserve">Повишената честота на високите летни температури ще налага по-чести ограничения на движението на тежкотоварни превозни средства, което предизвиква деформация на пътната настилка, включително тази в границите на градовете. Такива периоди ще окажат по-силен натиск върху електроразпределителната система, което е типично както в най-студените, така и в най-топлите периоди. Ще има търсене и на по-големи водни количества, което ще предизвика недостиг на вода и нужда от регулиране на водоподаването. По-високото потребление на вода и електричество ще доведе до по-високи текущи разходи, които дори сега са високи за средния потребител, както и за малките и средните предприятия, чийто бюджет за реновиране на сградната инфраструктура и въвеждане на иновации за ефективно електро- и водопотребление е ограничен. </w:t>
      </w:r>
    </w:p>
    <w:p w:rsidR="00AA4661" w:rsidRPr="00B73D7E" w:rsidRDefault="00AA4661" w:rsidP="00CF297A">
      <w:pPr>
        <w:pStyle w:val="BodyText"/>
        <w:numPr>
          <w:ilvl w:val="0"/>
          <w:numId w:val="41"/>
        </w:numPr>
        <w:ind w:left="0" w:firstLine="0"/>
        <w:rPr>
          <w:lang w:val="bg-BG"/>
        </w:rPr>
      </w:pPr>
      <w:r w:rsidRPr="00B73D7E">
        <w:rPr>
          <w:lang w:val="bg-BG"/>
        </w:rPr>
        <w:t xml:space="preserve">Най-уязвими на риска от екстремно високи температури ще бъдат бедните поради техните примитивни условия на живот, бездомните и възрастните хора с по- чувствителни сърдечно-съдови системи. В допълнение към риска за здравето на градското население в Източна Европа, включително и България, се предвижда </w:t>
      </w:r>
      <w:r w:rsidRPr="00B73D7E">
        <w:rPr>
          <w:lang w:val="bg-BG"/>
        </w:rPr>
        <w:lastRenderedPageBreak/>
        <w:t xml:space="preserve">значителен климатичен дискомфорт. </w:t>
      </w:r>
    </w:p>
    <w:p w:rsidR="00AA4661" w:rsidRPr="00B73D7E" w:rsidRDefault="00AA4661" w:rsidP="00CF297A">
      <w:pPr>
        <w:pStyle w:val="BodyText"/>
        <w:numPr>
          <w:ilvl w:val="0"/>
          <w:numId w:val="41"/>
        </w:numPr>
        <w:ind w:left="0" w:firstLine="0"/>
        <w:rPr>
          <w:lang w:val="bg-BG"/>
        </w:rPr>
      </w:pPr>
      <w:r w:rsidRPr="00B73D7E">
        <w:rPr>
          <w:lang w:val="bg-BG"/>
        </w:rPr>
        <w:t xml:space="preserve">Прогнозите за екстремно ниски температури при почти всички сценарии и модели не се очаква да имат особено високо въздействие върху българските градове поради очакванията за по-меки зими през идните десетилетия. Въпреки това, тези метеорологични събития не следва да се подценяват в страна като България, където почти 60  процента от територията се определя като планинска или полупланинска, а 100 града и 44 процента от градското население обитава такива зони. Продължителните периоди с екстремно ниски температури ще окажат по-неблагоприятно въздействие върху малките градове, разположени на голяма надморска височина, в националната периферия поради тяхната отдалеченост от главните градски центрове, осигуряващи услуги. </w:t>
      </w:r>
    </w:p>
    <w:p w:rsidR="00AA4661" w:rsidRPr="00B73D7E" w:rsidRDefault="00AA4661" w:rsidP="00491557">
      <w:pPr>
        <w:pStyle w:val="Heading4"/>
        <w:rPr>
          <w:lang w:val="bg-BG"/>
        </w:rPr>
      </w:pPr>
      <w:r w:rsidRPr="00B73D7E">
        <w:rPr>
          <w:lang w:val="bg-BG"/>
        </w:rPr>
        <w:t>Интензивни валежи и наводнения</w:t>
      </w:r>
    </w:p>
    <w:p w:rsidR="00AA4661" w:rsidRPr="00B73D7E" w:rsidRDefault="00AA4661" w:rsidP="00CF297A">
      <w:pPr>
        <w:pStyle w:val="BodyText"/>
        <w:numPr>
          <w:ilvl w:val="0"/>
          <w:numId w:val="41"/>
        </w:numPr>
        <w:ind w:left="0" w:firstLine="0"/>
        <w:rPr>
          <w:lang w:val="bg-BG"/>
        </w:rPr>
      </w:pPr>
      <w:r w:rsidRPr="00B73D7E">
        <w:rPr>
          <w:lang w:val="bg-BG"/>
        </w:rPr>
        <w:t xml:space="preserve">Прогнозираните промени в средните годишни валежи за периода 2016–2035 г. при всички сценарии на RCP показват около 10 процента увеличение на валежите за цялата страна. Очаква се интензивните валежи, следвани от продължителните, да повишат риска за градската среда. </w:t>
      </w:r>
    </w:p>
    <w:p w:rsidR="00AA4661" w:rsidRPr="00B73D7E" w:rsidRDefault="00AA4661" w:rsidP="00CF297A">
      <w:pPr>
        <w:pStyle w:val="BodyText"/>
        <w:numPr>
          <w:ilvl w:val="0"/>
          <w:numId w:val="41"/>
        </w:numPr>
        <w:ind w:left="0" w:firstLine="0"/>
        <w:rPr>
          <w:color w:val="000000"/>
          <w:lang w:val="bg-BG"/>
        </w:rPr>
      </w:pPr>
      <w:r w:rsidRPr="00B73D7E">
        <w:rPr>
          <w:lang w:val="bg-BG"/>
        </w:rPr>
        <w:t>Последиците от повишените валежи и честотата на дните с интензивни валежи в градската среда са свързани главно с тяхното местоположение, надморска височина и близост до водни  площи и реки.</w:t>
      </w:r>
      <w:r w:rsidRPr="00B73D7E">
        <w:rPr>
          <w:color w:val="000000"/>
          <w:lang w:val="bg-BG"/>
        </w:rPr>
        <w:t xml:space="preserve"> Това важи главно за градовете покрай река Дунав и тези в близост до реките Марица, Тунджа, Струма, Арда, Янтра и Искър, и по-ниските части на Черноморското крайбрежие. </w:t>
      </w:r>
    </w:p>
    <w:p w:rsidR="00AA4661" w:rsidRPr="00B73D7E" w:rsidRDefault="00AA4661" w:rsidP="00CF297A">
      <w:pPr>
        <w:pStyle w:val="BodyText"/>
        <w:numPr>
          <w:ilvl w:val="0"/>
          <w:numId w:val="41"/>
        </w:numPr>
        <w:ind w:left="0" w:firstLine="0"/>
        <w:rPr>
          <w:color w:val="000000"/>
          <w:lang w:val="bg-BG"/>
        </w:rPr>
      </w:pPr>
      <w:r w:rsidRPr="00B73D7E">
        <w:rPr>
          <w:lang w:val="bg-BG"/>
        </w:rPr>
        <w:t>Предварителните оценки на риска от наводнения, проведени в периода 2013–2014 г., за всички четири басейнови дирекции в страната под контрола на МОСВ, са основани на исторически данни, събрани от местните органи и други източници.</w:t>
      </w:r>
      <w:r w:rsidRPr="00B73D7E">
        <w:rPr>
          <w:color w:val="000000"/>
          <w:lang w:val="bg-BG"/>
        </w:rPr>
        <w:t xml:space="preserve"> Тези изследвания обхващат всички главни наводнения, анализи на неблагоприятните последствия от тях за хората, имуществото, техническата инфраструктура и икономиката. Включени са и прогнози за вероятни бъдещи събития.</w:t>
      </w:r>
      <w:r w:rsidRPr="00B73D7E">
        <w:rPr>
          <w:color w:val="000000"/>
          <w:vertAlign w:val="superscript"/>
          <w:lang w:val="bg-BG"/>
        </w:rPr>
        <w:footnoteReference w:id="47"/>
      </w:r>
      <w:r w:rsidRPr="00B73D7E">
        <w:rPr>
          <w:color w:val="000000"/>
          <w:lang w:val="bg-BG"/>
        </w:rPr>
        <w:t xml:space="preserve"> Според тези оценки има общо 1.903 регистрирани наводнения, за 1</w:t>
      </w:r>
      <w:r w:rsidR="008D2580">
        <w:rPr>
          <w:color w:val="000000"/>
          <w:lang w:val="en-US"/>
        </w:rPr>
        <w:t xml:space="preserve"> </w:t>
      </w:r>
      <w:r w:rsidRPr="00B73D7E">
        <w:rPr>
          <w:color w:val="000000"/>
          <w:lang w:val="bg-BG"/>
        </w:rPr>
        <w:t xml:space="preserve">028 от които се счита, че имат значителни последици, плюс 573 идентифицирани потенциални последици. Те са групирани под четири заглавия според специфични национални критерии – човешко здраве, бизнес дейности, околна среда и културно наследство. Идентифицираните региони със значителен потенциален риск от наводнения за страната са 116, разположени на 3.889 км, включително 11 района с 267 км по Черноморското крайбрежие и 472 км покрай река Дунав. Тези райони обхващат териториите на 453 селища и 4 курорта в 130 общини, които представляват половината от страната, включително столицата София. Следващата стъпка в прилагането на Директивата за наводненията предвижда разработването на подробни карти на опасността от наводнения, указващи равнището на уязвимост за всяко населено място. </w:t>
      </w:r>
    </w:p>
    <w:p w:rsidR="00AA4661" w:rsidRPr="00B73D7E" w:rsidRDefault="00AA4661" w:rsidP="00CF297A">
      <w:pPr>
        <w:pStyle w:val="BodyText"/>
        <w:numPr>
          <w:ilvl w:val="0"/>
          <w:numId w:val="41"/>
        </w:numPr>
        <w:ind w:left="0" w:firstLine="0"/>
        <w:rPr>
          <w:b/>
          <w:color w:val="000000"/>
          <w:lang w:val="bg-BG"/>
        </w:rPr>
      </w:pPr>
      <w:r w:rsidRPr="00B73D7E">
        <w:rPr>
          <w:color w:val="000000"/>
          <w:lang w:val="bg-BG"/>
        </w:rPr>
        <w:t xml:space="preserve">Покачването на нивото на Черно море става най-често през зимата, придружено от морски прилив поради силните северни и североизточни ветрове. Уязвимите зони по </w:t>
      </w:r>
      <w:r w:rsidRPr="00B73D7E">
        <w:rPr>
          <w:color w:val="000000"/>
          <w:lang w:val="bg-BG"/>
        </w:rPr>
        <w:lastRenderedPageBreak/>
        <w:t>крайбрежието са определени чрез географска информационна система (ГИС) от Института по океанология към БАН във Варна и включват по-ниските части на града, зоните покрай река Камчия, Кранево, зоната между Слънчев бряг и Бургас, както и части от защитения от</w:t>
      </w:r>
      <w:r w:rsidRPr="00B73D7E">
        <w:rPr>
          <w:color w:val="222222"/>
          <w:shd w:val="clear" w:color="auto" w:fill="FFFFFF"/>
          <w:lang w:val="bg-BG"/>
        </w:rPr>
        <w:t xml:space="preserve"> Организацията на обединените нации за образование, наука и култура</w:t>
      </w:r>
      <w:r w:rsidRPr="00B73D7E">
        <w:rPr>
          <w:color w:val="000000"/>
          <w:lang w:val="bg-BG"/>
        </w:rPr>
        <w:t xml:space="preserve"> (ЮНЕСКО) град Несебър, Поморие и самия Бургас. Най-уязвими са заливите, отворени на север и на североизток (Палазов, 2015 г.).</w:t>
      </w:r>
    </w:p>
    <w:p w:rsidR="00AA4661" w:rsidRPr="00B73D7E" w:rsidRDefault="00AA4661" w:rsidP="00CF297A">
      <w:pPr>
        <w:pStyle w:val="BodyText"/>
        <w:numPr>
          <w:ilvl w:val="0"/>
          <w:numId w:val="41"/>
        </w:numPr>
        <w:ind w:left="0" w:firstLine="0"/>
        <w:rPr>
          <w:lang w:val="bg-BG"/>
        </w:rPr>
      </w:pPr>
      <w:r w:rsidRPr="00B73D7E">
        <w:rPr>
          <w:lang w:val="bg-BG"/>
        </w:rPr>
        <w:t>Основните причини за наводненията в градската среда, с изключение на интензивните валежи, са лошото състояние на старите канализационни мрежи, големият дял запечатани почви, които не могат да поемат завишените количества повърхностни води, неподходящото озеленяване и оттичане, зле поддържаните речни корита, които отвеждат повърхностните оттоци към застроените зони. Последните се считат за едни от най-основните причини за щетите в много от периферните градски зони. В Столична община  има допълнителен риск от наводнение покрай занемарените части на напоителната система в Софийското поле, използвана и за отводняване преди 25 години.</w:t>
      </w:r>
    </w:p>
    <w:p w:rsidR="00AA4661" w:rsidRPr="00B73D7E" w:rsidRDefault="00AA4661" w:rsidP="00CF297A">
      <w:pPr>
        <w:pStyle w:val="BodyText"/>
        <w:numPr>
          <w:ilvl w:val="0"/>
          <w:numId w:val="41"/>
        </w:numPr>
        <w:ind w:left="0" w:firstLine="0"/>
        <w:rPr>
          <w:lang w:val="bg-BG"/>
        </w:rPr>
      </w:pPr>
      <w:r w:rsidRPr="00B73D7E">
        <w:rPr>
          <w:lang w:val="bg-BG"/>
        </w:rPr>
        <w:t xml:space="preserve">Определените потенциални въздействия от наводнения в градската среда са повредени конструкции и наводнени приземни етажи и мазета на сгради, наводнени публичните открити пространства на по-ниско равнище и пешеходните подлези, смущения в публичния транспорт и движението. Много силните интензивни валежи в комбинация с високи води и допълнителни антропогенни фактори, като например неправилно управление на резервоарите и язовирите, може да имат фатални последици за човешкия живот. </w:t>
      </w:r>
    </w:p>
    <w:p w:rsidR="00AA4661" w:rsidRPr="00B73D7E" w:rsidRDefault="00AA4661" w:rsidP="00CF297A">
      <w:pPr>
        <w:pStyle w:val="BodyText"/>
        <w:numPr>
          <w:ilvl w:val="0"/>
          <w:numId w:val="41"/>
        </w:numPr>
        <w:ind w:left="0" w:firstLine="0"/>
        <w:rPr>
          <w:lang w:val="bg-BG"/>
        </w:rPr>
      </w:pPr>
      <w:r w:rsidRPr="00B73D7E">
        <w:rPr>
          <w:lang w:val="bg-BG"/>
        </w:rPr>
        <w:t xml:space="preserve">Най-уязвими на тези потенциални рискове ще бъдат незаконно застроените жилищни зони в близост до реки и в застрашени от наводнения зони в периферията на големите и средните градове. </w:t>
      </w:r>
    </w:p>
    <w:p w:rsidR="00AA4661" w:rsidRPr="00B73D7E" w:rsidRDefault="00AA4661" w:rsidP="00CF297A">
      <w:pPr>
        <w:pStyle w:val="BodyText"/>
        <w:numPr>
          <w:ilvl w:val="0"/>
          <w:numId w:val="41"/>
        </w:numPr>
        <w:ind w:left="0" w:firstLine="0"/>
        <w:rPr>
          <w:rFonts w:cs="Arial"/>
          <w:szCs w:val="20"/>
          <w:lang w:val="bg-BG"/>
        </w:rPr>
      </w:pPr>
      <w:r w:rsidRPr="00B73D7E">
        <w:rPr>
          <w:lang w:val="bg-BG"/>
        </w:rPr>
        <w:t xml:space="preserve">Потенциалното положително въздействие на увеличените валежи за градската околна среда е свързано с увеличаване на водните ресурси и намаляване на недостига на вода. </w:t>
      </w:r>
    </w:p>
    <w:p w:rsidR="00AA4661" w:rsidRPr="00B73D7E" w:rsidRDefault="00AA4661" w:rsidP="00491557">
      <w:pPr>
        <w:pStyle w:val="Heading4"/>
        <w:rPr>
          <w:lang w:val="bg-BG"/>
        </w:rPr>
      </w:pPr>
      <w:r w:rsidRPr="00B73D7E">
        <w:rPr>
          <w:lang w:val="bg-BG"/>
        </w:rPr>
        <w:t>Свлачища</w:t>
      </w:r>
    </w:p>
    <w:p w:rsidR="00AA4661" w:rsidRPr="00B73D7E" w:rsidRDefault="00AA4661" w:rsidP="00CF297A">
      <w:pPr>
        <w:pStyle w:val="BodyText"/>
        <w:numPr>
          <w:ilvl w:val="0"/>
          <w:numId w:val="41"/>
        </w:numPr>
        <w:ind w:left="0" w:firstLine="0"/>
        <w:rPr>
          <w:lang w:val="bg-BG"/>
        </w:rPr>
      </w:pPr>
      <w:r w:rsidRPr="00B73D7E">
        <w:rPr>
          <w:lang w:val="bg-BG"/>
        </w:rPr>
        <w:t>Тясно свързани с интензивните валежи и наводненията са свлачищата в България. Въпреки задълбочените проучвания, наблюденията и компютърното моделиране, е трудно да се предвиди тяхната активност или взаимосвързаните причини и потенциални въздействия. Сред основните причини са тектоничните и съвременни движения, земетресенията, ерозията, абразията, валежите, снеготопенето и подземните води. Антропогенните фактори – строителните и изкопните работи, остарелите канализационни системи, напояването и вибрациите допълнително провокират свлачища. Около две трети от територията на България има потенциал за реактивиране на свлачища (Berov и колектив, 2002 г.).</w:t>
      </w:r>
    </w:p>
    <w:p w:rsidR="00AA4661" w:rsidRPr="00B73D7E" w:rsidRDefault="00AA4661" w:rsidP="00CF297A">
      <w:pPr>
        <w:pStyle w:val="BodyText"/>
        <w:numPr>
          <w:ilvl w:val="0"/>
          <w:numId w:val="41"/>
        </w:numPr>
        <w:ind w:left="0" w:firstLine="0"/>
        <w:rPr>
          <w:lang w:val="bg-BG"/>
        </w:rPr>
      </w:pPr>
      <w:r w:rsidRPr="00B73D7E">
        <w:rPr>
          <w:lang w:val="bg-BG"/>
        </w:rPr>
        <w:t xml:space="preserve">Според Регистъра на свлачищата в България през 2015 г. в урбанизираните зони на градовете са регистрирани девет нови свлачища. Най-вероятно е те да се активизират в периоди на активни валежи. Сред приоритетите за наблюдение и стабилизиране са </w:t>
      </w:r>
      <w:r w:rsidRPr="00B73D7E">
        <w:rPr>
          <w:lang w:val="bg-BG"/>
        </w:rPr>
        <w:lastRenderedPageBreak/>
        <w:t xml:space="preserve">най-потенциално застрашените зони покрай река Дунав с допълнително въздействие на ерозията, покрай Черноморското крайбрежие поради допълнителното въздействие на абразията и в Източните Родопи. Свлачищата ще засягат сградите и транспортната инфраструктура главно по градската периферия без завършена канализационна система или в зони в близост до речни корита и стръмни склонове. Въздействието може да възникне не само в територии с незаконно изградени жилища с ниско качество, но и в новопостроени луксозни ваканционни селища с плувни басейни със зле проектирани и изпълнени инженерни работи или в нарушение на правилата за строителство. </w:t>
      </w:r>
    </w:p>
    <w:p w:rsidR="00AA4661" w:rsidRPr="00B73D7E" w:rsidRDefault="00AA4661" w:rsidP="00491557">
      <w:pPr>
        <w:pStyle w:val="Heading4"/>
        <w:rPr>
          <w:lang w:val="bg-BG"/>
        </w:rPr>
      </w:pPr>
      <w:r w:rsidRPr="00B73D7E">
        <w:rPr>
          <w:lang w:val="bg-BG"/>
        </w:rPr>
        <w:t>Земетресения</w:t>
      </w:r>
    </w:p>
    <w:p w:rsidR="00AA4661" w:rsidRPr="00B73D7E" w:rsidRDefault="00AA4661" w:rsidP="00CF297A">
      <w:pPr>
        <w:pStyle w:val="BodyText"/>
        <w:numPr>
          <w:ilvl w:val="0"/>
          <w:numId w:val="41"/>
        </w:numPr>
        <w:ind w:left="0" w:firstLine="0"/>
        <w:rPr>
          <w:lang w:val="bg-BG"/>
        </w:rPr>
      </w:pPr>
      <w:r w:rsidRPr="00B73D7E">
        <w:rPr>
          <w:lang w:val="bg-BG"/>
        </w:rPr>
        <w:t xml:space="preserve">Въпреки че не са свързани с изменението на климата, земетресенията могат да доведат до допълнителни бедствия или да влошат въздействията от изменението на климата, като например свлачища, наводнения, злополуки, епидемии и прекъсване на системите за комуникация и транспорт. Очаква се най-трудно да бъде положението в гъсто населените и индустриалните зони на големите градове, както и в зоните със сгради, проектирани и изградени предимно преди въвеждането на съвременните сеизмични норми през 1987 г. и Еврокодовете. </w:t>
      </w:r>
    </w:p>
    <w:p w:rsidR="00AA4661" w:rsidRPr="00B73D7E" w:rsidRDefault="00AA4661" w:rsidP="00CF297A">
      <w:pPr>
        <w:pStyle w:val="BodyText"/>
        <w:numPr>
          <w:ilvl w:val="0"/>
          <w:numId w:val="41"/>
        </w:numPr>
        <w:ind w:left="0" w:firstLine="0"/>
        <w:rPr>
          <w:lang w:val="bg-BG"/>
        </w:rPr>
      </w:pPr>
      <w:r w:rsidRPr="00B73D7E">
        <w:rPr>
          <w:lang w:val="bg-BG"/>
        </w:rPr>
        <w:t xml:space="preserve">Според сеизмичната карта от 1987 г. 98 процента от територията на България е потенциално застрашена от сеизмично въздействие с магнитуди от 7 или повече, включително 51 процента за магнитуд 7, 28 процента за магнитуд 8 и 19 процента за магнитуд 9 и повече. На тези територии живее около 80 процента от общото население на страната. </w:t>
      </w:r>
    </w:p>
    <w:p w:rsidR="00AA4661" w:rsidRPr="00B73D7E" w:rsidRDefault="00AA4661" w:rsidP="00CF297A">
      <w:pPr>
        <w:pStyle w:val="BodyText"/>
        <w:numPr>
          <w:ilvl w:val="0"/>
          <w:numId w:val="41"/>
        </w:numPr>
        <w:ind w:left="0" w:firstLine="0"/>
        <w:rPr>
          <w:lang w:val="bg-BG"/>
        </w:rPr>
      </w:pPr>
      <w:r w:rsidRPr="00B73D7E">
        <w:rPr>
          <w:lang w:val="bg-BG"/>
        </w:rPr>
        <w:t>Потенциалното въздействие върху градската среда се очаква да засегне цялостния градски живот и да нанесе щети върху всички видове сгради и инфраструктура, прекъсване на услугите и транспорта и застрашаване на безопасността на хората. Срутването или щетите по сградите, построени на уличната регулационна линия покрай главни градски транспортни артерии, може допълнително да затрудни спасителните операции и достъпността. Намаляването на риска и уязвимостта на сградите в сектора на градската среда изисква по-интегриран и всеобхватен подход, основан на по-добре информирано за риска планиране на земеползването и контрол на развитието, по-високо качество на проектирането на конструкциите и на строителството, приложени както за нови, така и са стари сгради.</w:t>
      </w:r>
    </w:p>
    <w:p w:rsidR="00AA4661" w:rsidRPr="00B73D7E" w:rsidRDefault="00AA4661" w:rsidP="00CF297A">
      <w:pPr>
        <w:pStyle w:val="BodyText"/>
        <w:numPr>
          <w:ilvl w:val="0"/>
          <w:numId w:val="41"/>
        </w:numPr>
        <w:ind w:left="0" w:firstLine="0"/>
        <w:rPr>
          <w:lang w:val="bg-BG"/>
        </w:rPr>
      </w:pPr>
      <w:r w:rsidRPr="00B73D7E">
        <w:rPr>
          <w:b/>
          <w:lang w:val="bg-BG"/>
        </w:rPr>
        <w:t>Основни констатации.</w:t>
      </w:r>
      <w:r w:rsidRPr="00B73D7E">
        <w:rPr>
          <w:lang w:val="bg-BG"/>
        </w:rPr>
        <w:t xml:space="preserve"> Основните констатации от анализа и оценката на рисковете от изменението на климата и уязвимостта към него са следните:</w:t>
      </w:r>
    </w:p>
    <w:p w:rsidR="00AA4661" w:rsidRPr="00B73D7E" w:rsidRDefault="00AA4661" w:rsidP="00E21095">
      <w:pPr>
        <w:pStyle w:val="Heading5"/>
        <w:keepNext w:val="0"/>
        <w:keepLines w:val="0"/>
        <w:numPr>
          <w:ilvl w:val="0"/>
          <w:numId w:val="3"/>
        </w:numPr>
        <w:spacing w:before="120" w:after="60" w:line="276" w:lineRule="auto"/>
        <w:jc w:val="both"/>
        <w:rPr>
          <w:rStyle w:val="Heading5Char"/>
          <w:rFonts w:ascii="Calibri" w:hAnsi="Calibri"/>
          <w:sz w:val="24"/>
          <w:szCs w:val="24"/>
          <w:u w:val="single"/>
          <w:lang w:val="bg-BG" w:eastAsia="bg-BG"/>
        </w:rPr>
      </w:pPr>
      <w:r w:rsidRPr="00B73D7E">
        <w:rPr>
          <w:rStyle w:val="Heading5Char"/>
          <w:rFonts w:ascii="Calibri" w:hAnsi="Calibri"/>
          <w:sz w:val="24"/>
          <w:szCs w:val="24"/>
          <w:u w:val="single"/>
          <w:lang w:val="bg-BG" w:eastAsia="bg-BG"/>
        </w:rPr>
        <w:t>Екстремни температури:</w:t>
      </w:r>
    </w:p>
    <w:p w:rsidR="00AA4661" w:rsidRPr="00B73D7E" w:rsidRDefault="00AA4661" w:rsidP="00E21095">
      <w:pPr>
        <w:pStyle w:val="ListParagraph1"/>
        <w:numPr>
          <w:ilvl w:val="0"/>
          <w:numId w:val="4"/>
        </w:numPr>
        <w:spacing w:before="60" w:after="60"/>
        <w:ind w:left="1080"/>
        <w:contextualSpacing w:val="0"/>
        <w:jc w:val="both"/>
        <w:rPr>
          <w:rFonts w:ascii="Times New Roman" w:hAnsi="Times New Roman"/>
          <w:sz w:val="24"/>
          <w:szCs w:val="24"/>
          <w:lang w:val="bg-BG"/>
        </w:rPr>
      </w:pPr>
      <w:r w:rsidRPr="00B73D7E">
        <w:rPr>
          <w:rFonts w:ascii="Times New Roman" w:hAnsi="Times New Roman"/>
          <w:b/>
          <w:i/>
          <w:sz w:val="24"/>
          <w:szCs w:val="24"/>
          <w:lang w:val="bg-BG"/>
        </w:rPr>
        <w:t>По-високите температури, водещи до образуването на топлинни острови</w:t>
      </w:r>
      <w:r w:rsidRPr="00B73D7E">
        <w:rPr>
          <w:rFonts w:ascii="Times New Roman" w:hAnsi="Times New Roman"/>
          <w:i/>
          <w:sz w:val="24"/>
          <w:szCs w:val="24"/>
          <w:lang w:val="bg-BG"/>
        </w:rPr>
        <w:t>,</w:t>
      </w:r>
      <w:r w:rsidRPr="00B73D7E">
        <w:rPr>
          <w:rFonts w:ascii="Times New Roman" w:hAnsi="Times New Roman"/>
          <w:sz w:val="24"/>
          <w:szCs w:val="24"/>
          <w:lang w:val="bg-BG"/>
        </w:rPr>
        <w:t xml:space="preserve"> което ще се случва по-често и за по-дълги периоди, ще окажат най-голямо въздействие върху големите градове с повишена плътност и интензивност на застрояване.</w:t>
      </w:r>
    </w:p>
    <w:p w:rsidR="00AA4661" w:rsidRPr="00B73D7E" w:rsidRDefault="00AA4661" w:rsidP="00E21095">
      <w:pPr>
        <w:pStyle w:val="ListParagraph1"/>
        <w:numPr>
          <w:ilvl w:val="0"/>
          <w:numId w:val="4"/>
        </w:numPr>
        <w:spacing w:before="60" w:after="60"/>
        <w:ind w:left="1080"/>
        <w:contextualSpacing w:val="0"/>
        <w:jc w:val="both"/>
        <w:rPr>
          <w:rFonts w:ascii="Times New Roman" w:hAnsi="Times New Roman"/>
          <w:sz w:val="24"/>
          <w:szCs w:val="24"/>
          <w:lang w:val="bg-BG"/>
        </w:rPr>
      </w:pPr>
      <w:r w:rsidRPr="00B73D7E">
        <w:rPr>
          <w:rFonts w:ascii="Times New Roman" w:hAnsi="Times New Roman"/>
          <w:b/>
          <w:i/>
          <w:sz w:val="24"/>
          <w:szCs w:val="24"/>
          <w:lang w:val="bg-BG"/>
        </w:rPr>
        <w:t>Не се очакват чести екстремно ниски температури и студени вълни</w:t>
      </w:r>
      <w:r w:rsidRPr="00B73D7E">
        <w:rPr>
          <w:rFonts w:ascii="Times New Roman" w:hAnsi="Times New Roman"/>
          <w:sz w:val="24"/>
          <w:szCs w:val="24"/>
          <w:lang w:val="bg-BG"/>
        </w:rPr>
        <w:t xml:space="preserve">, но те може да продължават няколко последователни дни и да засегнат живота както в големите, така и в малките планински градове. В съчетание с </w:t>
      </w:r>
      <w:r w:rsidRPr="00B73D7E">
        <w:rPr>
          <w:rFonts w:ascii="Times New Roman" w:hAnsi="Times New Roman"/>
          <w:sz w:val="24"/>
          <w:szCs w:val="24"/>
          <w:lang w:val="bg-BG"/>
        </w:rPr>
        <w:lastRenderedPageBreak/>
        <w:t>изобилен снеговалеж, те могат да застрашат жизненоважни услуги, като например снабдяването  с храна.</w:t>
      </w:r>
    </w:p>
    <w:p w:rsidR="00AA4661" w:rsidRPr="00B73D7E" w:rsidRDefault="00AA4661" w:rsidP="00E21095">
      <w:pPr>
        <w:pStyle w:val="Heading5"/>
        <w:keepNext w:val="0"/>
        <w:keepLines w:val="0"/>
        <w:numPr>
          <w:ilvl w:val="0"/>
          <w:numId w:val="3"/>
        </w:numPr>
        <w:spacing w:before="120" w:after="60" w:line="276" w:lineRule="auto"/>
        <w:jc w:val="both"/>
        <w:rPr>
          <w:rStyle w:val="Heading5Char"/>
          <w:rFonts w:ascii="Calibri" w:hAnsi="Calibri"/>
          <w:sz w:val="24"/>
          <w:szCs w:val="24"/>
          <w:u w:val="single"/>
          <w:lang w:val="bg-BG" w:eastAsia="bg-BG"/>
        </w:rPr>
      </w:pPr>
      <w:r w:rsidRPr="00B73D7E">
        <w:rPr>
          <w:rStyle w:val="Heading5Char"/>
          <w:rFonts w:ascii="Calibri" w:hAnsi="Calibri"/>
          <w:sz w:val="24"/>
          <w:szCs w:val="24"/>
          <w:u w:val="single"/>
          <w:lang w:val="bg-BG" w:eastAsia="bg-BG"/>
        </w:rPr>
        <w:t xml:space="preserve">Интензивни валежи: </w:t>
      </w:r>
    </w:p>
    <w:p w:rsidR="00AA4661" w:rsidRPr="00B73D7E" w:rsidRDefault="00AA4661" w:rsidP="00E21095">
      <w:pPr>
        <w:pStyle w:val="ListParagraph1"/>
        <w:numPr>
          <w:ilvl w:val="0"/>
          <w:numId w:val="6"/>
        </w:numPr>
        <w:spacing w:before="60" w:after="60"/>
        <w:ind w:left="1080"/>
        <w:contextualSpacing w:val="0"/>
        <w:jc w:val="both"/>
        <w:rPr>
          <w:rFonts w:ascii="Times New Roman" w:hAnsi="Times New Roman"/>
          <w:sz w:val="24"/>
          <w:szCs w:val="24"/>
          <w:lang w:val="bg-BG"/>
        </w:rPr>
      </w:pPr>
      <w:r w:rsidRPr="00B73D7E">
        <w:rPr>
          <w:rFonts w:ascii="Times New Roman" w:hAnsi="Times New Roman"/>
          <w:b/>
          <w:i/>
          <w:sz w:val="24"/>
          <w:szCs w:val="24"/>
          <w:lang w:val="bg-BG"/>
        </w:rPr>
        <w:t>Честотата на наводненията ще се повиши и те ще засягат всички населени места и ще причиняват наводнения както в големите градове, така и в малките</w:t>
      </w:r>
      <w:r w:rsidRPr="00B73D7E">
        <w:rPr>
          <w:rFonts w:ascii="Times New Roman" w:hAnsi="Times New Roman"/>
          <w:sz w:val="24"/>
          <w:szCs w:val="24"/>
          <w:lang w:val="bg-BG"/>
        </w:rPr>
        <w:t>. Най-уязвими ще бъдат жилищните райони,  разположени в близост до реки и водоеми, както и кварталите на големи градове, незаконно застроени в периферията им, в застрашени от наводнения зони.</w:t>
      </w:r>
    </w:p>
    <w:p w:rsidR="00AA4661" w:rsidRPr="00B73D7E" w:rsidRDefault="00AA4661" w:rsidP="00E21095">
      <w:pPr>
        <w:pStyle w:val="ListParagraph1"/>
        <w:numPr>
          <w:ilvl w:val="0"/>
          <w:numId w:val="5"/>
        </w:numPr>
        <w:spacing w:before="60" w:after="60"/>
        <w:contextualSpacing w:val="0"/>
        <w:jc w:val="both"/>
        <w:rPr>
          <w:rFonts w:ascii="Times New Roman" w:hAnsi="Times New Roman"/>
          <w:sz w:val="24"/>
          <w:szCs w:val="24"/>
          <w:lang w:val="bg-BG"/>
        </w:rPr>
      </w:pPr>
      <w:r w:rsidRPr="00B73D7E">
        <w:rPr>
          <w:rFonts w:ascii="Times New Roman" w:hAnsi="Times New Roman"/>
          <w:b/>
          <w:i/>
          <w:sz w:val="24"/>
          <w:szCs w:val="24"/>
          <w:lang w:val="bg-BG"/>
        </w:rPr>
        <w:t>Градушките, които често са комбинирани с интензивни валежи</w:t>
      </w:r>
      <w:r w:rsidRPr="00B73D7E">
        <w:rPr>
          <w:rFonts w:ascii="Times New Roman" w:hAnsi="Times New Roman"/>
          <w:sz w:val="24"/>
          <w:szCs w:val="24"/>
          <w:lang w:val="bg-BG"/>
        </w:rPr>
        <w:t>, също ще причиняват наводнения в градовете и щети върху сгради, автомобили, публичен транспорт и инфраструктура.</w:t>
      </w:r>
    </w:p>
    <w:p w:rsidR="00AA4661" w:rsidRPr="00B73D7E" w:rsidRDefault="00AA4661" w:rsidP="00E21095">
      <w:pPr>
        <w:pStyle w:val="ListParagraph1"/>
        <w:numPr>
          <w:ilvl w:val="0"/>
          <w:numId w:val="5"/>
        </w:numPr>
        <w:spacing w:before="60" w:after="60"/>
        <w:contextualSpacing w:val="0"/>
        <w:jc w:val="both"/>
        <w:rPr>
          <w:rFonts w:ascii="Times New Roman" w:hAnsi="Times New Roman"/>
          <w:sz w:val="24"/>
          <w:szCs w:val="24"/>
          <w:lang w:val="bg-BG"/>
        </w:rPr>
      </w:pPr>
      <w:r w:rsidRPr="00B73D7E">
        <w:rPr>
          <w:rFonts w:ascii="Times New Roman" w:hAnsi="Times New Roman"/>
          <w:b/>
          <w:i/>
          <w:sz w:val="24"/>
          <w:szCs w:val="24"/>
          <w:lang w:val="bg-BG"/>
        </w:rPr>
        <w:t>Продължителните валежи, комбинирани с повишаване на равнищата на подпочвените води или просмукване на отпадъчни води, както и някои допълнителни антропогенни фактори, ще активират свлачища</w:t>
      </w:r>
      <w:r w:rsidRPr="00B73D7E">
        <w:rPr>
          <w:rFonts w:ascii="Times New Roman" w:hAnsi="Times New Roman"/>
          <w:sz w:val="24"/>
          <w:szCs w:val="24"/>
          <w:lang w:val="bg-BG"/>
        </w:rPr>
        <w:t>, особено в най-чувствителните зони на черноморските и дунавските градове. Допълнителни влошаващи фактори в това отношение са абразията и ерозията.</w:t>
      </w:r>
    </w:p>
    <w:p w:rsidR="00AA4661" w:rsidRPr="00B73D7E" w:rsidRDefault="00AA4661" w:rsidP="00E21095">
      <w:pPr>
        <w:pStyle w:val="ListParagraph1"/>
        <w:numPr>
          <w:ilvl w:val="0"/>
          <w:numId w:val="5"/>
        </w:numPr>
        <w:spacing w:before="60" w:after="60"/>
        <w:contextualSpacing w:val="0"/>
        <w:jc w:val="both"/>
        <w:rPr>
          <w:rFonts w:ascii="Times New Roman" w:hAnsi="Times New Roman"/>
          <w:sz w:val="24"/>
          <w:szCs w:val="24"/>
          <w:lang w:val="bg-BG"/>
        </w:rPr>
      </w:pPr>
      <w:r w:rsidRPr="00B73D7E">
        <w:rPr>
          <w:rFonts w:ascii="Times New Roman" w:hAnsi="Times New Roman"/>
          <w:b/>
          <w:i/>
          <w:sz w:val="24"/>
          <w:szCs w:val="24"/>
          <w:lang w:val="bg-BG"/>
        </w:rPr>
        <w:t>Свлачища могат да се провокират от типичните за страната земетресения.</w:t>
      </w:r>
      <w:r w:rsidRPr="00B73D7E">
        <w:rPr>
          <w:rFonts w:ascii="Times New Roman" w:hAnsi="Times New Roman"/>
          <w:sz w:val="24"/>
          <w:szCs w:val="24"/>
          <w:lang w:val="bg-BG"/>
        </w:rPr>
        <w:t xml:space="preserve"> Въпреки че земетресенията не са свързани с изменение на климата, голямото им въздействие върху градската среда и живота на хората следва да бъде отчетено в процеса по адаптиране.</w:t>
      </w:r>
    </w:p>
    <w:p w:rsidR="00491557" w:rsidRPr="00B73D7E" w:rsidRDefault="00491557">
      <w:pPr>
        <w:spacing w:after="0"/>
        <w:rPr>
          <w:rStyle w:val="Heading5Char"/>
          <w:rFonts w:ascii="Calibri" w:hAnsi="Calibri"/>
          <w:sz w:val="24"/>
          <w:szCs w:val="24"/>
          <w:u w:val="single"/>
          <w:lang w:eastAsia="bg-BG"/>
        </w:rPr>
      </w:pPr>
      <w:r w:rsidRPr="00F8728A">
        <w:rPr>
          <w:rStyle w:val="Heading5Char"/>
          <w:rFonts w:ascii="Calibri" w:hAnsi="Calibri"/>
          <w:sz w:val="24"/>
          <w:szCs w:val="24"/>
          <w:u w:val="single"/>
          <w:lang w:eastAsia="bg-BG"/>
        </w:rPr>
        <w:br w:type="page"/>
      </w:r>
    </w:p>
    <w:p w:rsidR="00AA4661" w:rsidRPr="00B73D7E" w:rsidRDefault="00AA4661" w:rsidP="00E21095">
      <w:pPr>
        <w:pStyle w:val="Heading5"/>
        <w:keepNext w:val="0"/>
        <w:keepLines w:val="0"/>
        <w:numPr>
          <w:ilvl w:val="0"/>
          <w:numId w:val="3"/>
        </w:numPr>
        <w:spacing w:before="120" w:after="60" w:line="276" w:lineRule="auto"/>
        <w:jc w:val="both"/>
        <w:rPr>
          <w:rStyle w:val="Heading5Char"/>
          <w:rFonts w:ascii="Calibri" w:hAnsi="Calibri"/>
          <w:sz w:val="24"/>
          <w:szCs w:val="24"/>
          <w:u w:val="single"/>
          <w:lang w:val="bg-BG" w:eastAsia="bg-BG"/>
        </w:rPr>
      </w:pPr>
      <w:r w:rsidRPr="00B73D7E">
        <w:rPr>
          <w:rStyle w:val="Heading5Char"/>
          <w:rFonts w:ascii="Calibri" w:hAnsi="Calibri"/>
          <w:sz w:val="24"/>
          <w:szCs w:val="24"/>
          <w:u w:val="single"/>
          <w:lang w:val="bg-BG" w:eastAsia="bg-BG"/>
        </w:rPr>
        <w:lastRenderedPageBreak/>
        <w:t xml:space="preserve">Недостиг на вода: </w:t>
      </w:r>
    </w:p>
    <w:p w:rsidR="00AA4661" w:rsidRPr="00B73D7E" w:rsidRDefault="00AA4661" w:rsidP="00E21095">
      <w:pPr>
        <w:pStyle w:val="ListParagraph1"/>
        <w:numPr>
          <w:ilvl w:val="0"/>
          <w:numId w:val="7"/>
        </w:numPr>
        <w:spacing w:before="60"/>
        <w:ind w:left="1080"/>
        <w:contextualSpacing w:val="0"/>
        <w:jc w:val="both"/>
        <w:rPr>
          <w:rFonts w:ascii="Times New Roman" w:hAnsi="Times New Roman"/>
          <w:sz w:val="24"/>
          <w:szCs w:val="24"/>
          <w:lang w:val="bg-BG"/>
        </w:rPr>
      </w:pPr>
      <w:r w:rsidRPr="00B73D7E">
        <w:rPr>
          <w:rFonts w:ascii="Times New Roman" w:hAnsi="Times New Roman"/>
          <w:b/>
          <w:i/>
          <w:sz w:val="24"/>
          <w:szCs w:val="24"/>
          <w:lang w:val="bg-BG"/>
        </w:rPr>
        <w:t>Високите температури в съчетание със засушавания ще повишат водния стрес</w:t>
      </w:r>
      <w:r w:rsidRPr="00B73D7E">
        <w:rPr>
          <w:rFonts w:ascii="Times New Roman" w:hAnsi="Times New Roman"/>
          <w:sz w:val="24"/>
          <w:szCs w:val="24"/>
          <w:lang w:val="bg-BG"/>
        </w:rPr>
        <w:t xml:space="preserve"> </w:t>
      </w:r>
      <w:r w:rsidRPr="00B73D7E">
        <w:rPr>
          <w:rFonts w:ascii="Times New Roman" w:hAnsi="Times New Roman"/>
          <w:color w:val="000000"/>
          <w:sz w:val="24"/>
          <w:szCs w:val="24"/>
          <w:lang w:val="bg-BG"/>
        </w:rPr>
        <w:t>в селища с недостиг на вода и остарели водопроводни мрежи, които водят до загуба на големи количества вода.</w:t>
      </w:r>
    </w:p>
    <w:p w:rsidR="00AA4661" w:rsidRPr="00B73D7E" w:rsidRDefault="00AA4661" w:rsidP="00CF297A">
      <w:pPr>
        <w:pStyle w:val="BodyText"/>
        <w:numPr>
          <w:ilvl w:val="0"/>
          <w:numId w:val="41"/>
        </w:numPr>
        <w:ind w:left="0" w:firstLine="0"/>
        <w:rPr>
          <w:lang w:val="bg-BG"/>
        </w:rPr>
      </w:pPr>
      <w:r w:rsidRPr="00B73D7E">
        <w:rPr>
          <w:lang w:val="bg-BG"/>
        </w:rPr>
        <w:t>Екстремните метеорологични явления по-значително ще засегнат рисковото население - живеещите под линията на бедност и под жилищните стандарти, възрастните, болните - по-голяма част от които са концентрирани в националната или градската периферия.</w:t>
      </w:r>
    </w:p>
    <w:p w:rsidR="00AA4661" w:rsidRPr="00B73D7E" w:rsidRDefault="00AA4661" w:rsidP="00CF297A">
      <w:pPr>
        <w:pStyle w:val="BodyText"/>
        <w:numPr>
          <w:ilvl w:val="0"/>
          <w:numId w:val="41"/>
        </w:numPr>
        <w:ind w:left="0" w:firstLine="0"/>
        <w:rPr>
          <w:lang w:val="bg-BG"/>
        </w:rPr>
      </w:pPr>
      <w:r w:rsidRPr="00B73D7E">
        <w:rPr>
          <w:lang w:val="bg-BG"/>
        </w:rPr>
        <w:t xml:space="preserve">Оценката на риска от изменение на климата е представена в </w:t>
      </w:r>
      <w:r w:rsidRPr="00B73D7E">
        <w:rPr>
          <w:b/>
          <w:i/>
          <w:lang w:val="bg-BG"/>
        </w:rPr>
        <w:t>таблица 6</w:t>
      </w:r>
      <w:r w:rsidRPr="00B73D7E">
        <w:rPr>
          <w:lang w:val="bg-BG"/>
        </w:rPr>
        <w:t xml:space="preserve"> и обобщава основните изводи.</w:t>
      </w:r>
    </w:p>
    <w:p w:rsidR="00AA4661" w:rsidRPr="00F8728A" w:rsidRDefault="00AA4661" w:rsidP="00B73D7E">
      <w:pPr>
        <w:pStyle w:val="FiguresTablesCaption"/>
      </w:pPr>
      <w:bookmarkStart w:id="138" w:name="_Toc529286633"/>
      <w:r w:rsidRPr="00F8728A">
        <w:t xml:space="preserve">Таблица </w:t>
      </w:r>
      <w:r w:rsidRPr="00F8728A">
        <w:fldChar w:fldCharType="begin"/>
      </w:r>
      <w:r w:rsidRPr="00F8728A">
        <w:instrText xml:space="preserve"> SEQ Table \* ARABIC </w:instrText>
      </w:r>
      <w:r w:rsidRPr="00F8728A">
        <w:fldChar w:fldCharType="separate"/>
      </w:r>
      <w:r w:rsidRPr="00F8728A">
        <w:t>6</w:t>
      </w:r>
      <w:r w:rsidRPr="00F8728A">
        <w:fldChar w:fldCharType="end"/>
      </w:r>
      <w:r w:rsidRPr="00F8728A">
        <w:t>. Потенциални преки рискове и възможности за сектора на градската среда</w:t>
      </w:r>
      <w:bookmarkEnd w:id="138"/>
    </w:p>
    <w:tbl>
      <w:tblPr>
        <w:tblW w:w="899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0A0" w:firstRow="1" w:lastRow="0" w:firstColumn="1" w:lastColumn="0" w:noHBand="0" w:noVBand="0"/>
      </w:tblPr>
      <w:tblGrid>
        <w:gridCol w:w="1615"/>
        <w:gridCol w:w="4950"/>
        <w:gridCol w:w="2430"/>
      </w:tblGrid>
      <w:tr w:rsidR="00AA4661" w:rsidRPr="00F8728A" w:rsidTr="00AB17D5">
        <w:trPr>
          <w:tblHeader/>
          <w:jc w:val="center"/>
        </w:trPr>
        <w:tc>
          <w:tcPr>
            <w:tcW w:w="1615" w:type="dxa"/>
            <w:shd w:val="clear" w:color="auto" w:fill="365F91"/>
            <w:vAlign w:val="center"/>
          </w:tcPr>
          <w:p w:rsidR="00AA4661" w:rsidRPr="00F8728A" w:rsidRDefault="00AA4661" w:rsidP="00D67CE3">
            <w:pPr>
              <w:spacing w:before="60" w:after="60"/>
              <w:jc w:val="center"/>
              <w:rPr>
                <w:rFonts w:ascii="Calibri" w:hAnsi="Calibri" w:cs="Calibri"/>
                <w:b/>
                <w:color w:val="FFFFFF"/>
                <w:sz w:val="22"/>
              </w:rPr>
            </w:pPr>
            <w:r w:rsidRPr="00F8728A">
              <w:rPr>
                <w:rFonts w:ascii="Calibri" w:hAnsi="Calibri" w:cs="Calibri"/>
                <w:b/>
                <w:color w:val="FFFFFF"/>
                <w:sz w:val="22"/>
              </w:rPr>
              <w:t>Градска среда</w:t>
            </w:r>
          </w:p>
        </w:tc>
        <w:tc>
          <w:tcPr>
            <w:tcW w:w="4950" w:type="dxa"/>
            <w:shd w:val="clear" w:color="auto" w:fill="365F91"/>
            <w:vAlign w:val="center"/>
          </w:tcPr>
          <w:p w:rsidR="00AA4661" w:rsidRPr="00F8728A" w:rsidRDefault="00AA4661" w:rsidP="00123161">
            <w:pPr>
              <w:spacing w:before="20" w:after="20"/>
              <w:jc w:val="center"/>
              <w:rPr>
                <w:rFonts w:ascii="Calibri" w:hAnsi="Calibri" w:cs="Calibri"/>
                <w:b/>
                <w:color w:val="FFFFFF"/>
                <w:sz w:val="22"/>
              </w:rPr>
            </w:pPr>
            <w:r w:rsidRPr="00F8728A">
              <w:rPr>
                <w:rFonts w:ascii="Calibri" w:hAnsi="Calibri" w:cs="Calibri"/>
                <w:b/>
                <w:color w:val="FFFFFF"/>
                <w:sz w:val="22"/>
              </w:rPr>
              <w:t>Рискове</w:t>
            </w:r>
          </w:p>
        </w:tc>
        <w:tc>
          <w:tcPr>
            <w:tcW w:w="2430" w:type="dxa"/>
            <w:shd w:val="clear" w:color="auto" w:fill="365F91"/>
            <w:vAlign w:val="center"/>
          </w:tcPr>
          <w:p w:rsidR="00AA4661" w:rsidRPr="00F8728A" w:rsidRDefault="00AA4661" w:rsidP="00123161">
            <w:pPr>
              <w:spacing w:before="20" w:after="20"/>
              <w:jc w:val="center"/>
              <w:rPr>
                <w:rFonts w:ascii="Calibri" w:hAnsi="Calibri" w:cs="Calibri"/>
                <w:b/>
                <w:color w:val="FFFFFF"/>
                <w:sz w:val="22"/>
              </w:rPr>
            </w:pPr>
            <w:r w:rsidRPr="00F8728A">
              <w:rPr>
                <w:rFonts w:ascii="Calibri" w:hAnsi="Calibri" w:cs="Calibri"/>
                <w:b/>
                <w:color w:val="FFFFFF"/>
                <w:sz w:val="22"/>
              </w:rPr>
              <w:t>Възможности</w:t>
            </w:r>
          </w:p>
        </w:tc>
      </w:tr>
      <w:tr w:rsidR="00AA4661" w:rsidRPr="00F8728A" w:rsidTr="00AB17D5">
        <w:trPr>
          <w:jc w:val="center"/>
        </w:trPr>
        <w:tc>
          <w:tcPr>
            <w:tcW w:w="1615" w:type="dxa"/>
            <w:vMerge w:val="restart"/>
            <w:shd w:val="clear" w:color="auto" w:fill="B8CCE4"/>
            <w:vAlign w:val="center"/>
          </w:tcPr>
          <w:p w:rsidR="00AA4661" w:rsidRPr="00F8728A" w:rsidRDefault="00AA4661" w:rsidP="00123161">
            <w:pPr>
              <w:spacing w:before="20" w:after="20"/>
              <w:jc w:val="center"/>
              <w:rPr>
                <w:rFonts w:ascii="Calibri" w:hAnsi="Calibri" w:cs="Calibri"/>
                <w:b/>
                <w:sz w:val="22"/>
              </w:rPr>
            </w:pPr>
            <w:r w:rsidRPr="00F8728A">
              <w:rPr>
                <w:rFonts w:ascii="Calibri" w:hAnsi="Calibri" w:cs="Calibri"/>
                <w:b/>
                <w:sz w:val="22"/>
              </w:rPr>
              <w:t>Екстремно високи температури (включително топлинни вълни)</w:t>
            </w: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 xml:space="preserve">Здравни проблеми на по-възрастното население, особено на това, живеещо в жилища с нисък стандарт, и на малките деца </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 xml:space="preserve">Проблеми за здравето и безопасността на работниците на открито (например топлинен удар) </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vAlign w:val="center"/>
          </w:tcPr>
          <w:p w:rsidR="00AA4661" w:rsidRPr="00F8728A" w:rsidRDefault="00AA4661" w:rsidP="008B7070">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Неефективно използване на</w:t>
            </w:r>
            <w:r w:rsidR="008B7070" w:rsidRPr="00F8728A">
              <w:rPr>
                <w:rFonts w:ascii="Calibri" w:hAnsi="Calibri" w:cs="Calibri"/>
                <w:szCs w:val="22"/>
                <w:lang w:val="bg-BG" w:eastAsia="en-US"/>
              </w:rPr>
              <w:t xml:space="preserve"> </w:t>
            </w:r>
            <w:r w:rsidRPr="00F8728A">
              <w:rPr>
                <w:rFonts w:ascii="Calibri" w:hAnsi="Calibri" w:cs="Calibri"/>
                <w:szCs w:val="22"/>
                <w:lang w:val="bg-BG" w:eastAsia="en-US"/>
              </w:rPr>
              <w:t xml:space="preserve">ООП поради влошаване на микроклиматичните условия и климатичен дискомфорт </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По-голям натиск върху парковете и градините, и съоръженията за водни спортове, поради повишения брой посетители</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По-висока нужда от електроснабдяване за охладителните системи на жилищните и обществените сгради през лятото</w:t>
            </w:r>
          </w:p>
        </w:tc>
        <w:tc>
          <w:tcPr>
            <w:tcW w:w="2430" w:type="dxa"/>
            <w:vAlign w:val="center"/>
          </w:tcPr>
          <w:p w:rsidR="00AA4661" w:rsidRPr="00F8728A" w:rsidRDefault="00AA4661" w:rsidP="00E21095">
            <w:pPr>
              <w:pStyle w:val="ListParagraph1"/>
              <w:numPr>
                <w:ilvl w:val="0"/>
                <w:numId w:val="2"/>
              </w:numPr>
              <w:tabs>
                <w:tab w:val="left" w:pos="313"/>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По-малка нужда от електроснабдяване за отоплителните системи на жилищните и публичните сгради през по-топли зими</w:t>
            </w: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Градски пожари в зони в близост до селскостопански територии</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 xml:space="preserve">Увреждане и деформация на уличното асфалтово покритие, което възпрепятства градския трафик и мобилността </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val="restart"/>
            <w:shd w:val="clear" w:color="auto" w:fill="B8CCE4"/>
            <w:vAlign w:val="center"/>
          </w:tcPr>
          <w:p w:rsidR="00AA4661" w:rsidRPr="00F8728A" w:rsidRDefault="00AA4661" w:rsidP="00123161">
            <w:pPr>
              <w:spacing w:before="20" w:after="20"/>
              <w:jc w:val="center"/>
              <w:rPr>
                <w:rFonts w:ascii="Calibri" w:hAnsi="Calibri" w:cs="Calibri"/>
                <w:b/>
                <w:sz w:val="22"/>
              </w:rPr>
            </w:pPr>
            <w:r w:rsidRPr="00F8728A">
              <w:rPr>
                <w:rFonts w:ascii="Calibri" w:hAnsi="Calibri" w:cs="Calibri"/>
                <w:b/>
                <w:sz w:val="22"/>
              </w:rPr>
              <w:t>Екстремно ниски температури (включително студени вълни)</w:t>
            </w: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Здравни проблеми на по-възрастното население, особено на това, живеещо в жилища с нисък стандарт, и на бездомните хора</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 xml:space="preserve">Проблеми със здравето и безопасността за строителните работници, работещи на открито </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cantSplit/>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 xml:space="preserve">Неефективно използване на ООП поради екстремно ниски температури и климатичен дискомфорт </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 xml:space="preserve">По-висока нужда от електроснабдяване за отоплителните системи на жилищните и </w:t>
            </w:r>
            <w:r w:rsidRPr="00F8728A">
              <w:rPr>
                <w:rFonts w:ascii="Calibri" w:hAnsi="Calibri" w:cs="Calibri"/>
                <w:szCs w:val="22"/>
                <w:lang w:val="bg-BG" w:eastAsia="en-US"/>
              </w:rPr>
              <w:lastRenderedPageBreak/>
              <w:t>обществените сгради</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Засилен трафик и рискове за мобилността поради възможно заледяване на улиците</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rPr>
                <w:rFonts w:ascii="Calibri" w:hAnsi="Calibri" w:cs="Calibri"/>
                <w:color w:val="000000"/>
                <w:szCs w:val="22"/>
                <w:lang w:val="bg-BG" w:eastAsia="en-US"/>
              </w:rPr>
            </w:pPr>
            <w:r w:rsidRPr="00F8728A">
              <w:rPr>
                <w:rFonts w:ascii="Calibri" w:hAnsi="Calibri" w:cs="Calibri"/>
                <w:color w:val="000000"/>
                <w:szCs w:val="22"/>
                <w:lang w:val="bg-BG" w:eastAsia="en-US"/>
              </w:rPr>
              <w:t>Прекъснати електропроводи поради обледяване или спиране на електроснабдяването</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val="restart"/>
            <w:shd w:val="clear" w:color="auto" w:fill="B8CCE4"/>
            <w:vAlign w:val="center"/>
          </w:tcPr>
          <w:p w:rsidR="00AA4661" w:rsidRPr="00F8728A" w:rsidRDefault="00AA4661" w:rsidP="00123161">
            <w:pPr>
              <w:spacing w:before="20" w:after="20"/>
              <w:jc w:val="center"/>
              <w:rPr>
                <w:rFonts w:ascii="Calibri" w:hAnsi="Calibri" w:cs="Calibri"/>
                <w:b/>
                <w:sz w:val="22"/>
              </w:rPr>
            </w:pPr>
            <w:r w:rsidRPr="00F8728A">
              <w:rPr>
                <w:rFonts w:ascii="Calibri" w:hAnsi="Calibri" w:cs="Calibri"/>
                <w:b/>
                <w:sz w:val="22"/>
              </w:rPr>
              <w:t>Повишени валежи и влажност</w:t>
            </w: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color w:val="000000"/>
                <w:szCs w:val="22"/>
                <w:lang w:val="bg-BG" w:eastAsia="en-US"/>
              </w:rPr>
            </w:pPr>
            <w:r w:rsidRPr="00F8728A">
              <w:rPr>
                <w:rFonts w:ascii="Calibri" w:hAnsi="Calibri" w:cs="Calibri"/>
                <w:color w:val="000000"/>
                <w:szCs w:val="22"/>
                <w:lang w:val="bg-BG" w:eastAsia="en-US"/>
              </w:rPr>
              <w:t>Наводнение на приземни етажи на частни и обществени сгради</w:t>
            </w:r>
          </w:p>
        </w:tc>
        <w:tc>
          <w:tcPr>
            <w:tcW w:w="2430" w:type="dxa"/>
            <w:vAlign w:val="center"/>
          </w:tcPr>
          <w:p w:rsidR="00AA4661" w:rsidRPr="00F8728A" w:rsidRDefault="00AA4661" w:rsidP="00E21095">
            <w:pPr>
              <w:pStyle w:val="ListParagraph1"/>
              <w:numPr>
                <w:ilvl w:val="0"/>
                <w:numId w:val="2"/>
              </w:numPr>
              <w:tabs>
                <w:tab w:val="left" w:pos="313"/>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Намалено замърсяване на въздуха след дъжд</w:t>
            </w: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color w:val="000000"/>
                <w:szCs w:val="22"/>
                <w:lang w:val="bg-BG" w:eastAsia="en-US"/>
              </w:rPr>
            </w:pPr>
            <w:r w:rsidRPr="00F8728A">
              <w:rPr>
                <w:rFonts w:ascii="Calibri" w:hAnsi="Calibri" w:cs="Calibri"/>
                <w:color w:val="000000"/>
                <w:szCs w:val="22"/>
                <w:lang w:val="bg-BG" w:eastAsia="en-US"/>
              </w:rPr>
              <w:t xml:space="preserve">По-слабо използване на наводнени ООП </w:t>
            </w:r>
          </w:p>
        </w:tc>
        <w:tc>
          <w:tcPr>
            <w:tcW w:w="2430" w:type="dxa"/>
            <w:shd w:val="clear" w:color="auto" w:fill="F2F2F2"/>
            <w:vAlign w:val="center"/>
          </w:tcPr>
          <w:p w:rsidR="00AA4661" w:rsidRPr="00F8728A" w:rsidRDefault="00AA4661" w:rsidP="00E21095">
            <w:pPr>
              <w:pStyle w:val="ListParagraph1"/>
              <w:numPr>
                <w:ilvl w:val="0"/>
                <w:numId w:val="2"/>
              </w:numPr>
              <w:tabs>
                <w:tab w:val="left" w:pos="313"/>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По-малка нужда от вода за напояване на паркове, градини и градски зелени зони</w:t>
            </w: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rPr>
                <w:rFonts w:ascii="Calibri" w:hAnsi="Calibri" w:cs="Calibri"/>
                <w:color w:val="000000"/>
                <w:szCs w:val="22"/>
                <w:lang w:val="bg-BG" w:eastAsia="en-US"/>
              </w:rPr>
            </w:pPr>
            <w:r w:rsidRPr="00F8728A">
              <w:rPr>
                <w:rFonts w:ascii="Calibri" w:hAnsi="Calibri" w:cs="Calibri"/>
                <w:color w:val="000000"/>
                <w:szCs w:val="22"/>
                <w:lang w:val="bg-BG" w:eastAsia="en-US"/>
              </w:rPr>
              <w:t>Натиск от повърхностни води в градските канализационни системи и потенциално замърсяване на резервоарите за питейна вода</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rPr>
                <w:rFonts w:ascii="Calibri" w:hAnsi="Calibri" w:cs="Calibri"/>
                <w:color w:val="000000"/>
                <w:szCs w:val="22"/>
                <w:lang w:val="bg-BG" w:eastAsia="en-US"/>
              </w:rPr>
            </w:pPr>
            <w:r w:rsidRPr="00F8728A">
              <w:rPr>
                <w:rFonts w:ascii="Calibri" w:hAnsi="Calibri" w:cs="Calibri"/>
                <w:color w:val="000000"/>
                <w:szCs w:val="22"/>
                <w:lang w:val="bg-BG" w:eastAsia="en-US"/>
              </w:rPr>
              <w:t>Потенциални смущения на движението на обществения транспорт поради наводнение на улици и/или злополуки</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rPr>
                <w:rFonts w:ascii="Calibri" w:hAnsi="Calibri" w:cs="Calibri"/>
                <w:szCs w:val="22"/>
                <w:lang w:val="bg-BG" w:eastAsia="en-US"/>
              </w:rPr>
            </w:pPr>
            <w:r w:rsidRPr="00F8728A">
              <w:rPr>
                <w:rFonts w:ascii="Calibri" w:hAnsi="Calibri" w:cs="Calibri"/>
                <w:szCs w:val="22"/>
                <w:lang w:val="bg-BG" w:eastAsia="en-US"/>
              </w:rPr>
              <w:t xml:space="preserve">Щети за археологичните обекти и паметниците на културата </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rPr>
                <w:rFonts w:ascii="Calibri" w:hAnsi="Calibri" w:cs="Calibri"/>
                <w:szCs w:val="22"/>
                <w:lang w:val="bg-BG" w:eastAsia="en-US"/>
              </w:rPr>
            </w:pPr>
            <w:r w:rsidRPr="00F8728A">
              <w:rPr>
                <w:rFonts w:ascii="Calibri" w:hAnsi="Calibri" w:cs="Calibri"/>
                <w:szCs w:val="22"/>
                <w:lang w:val="bg-BG" w:eastAsia="en-US"/>
              </w:rPr>
              <w:t>Загуба на човешки живот в градски жилищни квартали, застроени в близост до реки, повишен риск от смъртност особено за най-уязвимото население – възрастни, болни, бедни хора, хора, живеещи в застрашени от наводнения зони</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val="restart"/>
            <w:shd w:val="clear" w:color="auto" w:fill="B8CCE4"/>
            <w:vAlign w:val="center"/>
          </w:tcPr>
          <w:p w:rsidR="00AA4661" w:rsidRPr="00F8728A" w:rsidRDefault="00AA4661" w:rsidP="00123161">
            <w:pPr>
              <w:spacing w:before="20" w:after="20"/>
              <w:jc w:val="center"/>
              <w:rPr>
                <w:rFonts w:ascii="Calibri" w:hAnsi="Calibri" w:cs="Calibri"/>
                <w:b/>
                <w:sz w:val="22"/>
              </w:rPr>
            </w:pPr>
            <w:r w:rsidRPr="00F8728A">
              <w:rPr>
                <w:rFonts w:ascii="Calibri" w:hAnsi="Calibri" w:cs="Calibri"/>
                <w:b/>
                <w:sz w:val="22"/>
              </w:rPr>
              <w:t>Повишен недостиг на вода (включително засушавания)</w:t>
            </w: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Недостиг на вода в градовете с прекъсване и режими на водоснабдяването</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Понижено ниво на водата в резервоарите за редовно градско водоснабдяване</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Застрашено производство на храна и снабдяване с храна на градското население</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 xml:space="preserve">Недостатъчно количество вода за градските зелени зони, паркове и градини </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val="restart"/>
            <w:shd w:val="clear" w:color="auto" w:fill="B8CCE4"/>
            <w:vAlign w:val="center"/>
          </w:tcPr>
          <w:p w:rsidR="00AA4661" w:rsidRPr="00F8728A" w:rsidRDefault="00AA4661" w:rsidP="00123161">
            <w:pPr>
              <w:spacing w:before="20" w:after="20"/>
              <w:jc w:val="center"/>
              <w:rPr>
                <w:rFonts w:ascii="Calibri" w:hAnsi="Calibri" w:cs="Calibri"/>
                <w:b/>
                <w:sz w:val="22"/>
              </w:rPr>
            </w:pPr>
            <w:r w:rsidRPr="00F8728A">
              <w:rPr>
                <w:rFonts w:ascii="Calibri" w:hAnsi="Calibri" w:cs="Calibri"/>
                <w:b/>
                <w:sz w:val="22"/>
              </w:rPr>
              <w:t>Повишение на силните ветрове и бурите</w:t>
            </w: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Инциденти с пешеходци в открити градски пространства по време на бурни ветрове поради падащи дървета и предмети</w:t>
            </w:r>
          </w:p>
        </w:tc>
        <w:tc>
          <w:tcPr>
            <w:tcW w:w="2430" w:type="dxa"/>
            <w:vAlign w:val="center"/>
          </w:tcPr>
          <w:p w:rsidR="00AA4661" w:rsidRPr="00F8728A" w:rsidRDefault="00AA4661" w:rsidP="00E21095">
            <w:pPr>
              <w:pStyle w:val="ListParagraph1"/>
              <w:numPr>
                <w:ilvl w:val="0"/>
                <w:numId w:val="2"/>
              </w:numPr>
              <w:tabs>
                <w:tab w:val="left" w:pos="313"/>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По-добро качество на градския въздух след силни ветрове и по-силна вентилация</w:t>
            </w: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Унищожени дървета и цветя в градските паркове, градини и ООП</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cantSplit/>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 xml:space="preserve">Смущения в разписанието на системата на градския транспорт </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rPr>
                <w:rFonts w:ascii="Calibri" w:hAnsi="Calibri" w:cs="Calibri"/>
                <w:szCs w:val="22"/>
                <w:lang w:val="bg-BG" w:eastAsia="en-US"/>
              </w:rPr>
            </w:pPr>
            <w:r w:rsidRPr="00F8728A">
              <w:rPr>
                <w:rFonts w:ascii="Calibri" w:hAnsi="Calibri" w:cs="Calibri"/>
                <w:szCs w:val="22"/>
                <w:lang w:val="bg-BG" w:eastAsia="en-US"/>
              </w:rPr>
              <w:t>Повреди на градската електро-снабдителна инфраструктура (например от паднали дървета), предизвикващи смущения и повишени разходи за поправка</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val="restart"/>
            <w:shd w:val="clear" w:color="auto" w:fill="B8CCE4"/>
            <w:vAlign w:val="center"/>
          </w:tcPr>
          <w:p w:rsidR="00AA4661" w:rsidRPr="00F8728A" w:rsidRDefault="00AA4661" w:rsidP="00123161">
            <w:pPr>
              <w:spacing w:before="20" w:after="20"/>
              <w:jc w:val="center"/>
              <w:rPr>
                <w:rFonts w:ascii="Calibri" w:hAnsi="Calibri" w:cs="Calibri"/>
                <w:b/>
                <w:sz w:val="22"/>
              </w:rPr>
            </w:pPr>
            <w:r w:rsidRPr="00F8728A">
              <w:rPr>
                <w:rFonts w:ascii="Calibri" w:hAnsi="Calibri" w:cs="Calibri"/>
                <w:b/>
                <w:sz w:val="22"/>
              </w:rPr>
              <w:t xml:space="preserve">Повишение в честотата и </w:t>
            </w:r>
            <w:r w:rsidRPr="00F8728A">
              <w:rPr>
                <w:rFonts w:ascii="Calibri" w:hAnsi="Calibri" w:cs="Calibri"/>
                <w:b/>
                <w:sz w:val="22"/>
              </w:rPr>
              <w:lastRenderedPageBreak/>
              <w:t>размера на градушките</w:t>
            </w: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lastRenderedPageBreak/>
              <w:t xml:space="preserve">Счупени прозорци и повредени фасади на публични и жилищни сгради, и повредени </w:t>
            </w:r>
            <w:r w:rsidRPr="00F8728A">
              <w:rPr>
                <w:rFonts w:ascii="Calibri" w:hAnsi="Calibri" w:cs="Calibri"/>
                <w:szCs w:val="22"/>
                <w:lang w:val="bg-BG" w:eastAsia="en-US"/>
              </w:rPr>
              <w:lastRenderedPageBreak/>
              <w:t>автомобили</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Възможни смущения в разписанието на системата на обществения транспорт</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Унищожени дървета и цветя в градските паркове, градини и ООП</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rPr>
                <w:rFonts w:ascii="Calibri" w:hAnsi="Calibri" w:cs="Calibri"/>
                <w:szCs w:val="22"/>
                <w:lang w:val="bg-BG" w:eastAsia="en-US"/>
              </w:rPr>
            </w:pPr>
            <w:r w:rsidRPr="00F8728A">
              <w:rPr>
                <w:rFonts w:ascii="Calibri" w:hAnsi="Calibri" w:cs="Calibri"/>
                <w:szCs w:val="22"/>
                <w:lang w:val="bg-BG" w:eastAsia="en-US"/>
              </w:rPr>
              <w:t xml:space="preserve">Потенциален натиск върху канализационната система за повърхностни води </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Потенциални щети върху въздушните съоръжения на информационните и комуникационните технологии (ИКТ)</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val="restart"/>
            <w:shd w:val="clear" w:color="auto" w:fill="B8CCE4"/>
            <w:vAlign w:val="center"/>
          </w:tcPr>
          <w:p w:rsidR="00AA4661" w:rsidRPr="00F8728A" w:rsidRDefault="00AA4661" w:rsidP="00123161">
            <w:pPr>
              <w:spacing w:before="20" w:after="20"/>
              <w:jc w:val="center"/>
              <w:rPr>
                <w:rFonts w:ascii="Calibri" w:hAnsi="Calibri" w:cs="Calibri"/>
                <w:b/>
                <w:sz w:val="22"/>
              </w:rPr>
            </w:pPr>
            <w:r w:rsidRPr="00F8728A">
              <w:rPr>
                <w:rFonts w:ascii="Calibri" w:hAnsi="Calibri" w:cs="Calibri"/>
                <w:b/>
                <w:sz w:val="22"/>
              </w:rPr>
              <w:t>Тежки снеговалежи и бури</w:t>
            </w: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 xml:space="preserve">Ограничена достъпност, мобилност, услуги и снабдяване с храна, особено в отдалечените малки градове </w:t>
            </w:r>
          </w:p>
        </w:tc>
        <w:tc>
          <w:tcPr>
            <w:tcW w:w="2430" w:type="dxa"/>
            <w:vAlign w:val="center"/>
          </w:tcPr>
          <w:p w:rsidR="00AA4661" w:rsidRPr="00F8728A" w:rsidRDefault="00AA4661" w:rsidP="00E21095">
            <w:pPr>
              <w:pStyle w:val="ListParagraph1"/>
              <w:numPr>
                <w:ilvl w:val="0"/>
                <w:numId w:val="2"/>
              </w:numPr>
              <w:tabs>
                <w:tab w:val="left" w:pos="313"/>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 xml:space="preserve">Повече възможности за децата да играят навън след снеговалеж през зимния сезон </w:t>
            </w: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Ограничена мобилност и повишен брой злополуки и наранявания в резултат на забавено снегопочистване и снегосъбиране</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Смущения в  разписанието на системата на градския транспорт</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Щети или прекъсване на електро-снабдителните системи</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Щети и/или прекъсване на въздушните съоръжения на ИКТ</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Повишена финансова тежест за общините за зимна поддръжка на градската улична мрежа</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Повишен натиск върху съоръженията и персонала за спешна помощ по време на и след тежки снеговалежи</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val="restart"/>
            <w:shd w:val="clear" w:color="auto" w:fill="B8CCE4"/>
            <w:vAlign w:val="center"/>
          </w:tcPr>
          <w:p w:rsidR="00AA4661" w:rsidRPr="00F8728A" w:rsidRDefault="00AA4661" w:rsidP="00123161">
            <w:pPr>
              <w:spacing w:before="20" w:after="20"/>
              <w:jc w:val="center"/>
              <w:rPr>
                <w:rFonts w:ascii="Calibri" w:hAnsi="Calibri" w:cs="Calibri"/>
                <w:b/>
                <w:sz w:val="22"/>
              </w:rPr>
            </w:pPr>
            <w:r w:rsidRPr="00F8728A">
              <w:rPr>
                <w:rFonts w:ascii="Calibri" w:hAnsi="Calibri" w:cs="Calibri"/>
                <w:b/>
                <w:sz w:val="22"/>
              </w:rPr>
              <w:t>Свлачища</w:t>
            </w: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Срутване или разрушение на жилищни и обществени/търговски сгради и съоръжения</w:t>
            </w:r>
          </w:p>
        </w:tc>
        <w:tc>
          <w:tcPr>
            <w:tcW w:w="2430" w:type="dxa"/>
            <w:vAlign w:val="center"/>
          </w:tcPr>
          <w:p w:rsidR="00AA4661" w:rsidRPr="00F8728A" w:rsidRDefault="00AA4661" w:rsidP="00E21095">
            <w:pPr>
              <w:pStyle w:val="ListParagraph1"/>
              <w:numPr>
                <w:ilvl w:val="0"/>
                <w:numId w:val="2"/>
              </w:numPr>
              <w:tabs>
                <w:tab w:val="left" w:pos="313"/>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 xml:space="preserve">По-добра мотивация за местните органи да премахват незаконни строежи в рискови свлачищни зони </w:t>
            </w: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rPr>
                <w:rFonts w:ascii="Calibri" w:hAnsi="Calibri" w:cs="Calibri"/>
                <w:szCs w:val="22"/>
                <w:lang w:val="bg-BG" w:eastAsia="en-US"/>
              </w:rPr>
            </w:pPr>
            <w:r w:rsidRPr="00F8728A">
              <w:rPr>
                <w:rFonts w:ascii="Calibri" w:hAnsi="Calibri" w:cs="Calibri"/>
                <w:szCs w:val="22"/>
                <w:lang w:val="bg-BG" w:eastAsia="en-US"/>
              </w:rPr>
              <w:t>Срутване или разрушение на транспортна инфраструктура, на подземни водоснабдителни и канализационни мрежи</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Загуба на съоръжения за отдих в крайбрежни зони (напр. унищожени плажове, затлачени заливи от абразия без достъп до водата за плуване)</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 xml:space="preserve">Застрашени газоснабдителни  системи </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val="restart"/>
            <w:shd w:val="clear" w:color="auto" w:fill="B8CCE4"/>
            <w:vAlign w:val="center"/>
          </w:tcPr>
          <w:p w:rsidR="00AA4661" w:rsidRPr="00F8728A" w:rsidRDefault="00AA4661" w:rsidP="00123161">
            <w:pPr>
              <w:spacing w:before="20" w:after="20"/>
              <w:jc w:val="center"/>
              <w:rPr>
                <w:rFonts w:ascii="Calibri" w:hAnsi="Calibri" w:cs="Calibri"/>
                <w:b/>
                <w:sz w:val="22"/>
              </w:rPr>
            </w:pPr>
            <w:r w:rsidRPr="00F8728A">
              <w:rPr>
                <w:rFonts w:ascii="Calibri" w:hAnsi="Calibri" w:cs="Calibri"/>
                <w:b/>
                <w:sz w:val="22"/>
              </w:rPr>
              <w:t>Земетресения</w:t>
            </w: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Загуба на човешки живот, наранявания, пост-травматичен стрес</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Срутване или разрушение на жилищни и обществени/търговски сгради и съоръжения</w:t>
            </w:r>
          </w:p>
        </w:tc>
        <w:tc>
          <w:tcPr>
            <w:tcW w:w="2430" w:type="dxa"/>
            <w:shd w:val="clear" w:color="auto" w:fill="F2F2F2"/>
            <w:vAlign w:val="center"/>
          </w:tcPr>
          <w:p w:rsidR="00AA4661" w:rsidRPr="00F8728A" w:rsidRDefault="00AA4661" w:rsidP="00E21095">
            <w:pPr>
              <w:pStyle w:val="ListParagraph1"/>
              <w:numPr>
                <w:ilvl w:val="0"/>
                <w:numId w:val="2"/>
              </w:numPr>
              <w:tabs>
                <w:tab w:val="left" w:pos="313"/>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 xml:space="preserve">Сеизмичното модернизиране </w:t>
            </w:r>
            <w:r w:rsidRPr="00F8728A">
              <w:rPr>
                <w:rFonts w:ascii="Calibri" w:hAnsi="Calibri" w:cs="Calibri"/>
                <w:szCs w:val="22"/>
                <w:lang w:val="bg-BG" w:eastAsia="en-US"/>
              </w:rPr>
              <w:lastRenderedPageBreak/>
              <w:t>намалява рисковете, свързани с други опасности</w:t>
            </w: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vAlign w:val="center"/>
          </w:tcPr>
          <w:p w:rsidR="00AA4661" w:rsidRPr="00F8728A" w:rsidRDefault="00AA4661" w:rsidP="00E21095">
            <w:pPr>
              <w:pStyle w:val="ListParagraph1"/>
              <w:numPr>
                <w:ilvl w:val="0"/>
                <w:numId w:val="2"/>
              </w:numPr>
              <w:tabs>
                <w:tab w:val="left" w:pos="199"/>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Срутване или разрушение на транспортна инфраструктура, на подземни водоснабдителни и канализационни мрежи</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199"/>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Застрашени газоснабдителни системи</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vAlign w:val="center"/>
          </w:tcPr>
          <w:p w:rsidR="00AA4661" w:rsidRPr="00F8728A" w:rsidRDefault="00AA4661" w:rsidP="00E21095">
            <w:pPr>
              <w:pStyle w:val="ListParagraph1"/>
              <w:numPr>
                <w:ilvl w:val="0"/>
                <w:numId w:val="2"/>
              </w:numPr>
              <w:tabs>
                <w:tab w:val="left" w:pos="199"/>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Прекъсвания в електроснабдяването и ИКТ</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199"/>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Проблеми с достъпността и спасителните операции</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val="restart"/>
            <w:shd w:val="clear" w:color="auto" w:fill="B8CCE4"/>
            <w:vAlign w:val="center"/>
          </w:tcPr>
          <w:p w:rsidR="00AA4661" w:rsidRPr="00F8728A" w:rsidRDefault="00AA4661" w:rsidP="00123161">
            <w:pPr>
              <w:spacing w:before="20" w:after="20"/>
              <w:jc w:val="center"/>
              <w:rPr>
                <w:rFonts w:ascii="Calibri" w:hAnsi="Calibri" w:cs="Calibri"/>
                <w:b/>
                <w:sz w:val="22"/>
              </w:rPr>
            </w:pPr>
            <w:r w:rsidRPr="00F8728A">
              <w:rPr>
                <w:rFonts w:ascii="Calibri" w:hAnsi="Calibri" w:cs="Calibri"/>
                <w:b/>
                <w:sz w:val="22"/>
              </w:rPr>
              <w:t>Замърсяване на въздуха</w:t>
            </w:r>
          </w:p>
        </w:tc>
        <w:tc>
          <w:tcPr>
            <w:tcW w:w="4950" w:type="dxa"/>
            <w:vAlign w:val="center"/>
          </w:tcPr>
          <w:p w:rsidR="00AA4661" w:rsidRPr="00F8728A" w:rsidRDefault="00AA4661" w:rsidP="00E21095">
            <w:pPr>
              <w:pStyle w:val="ListParagraph1"/>
              <w:numPr>
                <w:ilvl w:val="0"/>
                <w:numId w:val="2"/>
              </w:numPr>
              <w:tabs>
                <w:tab w:val="left" w:pos="199"/>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По-висока смъртност сред възрастните и болните хора, здравни проблеми при малките деца</w:t>
            </w:r>
          </w:p>
        </w:tc>
        <w:tc>
          <w:tcPr>
            <w:tcW w:w="2430" w:type="dxa"/>
            <w:vAlign w:val="center"/>
          </w:tcPr>
          <w:p w:rsidR="00AA4661" w:rsidRPr="00F8728A" w:rsidRDefault="00AA4661" w:rsidP="00E21095">
            <w:pPr>
              <w:pStyle w:val="ListParagraph1"/>
              <w:numPr>
                <w:ilvl w:val="0"/>
                <w:numId w:val="2"/>
              </w:numPr>
              <w:tabs>
                <w:tab w:val="left" w:pos="313"/>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По-добро и по-ефективно използване на паркове и градини</w:t>
            </w: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both"/>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199"/>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Намалено използване на ООП поради възможно активиране на респираторни заболявания и алергични реакции</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both"/>
              <w:rPr>
                <w:rFonts w:ascii="Calibri" w:hAnsi="Calibri" w:cs="Calibri"/>
                <w:b/>
                <w:sz w:val="22"/>
              </w:rPr>
            </w:pPr>
          </w:p>
        </w:tc>
        <w:tc>
          <w:tcPr>
            <w:tcW w:w="4950" w:type="dxa"/>
            <w:vAlign w:val="center"/>
          </w:tcPr>
          <w:p w:rsidR="00AA4661" w:rsidRPr="00F8728A" w:rsidRDefault="00AA4661" w:rsidP="00E21095">
            <w:pPr>
              <w:pStyle w:val="ListParagraph1"/>
              <w:numPr>
                <w:ilvl w:val="0"/>
                <w:numId w:val="2"/>
              </w:numPr>
              <w:tabs>
                <w:tab w:val="left" w:pos="199"/>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Потенциално замърсяване на почвите и зелените зони покрай и/или близо до източници на замърсяване и градски автомагистрали</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both"/>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199"/>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 xml:space="preserve">Замърсяване на материалите на фасадите (или облицовани със стъкло, или с камък) и влошаване на облика на града </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bl>
    <w:p w:rsidR="00AA4661" w:rsidRPr="00B73D7E" w:rsidRDefault="00AA4661" w:rsidP="00CF297A">
      <w:pPr>
        <w:pStyle w:val="BodyText"/>
        <w:numPr>
          <w:ilvl w:val="0"/>
          <w:numId w:val="41"/>
        </w:numPr>
        <w:spacing w:before="200"/>
        <w:ind w:left="0" w:firstLine="0"/>
        <w:rPr>
          <w:lang w:val="bg-BG"/>
        </w:rPr>
      </w:pPr>
      <w:r w:rsidRPr="00B73D7E">
        <w:rPr>
          <w:lang w:val="bg-BG"/>
        </w:rPr>
        <w:t xml:space="preserve">Експертната оценка на трите категории градове от гледна точка на населението и групирането им по географско местоположение доказва, че малките градове от всякакъв вид имат много нисък капацитет за справяне с уязвимостта и за управление на рисковете от бедствия. От друга страна, обитателите  на разпръснати ниски къщи със съседни отворени пространства и зелени площи могат да намерят по-лесно спасение в случай на екстремни температури и земетресения. Големите градове са по-добре оборудвани за справяне с недостиг на вода и екстремни температури и разполагат с по-голям потенциал за постигане на АИК (вж. </w:t>
      </w:r>
      <w:r w:rsidRPr="00B73D7E">
        <w:rPr>
          <w:b/>
          <w:i/>
          <w:iCs/>
          <w:lang w:val="bg-BG"/>
        </w:rPr>
        <w:t>таблица 1</w:t>
      </w:r>
      <w:r w:rsidR="00F976B4" w:rsidRPr="00B73D7E">
        <w:rPr>
          <w:b/>
          <w:i/>
          <w:iCs/>
          <w:lang w:val="bg-BG"/>
        </w:rPr>
        <w:t>8</w:t>
      </w:r>
      <w:r w:rsidRPr="00B73D7E">
        <w:rPr>
          <w:b/>
          <w:lang w:val="bg-BG"/>
        </w:rPr>
        <w:t xml:space="preserve"> </w:t>
      </w:r>
      <w:r w:rsidRPr="00B73D7E">
        <w:rPr>
          <w:lang w:val="bg-BG"/>
        </w:rPr>
        <w:t xml:space="preserve">в </w:t>
      </w:r>
      <w:r w:rsidRPr="00B73D7E">
        <w:rPr>
          <w:b/>
          <w:i/>
          <w:iCs/>
          <w:lang w:val="bg-BG"/>
        </w:rPr>
        <w:t>приложение 1</w:t>
      </w:r>
      <w:r w:rsidRPr="00B73D7E">
        <w:rPr>
          <w:bCs/>
          <w:iCs/>
          <w:lang w:val="bg-BG"/>
        </w:rPr>
        <w:t>)</w:t>
      </w:r>
      <w:r w:rsidRPr="00B73D7E">
        <w:rPr>
          <w:lang w:val="bg-BG"/>
        </w:rPr>
        <w:t>.</w:t>
      </w:r>
    </w:p>
    <w:p w:rsidR="00AA4661" w:rsidRPr="00B73D7E" w:rsidRDefault="00AA4661" w:rsidP="00491557">
      <w:pPr>
        <w:pStyle w:val="Heading4"/>
        <w:rPr>
          <w:lang w:val="bg-BG"/>
        </w:rPr>
      </w:pPr>
      <w:r w:rsidRPr="00B73D7E">
        <w:rPr>
          <w:lang w:val="bg-BG"/>
        </w:rPr>
        <w:t xml:space="preserve">Управление на риска от бедствия </w:t>
      </w:r>
    </w:p>
    <w:p w:rsidR="00AA4661" w:rsidRPr="00B73D7E" w:rsidRDefault="00AA4661" w:rsidP="00CF297A">
      <w:pPr>
        <w:pStyle w:val="BodyText"/>
        <w:numPr>
          <w:ilvl w:val="0"/>
          <w:numId w:val="41"/>
        </w:numPr>
        <w:ind w:left="0" w:firstLine="0"/>
        <w:rPr>
          <w:color w:val="000000"/>
          <w:lang w:val="bg-BG"/>
        </w:rPr>
      </w:pPr>
      <w:r w:rsidRPr="00B73D7E">
        <w:rPr>
          <w:lang w:val="bg-BG"/>
        </w:rPr>
        <w:t xml:space="preserve">Дейностите за защита на населението в случай на авария или бедствия се извършват от Единната спасителна система съгласно плановете за защита при бедствия. Единната спасителна система включва структури от министерства и агенции, общини, търговски дружества и еднолични търговци, центрове за спешна медицинска помощ, други медицински и здравни заведения, организации с нестопанска цел, включително доброволни формирования, съгласно член 41 от Закона за защита при бедствия, както и въоръжени сили. Плановете за защита от бедствия се преразглеждат и актуализират най-малко веднъж на пет години след приемането им, както и след промени в правната рамка, свързани с тяхното изпълнение. Съветът за намаляване на риска от бедствия бе създаден като постоянен орган към Министерския съвет, за да осигури координация и сътрудничество при прилагането на държавната политика в областта на защитата при бедствия. Съветът изпълнява функциите на национална платформа за намаляване на </w:t>
      </w:r>
      <w:r w:rsidRPr="00B73D7E">
        <w:rPr>
          <w:lang w:val="bg-BG"/>
        </w:rPr>
        <w:lastRenderedPageBreak/>
        <w:t>риска от бедствия, в изпълнение на Рамката за действие Хиого 2005–2015 г. и на Рамката от Сендай за намаляване на риска от бедствия за периода 2015–2030 г.</w:t>
      </w:r>
    </w:p>
    <w:p w:rsidR="00AA4661" w:rsidRPr="00B73D7E" w:rsidRDefault="00AA4661" w:rsidP="00CF297A">
      <w:pPr>
        <w:pStyle w:val="BodyText"/>
        <w:numPr>
          <w:ilvl w:val="0"/>
          <w:numId w:val="41"/>
        </w:numPr>
        <w:ind w:left="0" w:firstLine="0"/>
        <w:rPr>
          <w:color w:val="000000"/>
          <w:lang w:val="bg-BG"/>
        </w:rPr>
      </w:pPr>
      <w:r w:rsidRPr="00B73D7E">
        <w:rPr>
          <w:color w:val="000000"/>
          <w:lang w:val="bg-BG"/>
        </w:rPr>
        <w:t xml:space="preserve">Разработването на Национална система за ранно предупреждение започна през 2009 г. Тя се състои от две подсистеми – една, предназначена за населението, и друга, свързана с изпълнителните органи и Единната спасителна система за предотвратяване на бедствия. Системата за ранно предупреждаване е предназначена за едновременно предупреждаване на големи групи хора за неизбежни или текущи бедствия. </w:t>
      </w:r>
    </w:p>
    <w:p w:rsidR="00AA4661" w:rsidRPr="00B73D7E" w:rsidRDefault="00AA4661" w:rsidP="00CF297A">
      <w:pPr>
        <w:pStyle w:val="BodyText"/>
        <w:numPr>
          <w:ilvl w:val="0"/>
          <w:numId w:val="41"/>
        </w:numPr>
        <w:ind w:left="0" w:firstLine="0"/>
        <w:rPr>
          <w:color w:val="000000"/>
          <w:lang w:val="bg-BG"/>
        </w:rPr>
      </w:pPr>
      <w:r w:rsidRPr="00B73D7E">
        <w:rPr>
          <w:color w:val="000000"/>
          <w:lang w:val="bg-BG"/>
        </w:rPr>
        <w:t>Подсистемата за ранно предупреждение на изпълнителните органи е изготвена на четири нива – национално, регионално, общинско и местно, при което последното включва автоматични предупредителни системи в предприятията, работещи с опасни вещества и материали, като потенциални причини за промишлени аварии и други бедствия. Тази подсистема е свързана с широка група от служители, включително областни управители, кметове, ръководители на предприятия, регионални и общински координационни центрове, части от Единната спасителна система. Съществува база данни за 28</w:t>
      </w:r>
      <w:r w:rsidR="008D2580">
        <w:rPr>
          <w:color w:val="000000"/>
          <w:lang w:val="en-US"/>
        </w:rPr>
        <w:t xml:space="preserve"> </w:t>
      </w:r>
      <w:r w:rsidRPr="00B73D7E">
        <w:rPr>
          <w:color w:val="000000"/>
          <w:lang w:val="bg-BG"/>
        </w:rPr>
        <w:t>000 души, които могат да бъдат предупредени и мобилизирани в спешни случаи.</w:t>
      </w:r>
    </w:p>
    <w:p w:rsidR="00AA4661" w:rsidRPr="00B73D7E" w:rsidRDefault="00AA4661" w:rsidP="00CF297A">
      <w:pPr>
        <w:pStyle w:val="BodyText"/>
        <w:numPr>
          <w:ilvl w:val="0"/>
          <w:numId w:val="41"/>
        </w:numPr>
        <w:ind w:left="0" w:firstLine="0"/>
        <w:rPr>
          <w:color w:val="000000"/>
          <w:lang w:val="bg-BG"/>
        </w:rPr>
      </w:pPr>
      <w:r w:rsidRPr="00B73D7E">
        <w:rPr>
          <w:color w:val="000000"/>
          <w:lang w:val="bg-BG"/>
        </w:rPr>
        <w:t xml:space="preserve">В специални случаи също могат да бъдат мобилизирани формирования на българската армия за контрол над и/или за смекчаване на последиците от бедствията. Съответната организация обхваща планирането, подготовката, предупреждението и поддръжката на определените за тази цел оборудване и ресурси. </w:t>
      </w:r>
    </w:p>
    <w:p w:rsidR="00AA4661" w:rsidRPr="00B73D7E" w:rsidRDefault="00AA4661" w:rsidP="00CF297A">
      <w:pPr>
        <w:pStyle w:val="BodyText"/>
        <w:numPr>
          <w:ilvl w:val="0"/>
          <w:numId w:val="41"/>
        </w:numPr>
        <w:ind w:left="0" w:firstLine="0"/>
        <w:rPr>
          <w:lang w:val="bg-BG"/>
        </w:rPr>
      </w:pPr>
      <w:r w:rsidRPr="00B73D7E">
        <w:rPr>
          <w:color w:val="000000"/>
          <w:lang w:val="bg-BG"/>
        </w:rPr>
        <w:t xml:space="preserve">Сериозно предизвикателство пред ефективността на системата за управление на риска е недостатъчната публична осведоменост за принципите, целите и дейностите, свързани с намаляването на рисковете от бедствия, както и дейностите и поведението по време на и след бедствията. </w:t>
      </w:r>
      <w:r w:rsidRPr="00B73D7E">
        <w:rPr>
          <w:lang w:val="bg-BG"/>
        </w:rPr>
        <w:t>Координацията на отговорните институции е много под нужните нива, което отчасти се дължи на честата промяна на правилата и слабата комуникация между отговорните звена. Ето защо в програмите за намаляване на риска от бедствия, разработени от общините съгласно чл. 65б, т. 1 от Закона за защита при бедствия (изменен през 2016 г.), са залегнали приоритети и действия за опазване на живота и здравето на населението, имущество, инфраструктурни мерки за информация, комуникация и обучение на всички нива. Програмата е придружена от общински план със специфични мерки за защита при бедствия, който се преглежда и актуализира ежегодно. Ежегоден доклад за състоянието на защитата при бедствия на територията на общината с оценка на прилаганите мерки се изготвя от назначения общински съвет за защита при бедствия.</w:t>
      </w:r>
    </w:p>
    <w:p w:rsidR="00AA4661" w:rsidRPr="00B73D7E" w:rsidRDefault="00AA4661" w:rsidP="00CF297A">
      <w:pPr>
        <w:pStyle w:val="BodyText"/>
        <w:numPr>
          <w:ilvl w:val="0"/>
          <w:numId w:val="41"/>
        </w:numPr>
        <w:ind w:left="0" w:firstLine="0"/>
        <w:rPr>
          <w:lang w:val="bg-BG"/>
        </w:rPr>
      </w:pPr>
      <w:r w:rsidRPr="00B73D7E">
        <w:rPr>
          <w:lang w:val="bg-BG"/>
        </w:rPr>
        <w:t>Съществува значителен потенциал за подобряване на системата чрез привличане на все още слабо развитите структури от доброволци, по-добро използване на неправителствени организации (НПО), допълнително развитие на мрежите за координация, включващи всички участници, както и развитието на информационни системи и системи от знания. Има много какво да се желае и в управлението на дейностите, свързани с възстановяването от щети и осигуряването и разпределението на необходимите средства.</w:t>
      </w:r>
    </w:p>
    <w:p w:rsidR="00AA4661" w:rsidRPr="00B73D7E" w:rsidRDefault="00AA4661" w:rsidP="00676435">
      <w:pPr>
        <w:pStyle w:val="Heading2"/>
        <w:ind w:left="0" w:firstLine="0"/>
        <w:rPr>
          <w:lang w:val="bg-BG"/>
        </w:rPr>
      </w:pPr>
      <w:bookmarkStart w:id="139" w:name="_Toc486942167"/>
      <w:bookmarkStart w:id="140" w:name="_Toc501454844"/>
      <w:bookmarkStart w:id="141" w:name="_Toc522030546"/>
      <w:bookmarkStart w:id="142" w:name="_Toc529285531"/>
      <w:r w:rsidRPr="00B73D7E">
        <w:rPr>
          <w:lang w:val="bg-BG"/>
        </w:rPr>
        <w:lastRenderedPageBreak/>
        <w:t>Заключения</w:t>
      </w:r>
      <w:bookmarkEnd w:id="139"/>
      <w:bookmarkEnd w:id="140"/>
      <w:bookmarkEnd w:id="141"/>
      <w:bookmarkEnd w:id="142"/>
    </w:p>
    <w:p w:rsidR="00AA4661" w:rsidRPr="00B73D7E" w:rsidRDefault="00AA4661" w:rsidP="00CF297A">
      <w:pPr>
        <w:pStyle w:val="BodyText"/>
        <w:numPr>
          <w:ilvl w:val="0"/>
          <w:numId w:val="41"/>
        </w:numPr>
        <w:ind w:left="0" w:firstLine="0"/>
        <w:rPr>
          <w:lang w:val="bg-BG"/>
        </w:rPr>
      </w:pPr>
      <w:r w:rsidRPr="00B73D7E">
        <w:rPr>
          <w:lang w:val="bg-BG"/>
        </w:rPr>
        <w:t xml:space="preserve">Горепосоченият анализ доказва, че при условията на изменение на климата градската среда в България е уязвима и в значителен риск. Данните в подкрепа на такова заключение включват остарялата и често неадекватна инфраструктура и в големите, и в малките селища, и големия дял на застаряващото население, в което преобладават хора с ниски доходи и под прага на бедността. Тези фактори биха могли да се считат за „обективни“, отразяващи демографията и сравнително ниското равнище на икономическо развитие и стандарти на живот в страната, която е най-бедната в ЕС. В допълнение към това има един много важен „субективен“ фактор, а именно слабото равнище на осведоменост относно разглежданите проблеми, относно причините за тях, възможната превенция и управление, както сред лицата, вземащи решение, така и сред широката общественост. </w:t>
      </w:r>
    </w:p>
    <w:p w:rsidR="00AA4661" w:rsidRPr="00B73D7E" w:rsidRDefault="00AA4661" w:rsidP="00CF297A">
      <w:pPr>
        <w:pStyle w:val="BodyText"/>
        <w:numPr>
          <w:ilvl w:val="0"/>
          <w:numId w:val="41"/>
        </w:numPr>
        <w:ind w:left="0" w:firstLine="0"/>
        <w:rPr>
          <w:lang w:val="bg-BG"/>
        </w:rPr>
      </w:pPr>
      <w:r w:rsidRPr="00B73D7E">
        <w:rPr>
          <w:lang w:val="bg-BG"/>
        </w:rPr>
        <w:t>Анализът предполага също, че политиките и инициативите, предназначени за адаптиране към изменението на климата, следва да бъдат ориентирани в две посоки – към големите градове, където има концентрация на значителна част от населението, и които разполагат със значително по-голям потенциал и експертни знания, и към по-малките градове и селата в периферията с по-малобройно, но много по-уязвимо население, като се имат предвид спецификите на всеки регион и населено място. Същевременно по-всеобхватна и актуализирана философия на интегрирането на всички усилия и ресурси (включително информация и знания) на различните сектори в рамките на единна национална стратегия несъмнено ще подобри ефективността на тези политики.</w:t>
      </w:r>
    </w:p>
    <w:p w:rsidR="00AA4661" w:rsidRPr="00F8728A" w:rsidRDefault="00AA4661" w:rsidP="00676435">
      <w:pPr>
        <w:widowControl w:val="0"/>
        <w:spacing w:after="0"/>
        <w:jc w:val="both"/>
        <w:rPr>
          <w:rFonts w:ascii="Calibri" w:eastAsia="MS Gothic" w:hAnsi="Calibri"/>
          <w:b/>
          <w:bCs/>
          <w:color w:val="365F91"/>
          <w:sz w:val="32"/>
          <w:szCs w:val="28"/>
        </w:rPr>
      </w:pPr>
      <w:bookmarkStart w:id="143" w:name="_Toc486259760"/>
      <w:bookmarkStart w:id="144" w:name="_Toc486942168"/>
      <w:r w:rsidRPr="00F8728A">
        <w:br w:type="page"/>
      </w:r>
    </w:p>
    <w:p w:rsidR="00AA4661" w:rsidRPr="00B73D7E" w:rsidRDefault="00AA4661" w:rsidP="00194E9E">
      <w:pPr>
        <w:pStyle w:val="Heading1"/>
        <w:spacing w:before="0" w:after="120"/>
        <w:jc w:val="both"/>
        <w:rPr>
          <w:rFonts w:eastAsia="Times New Roman"/>
          <w:bCs w:val="0"/>
          <w:color w:val="2F5496"/>
          <w:sz w:val="32"/>
          <w:szCs w:val="32"/>
          <w:lang w:val="bg-BG" w:eastAsia="en-US"/>
        </w:rPr>
      </w:pPr>
      <w:bookmarkStart w:id="145" w:name="_Toc501454845"/>
      <w:bookmarkStart w:id="146" w:name="_Toc522030547"/>
      <w:bookmarkStart w:id="147" w:name="_Toc529285532"/>
      <w:r w:rsidRPr="00B73D7E">
        <w:rPr>
          <w:rFonts w:eastAsia="Times New Roman"/>
          <w:bCs w:val="0"/>
          <w:color w:val="2F5496"/>
          <w:sz w:val="32"/>
          <w:szCs w:val="32"/>
          <w:lang w:val="bg-BG" w:eastAsia="en-US"/>
        </w:rPr>
        <w:lastRenderedPageBreak/>
        <w:t>Глава 2. Изходно положение – контекст на политиките</w:t>
      </w:r>
      <w:bookmarkEnd w:id="143"/>
      <w:bookmarkEnd w:id="144"/>
      <w:bookmarkEnd w:id="145"/>
      <w:bookmarkEnd w:id="146"/>
      <w:bookmarkEnd w:id="147"/>
    </w:p>
    <w:p w:rsidR="00AA4661" w:rsidRPr="00B73D7E" w:rsidRDefault="00AA4661" w:rsidP="00CF297A">
      <w:pPr>
        <w:pStyle w:val="BodyText"/>
        <w:numPr>
          <w:ilvl w:val="0"/>
          <w:numId w:val="41"/>
        </w:numPr>
        <w:ind w:left="0" w:firstLine="0"/>
        <w:rPr>
          <w:lang w:val="bg-BG"/>
        </w:rPr>
      </w:pPr>
      <w:r w:rsidRPr="00B73D7E">
        <w:rPr>
          <w:lang w:val="bg-BG"/>
        </w:rPr>
        <w:t>Настоящата глава разглежда институционалния, политическия и законодателен контекст и процеси, свързани с адаптирането към изменението на климата в градската среда. Политическите въпроси са свързани с политиките на участващите европейски, национални и местни институции и основните заинтересовани страни. Законодателните въпроси обхващат свързаното законодателство, включително регламентите и нормите, както и инструментите за планиране на градското развитие, свързани с АИК. Социалните аспекти включват обществените нагласи, знания и нива на участие, култура на поведение и информираност. Анализът обхваща връзките с европейските политики, директиви и програми. Разгледани са също така най-добрите практики за институционализиране и оперативност на процеса на адаптиране в други европейски страни като база за проучване и оценка на дейностите, предприети в България, включително пропуски и бариери при прилагането на мерки за адаптация.</w:t>
      </w:r>
    </w:p>
    <w:p w:rsidR="00AA4661" w:rsidRPr="00B73D7E" w:rsidRDefault="00AA4661" w:rsidP="00E21095">
      <w:pPr>
        <w:pStyle w:val="Heading2"/>
        <w:numPr>
          <w:ilvl w:val="1"/>
          <w:numId w:val="25"/>
        </w:numPr>
        <w:spacing w:line="240" w:lineRule="auto"/>
        <w:ind w:left="0" w:firstLine="0"/>
        <w:rPr>
          <w:szCs w:val="20"/>
          <w:lang w:val="bg-BG"/>
        </w:rPr>
      </w:pPr>
      <w:bookmarkStart w:id="148" w:name="_Toc486942169"/>
      <w:bookmarkStart w:id="149" w:name="_Toc501454846"/>
      <w:bookmarkStart w:id="150" w:name="_Toc522030548"/>
      <w:bookmarkStart w:id="151" w:name="_Toc529285533"/>
      <w:bookmarkStart w:id="152" w:name="_Toc486259761"/>
      <w:r w:rsidRPr="00B73D7E">
        <w:rPr>
          <w:lang w:val="bg-BG"/>
        </w:rPr>
        <w:t>Степен на информираност, разбиране за бъдещите последици от изменението на климата, пропуски в познанието</w:t>
      </w:r>
      <w:bookmarkEnd w:id="148"/>
      <w:bookmarkEnd w:id="149"/>
      <w:bookmarkEnd w:id="150"/>
      <w:bookmarkEnd w:id="151"/>
      <w:r w:rsidRPr="00B73D7E">
        <w:rPr>
          <w:lang w:val="bg-BG"/>
        </w:rPr>
        <w:t xml:space="preserve"> </w:t>
      </w:r>
      <w:bookmarkEnd w:id="152"/>
    </w:p>
    <w:p w:rsidR="00AA4661" w:rsidRPr="00B73D7E" w:rsidRDefault="00AA4661" w:rsidP="00CF297A">
      <w:pPr>
        <w:pStyle w:val="BodyText"/>
        <w:numPr>
          <w:ilvl w:val="0"/>
          <w:numId w:val="41"/>
        </w:numPr>
        <w:ind w:left="0" w:firstLine="0"/>
        <w:rPr>
          <w:lang w:val="bg-BG"/>
        </w:rPr>
      </w:pPr>
      <w:r w:rsidRPr="00B73D7E">
        <w:rPr>
          <w:lang w:val="bg-BG"/>
        </w:rPr>
        <w:t>Идеите за устойчиво градско развитие бяха популяризирани на Световната конференция за околната среда на човека (UNCHE), проведена в Стокхолм през 1972 г. През 1987 г. докладът "Нашето общо бъдеще"(Световна комисия за околна среда и развитие, 1987 г.) на Световната комисия по околната среда и развитието (доклад на Комисията Брундтланд) представи предизвикателствата, с които се сблъскват градовете при тяхното разширяване, включително проблемите на нарастващото градско население и доставките на храни, питейна вода и енергия, както и достойни жилища за бедните. Двадесет години след UNCHE, приетият Дневен ред 21 (ООН Устойчиво развитие, 1992 г.) от Конференцията на ООН за околната среда и развитието в Рио де Жанейро определи целите за устойчиво развитие на населените места, включително планирането и управлението на устойчиво земеползване и интегрирано осигуряване на екологична инфраструктура и се фокусира върху планирането и управлението на райони, които са  застрашени от бедствия. Повечето от инициативите на национално и местно ниво, научните форуми, изследванията и публикациите, които последваха през следващото десетилетие, постепенно съгласуваха своите приоритети спрямо изменението на климата.</w:t>
      </w:r>
    </w:p>
    <w:p w:rsidR="00AA4661" w:rsidRPr="00B73D7E" w:rsidRDefault="00AA4661" w:rsidP="00E21095">
      <w:pPr>
        <w:pStyle w:val="Heading3"/>
        <w:numPr>
          <w:ilvl w:val="2"/>
          <w:numId w:val="25"/>
        </w:numPr>
        <w:autoSpaceDE/>
        <w:autoSpaceDN/>
        <w:adjustRightInd/>
        <w:spacing w:before="160"/>
        <w:ind w:left="0" w:firstLine="0"/>
        <w:rPr>
          <w:lang w:val="bg-BG"/>
        </w:rPr>
      </w:pPr>
      <w:bookmarkStart w:id="153" w:name="_Toc486259762"/>
      <w:bookmarkStart w:id="154" w:name="_Toc486942170"/>
      <w:bookmarkStart w:id="155" w:name="_Toc501454847"/>
      <w:bookmarkStart w:id="156" w:name="_Toc522030549"/>
      <w:bookmarkStart w:id="157" w:name="_Toc529285534"/>
      <w:r w:rsidRPr="00B73D7E">
        <w:rPr>
          <w:lang w:val="bg-BG"/>
        </w:rPr>
        <w:t>Изследователска политика и институции в сектора на градска среда</w:t>
      </w:r>
      <w:bookmarkEnd w:id="153"/>
      <w:bookmarkEnd w:id="154"/>
      <w:bookmarkEnd w:id="155"/>
      <w:bookmarkEnd w:id="156"/>
      <w:bookmarkEnd w:id="157"/>
    </w:p>
    <w:p w:rsidR="00AA4661" w:rsidRPr="00B73D7E" w:rsidRDefault="00AA4661" w:rsidP="00CF297A">
      <w:pPr>
        <w:pStyle w:val="BodyText"/>
        <w:numPr>
          <w:ilvl w:val="0"/>
          <w:numId w:val="41"/>
        </w:numPr>
        <w:ind w:left="0" w:firstLine="0"/>
        <w:rPr>
          <w:lang w:val="bg-BG"/>
        </w:rPr>
      </w:pPr>
      <w:r w:rsidRPr="00B73D7E">
        <w:rPr>
          <w:lang w:val="bg-BG"/>
        </w:rPr>
        <w:t>Преходът от градска устойчивост към АИК на градската среда в края на ХХ век е отразен в изследователската политика на почти всички професионални органи за планиране и академичните институции в Европа</w:t>
      </w:r>
      <w:r w:rsidRPr="00B73D7E">
        <w:rPr>
          <w:rStyle w:val="FootnoteReference"/>
          <w:lang w:val="bg-BG"/>
        </w:rPr>
        <w:footnoteReference w:id="48"/>
      </w:r>
      <w:r w:rsidRPr="00B73D7E">
        <w:rPr>
          <w:lang w:val="bg-BG"/>
        </w:rPr>
        <w:t>. Подобрената координация на образованието, научните изследвания и практиката в тази област и обмяната на научни знания и опит доведоха до по-добре информирани и мотивирани решения и повишена загриженост в европейските страни.</w:t>
      </w:r>
    </w:p>
    <w:p w:rsidR="00AA4661" w:rsidRPr="00B73D7E" w:rsidRDefault="00AA4661" w:rsidP="00CF297A">
      <w:pPr>
        <w:pStyle w:val="BodyText"/>
        <w:numPr>
          <w:ilvl w:val="0"/>
          <w:numId w:val="41"/>
        </w:numPr>
        <w:ind w:left="0" w:firstLine="0"/>
        <w:rPr>
          <w:lang w:val="bg-BG"/>
        </w:rPr>
      </w:pPr>
      <w:r w:rsidRPr="00B73D7E">
        <w:rPr>
          <w:lang w:val="bg-BG"/>
        </w:rPr>
        <w:lastRenderedPageBreak/>
        <w:t>Въпреки че още в началото на 70-те години на миналия век в България се появиха опасения за устойчивостта на градската среда, вследствие на световните тенденции и появата на екологичните движения, климатичните промени и бъдещите последици станаха политическа и изследователска тема през последните две десетилетия. Посланията от световните и европейски форуми бяха отразени първо в националните политики, планове и програми, последвани от изследователските и образователни практики в областта на градската екология и устойчивост. В дългосрочен план основният акцент на политиката за научни изследвания остава енергийната ефективност в резултат на международните и европейските ангажименти на страната. Все още липсват всеобхватни проучвания за въздействието на изменението на климата върху градската среда.</w:t>
      </w:r>
    </w:p>
    <w:p w:rsidR="00AA4661" w:rsidRPr="00B73D7E" w:rsidRDefault="00AA4661" w:rsidP="00CF297A">
      <w:pPr>
        <w:pStyle w:val="BodyText"/>
        <w:numPr>
          <w:ilvl w:val="0"/>
          <w:numId w:val="41"/>
        </w:numPr>
        <w:ind w:left="0" w:firstLine="0"/>
        <w:rPr>
          <w:lang w:val="bg-BG"/>
        </w:rPr>
      </w:pPr>
      <w:r w:rsidRPr="00B73D7E">
        <w:rPr>
          <w:lang w:val="bg-BG"/>
        </w:rPr>
        <w:t>Националната стратегия за научни изследвания 2020, приета през 2011 г. и нейната актуализирана версия до 2025 г.</w:t>
      </w:r>
      <w:r w:rsidRPr="00B73D7E">
        <w:rPr>
          <w:rStyle w:val="FootnoteReference"/>
          <w:lang w:val="bg-BG"/>
        </w:rPr>
        <w:footnoteReference w:id="49"/>
      </w:r>
      <w:r w:rsidRPr="00B73D7E">
        <w:rPr>
          <w:lang w:val="bg-BG"/>
        </w:rPr>
        <w:t>, представя справедлива оценка на състоянието на науката и научните институции. Сред основните проблеми са слабото управление, неоправданото закриване на изследователските звена през 90-те години, неефективното финансиране, ограниченият достъп до информация и научни данни. В рамките на набора от стратегически приоритети в този документ няма отделен приоритет, посветен на изменението на климата. Творческото тълкуване на съдържанието му би могло да отвори пътя за по-систематично и цялостно проучване на последствията от изменението на климата върху градската среда и човешкото здраве.</w:t>
      </w:r>
    </w:p>
    <w:p w:rsidR="00AA4661" w:rsidRPr="00B73D7E" w:rsidRDefault="00AA4661" w:rsidP="00CF297A">
      <w:pPr>
        <w:pStyle w:val="BodyText"/>
        <w:numPr>
          <w:ilvl w:val="0"/>
          <w:numId w:val="41"/>
        </w:numPr>
        <w:ind w:left="0" w:firstLine="0"/>
        <w:rPr>
          <w:lang w:val="bg-BG"/>
        </w:rPr>
      </w:pPr>
      <w:r w:rsidRPr="00B73D7E">
        <w:rPr>
          <w:lang w:val="bg-BG"/>
        </w:rPr>
        <w:t xml:space="preserve">Понастоящем изследванията, свързани с изменението на климата, се </w:t>
      </w:r>
      <w:r w:rsidRPr="00B73D7E">
        <w:rPr>
          <w:color w:val="000000"/>
          <w:lang w:val="bg-BG"/>
        </w:rPr>
        <w:t>осъществяват</w:t>
      </w:r>
      <w:r w:rsidRPr="00B73D7E">
        <w:rPr>
          <w:lang w:val="bg-BG"/>
        </w:rPr>
        <w:t xml:space="preserve"> от специализирани изследователски звена към БАН, включително НИМХ, Националния институт по геофизика, геология и геодезия и Института по океанология, Варна. В допълнение към събирането и обработката на данни те наблюдават изменението на климата, наводненията, свлачищата и земетресенията, провеждат анализи и определят тенденциите. </w:t>
      </w:r>
      <w:r w:rsidR="00CC4D09" w:rsidRPr="00B73D7E">
        <w:rPr>
          <w:lang w:val="bg-BG"/>
        </w:rPr>
        <w:t>Изследването, проучването и поддържането на регистъра на свлачищата в България</w:t>
      </w:r>
      <w:r w:rsidR="00E1635F" w:rsidRPr="00B73D7E">
        <w:rPr>
          <w:lang w:val="bg-BG"/>
        </w:rPr>
        <w:t>, включително и тези в градска среда,</w:t>
      </w:r>
      <w:r w:rsidR="00CC4D09" w:rsidRPr="00B73D7E">
        <w:rPr>
          <w:lang w:val="bg-BG"/>
        </w:rPr>
        <w:t xml:space="preserve">  се осъществява от геозащитните дружества на МРРБ със седалища във Варна, Плевен и Перник. </w:t>
      </w:r>
      <w:r w:rsidRPr="00B73D7E">
        <w:rPr>
          <w:lang w:val="bg-BG"/>
        </w:rPr>
        <w:t xml:space="preserve">Една от бариерите пред подходящото прилагане на техните научни резултати в анализите и планирането за адаптация към изменението на климата е ограниченият достъп до научноизследователски данни и публикации.    </w:t>
      </w:r>
    </w:p>
    <w:p w:rsidR="00AA4661" w:rsidRPr="00B73D7E" w:rsidRDefault="00AA4661" w:rsidP="00CF297A">
      <w:pPr>
        <w:pStyle w:val="BodyText"/>
        <w:numPr>
          <w:ilvl w:val="0"/>
          <w:numId w:val="41"/>
        </w:numPr>
        <w:ind w:left="0" w:firstLine="0"/>
        <w:rPr>
          <w:lang w:val="bg-BG"/>
        </w:rPr>
      </w:pPr>
      <w:r w:rsidRPr="00B73D7E">
        <w:rPr>
          <w:lang w:val="bg-BG"/>
        </w:rPr>
        <w:t xml:space="preserve">ИАОС към МОСВ събира и предоставя данни със свободен достъп за всички климатични компоненти и отговаря за всички доклади за състоянието на околната среда. Тези доклади се изготвят въз основа на информацията, анализите и прогнозите на гореспоменатите изследователски институти, НСИ, Националната система за мониторинг на околната среда и други, работещи в тази сфера, организации.   </w:t>
      </w:r>
    </w:p>
    <w:p w:rsidR="00AA4661" w:rsidRPr="00B73D7E" w:rsidRDefault="00AA4661" w:rsidP="00CF297A">
      <w:pPr>
        <w:pStyle w:val="BodyText"/>
        <w:numPr>
          <w:ilvl w:val="0"/>
          <w:numId w:val="41"/>
        </w:numPr>
        <w:ind w:left="0" w:firstLine="0"/>
        <w:rPr>
          <w:lang w:val="bg-BG"/>
        </w:rPr>
      </w:pPr>
      <w:r w:rsidRPr="00B73D7E">
        <w:rPr>
          <w:lang w:val="bg-BG"/>
        </w:rPr>
        <w:t xml:space="preserve">Специализираните изследвания в областта на градската среда и строителството се осъществяват от Националния изследователски институт за строителство към МРРБ. Институтът има уникален опит за изучаване и изпитване на строителни материали и поведение на сградите, и стабилност при екстремни високи и ниски температури, бури, </w:t>
      </w:r>
      <w:r w:rsidRPr="00B73D7E">
        <w:rPr>
          <w:lang w:val="bg-BG"/>
        </w:rPr>
        <w:lastRenderedPageBreak/>
        <w:t xml:space="preserve">наводнения и земетресения. През последните години той работи с намален капацитет, поради ограничения достъп до научни програми и ресурси като държавно търговско дружество.  </w:t>
      </w:r>
    </w:p>
    <w:p w:rsidR="00AA4661" w:rsidRPr="00B73D7E" w:rsidRDefault="00AA4661" w:rsidP="00CF297A">
      <w:pPr>
        <w:pStyle w:val="BodyText"/>
        <w:numPr>
          <w:ilvl w:val="0"/>
          <w:numId w:val="41"/>
        </w:numPr>
        <w:ind w:left="0" w:firstLine="0"/>
        <w:rPr>
          <w:lang w:val="bg-BG"/>
        </w:rPr>
      </w:pPr>
      <w:r w:rsidRPr="00B73D7E">
        <w:rPr>
          <w:lang w:val="bg-BG"/>
        </w:rPr>
        <w:t>Академичните институции, пряко или непряко свързани с градската среда и изменението на климата, са Университетът по архитектура, строителство и геодезия (УАСГ), Техническият университет (ТУ) (София), Университетът за национално и световно стопанство (УНСС) и Софийският университет "Св. Климент Охридски" (СУ). В повечето български университети академичните изследвания са предимно въпрос на саморазвитие, а не добре обоснован приоритет, основан на институционална научноизследователска програма. Докторантските програми и младите  изследователи следват подобна логика. Влиянието на изменението на климата върху градската среда не е представено в достатъчна степен в учебната програма за устройствено планиране, което отразява цялостния ограничен академичен и професионален капацитет за популяризиране на аспектите, свързани с АИК.</w:t>
      </w:r>
    </w:p>
    <w:p w:rsidR="00AA4661" w:rsidRPr="00B73D7E" w:rsidRDefault="00AA4661" w:rsidP="00CF297A">
      <w:pPr>
        <w:pStyle w:val="BodyText"/>
        <w:numPr>
          <w:ilvl w:val="0"/>
          <w:numId w:val="41"/>
        </w:numPr>
        <w:ind w:left="0" w:firstLine="0"/>
        <w:rPr>
          <w:lang w:val="bg-BG"/>
        </w:rPr>
      </w:pPr>
      <w:r w:rsidRPr="00B73D7E">
        <w:rPr>
          <w:lang w:val="bg-BG"/>
        </w:rPr>
        <w:t>Броят на малките и средните предприятия и частните фирми, участващи в изследванията, е незначителен. Проучване на Market LINKS, Research &amp; Consulting от 2005 г. показва, че са регистрирани повече от 22</w:t>
      </w:r>
      <w:r w:rsidR="008D2580">
        <w:rPr>
          <w:lang w:val="en-US"/>
        </w:rPr>
        <w:t xml:space="preserve"> </w:t>
      </w:r>
      <w:r w:rsidRPr="00B73D7E">
        <w:rPr>
          <w:lang w:val="bg-BG"/>
        </w:rPr>
        <w:t>000 неправителствени организации</w:t>
      </w:r>
      <w:r w:rsidRPr="00B73D7E">
        <w:rPr>
          <w:vertAlign w:val="superscript"/>
          <w:lang w:val="bg-BG"/>
        </w:rPr>
        <w:footnoteReference w:id="50"/>
      </w:r>
      <w:r w:rsidRPr="00B73D7E">
        <w:rPr>
          <w:lang w:val="bg-BG"/>
        </w:rPr>
        <w:t xml:space="preserve">, повечето от които съществуват само на хартия, като много малко работят активно в областта на градските изследвания, околната среда и изменението на климата. </w:t>
      </w:r>
    </w:p>
    <w:p w:rsidR="00AA4661" w:rsidRPr="00B73D7E" w:rsidRDefault="00AA4661" w:rsidP="00CF297A">
      <w:pPr>
        <w:pStyle w:val="BodyText"/>
        <w:numPr>
          <w:ilvl w:val="0"/>
          <w:numId w:val="41"/>
        </w:numPr>
        <w:ind w:left="0" w:firstLine="0"/>
        <w:rPr>
          <w:lang w:val="bg-BG"/>
        </w:rPr>
      </w:pPr>
      <w:r w:rsidRPr="00B73D7E">
        <w:rPr>
          <w:lang w:val="bg-BG"/>
        </w:rPr>
        <w:t>Всички тези констатации представляват значителни бариери за по-нататъшното изграждане на капацитет и повишаване на  знанието и информираността в страната, които се измерват най-добре чрез обществена ангажираност, достъп до комуникации и образование</w:t>
      </w:r>
      <w:r w:rsidRPr="00B73D7E">
        <w:rPr>
          <w:rStyle w:val="FootnoteReference"/>
          <w:rFonts w:eastAsia="Times New Roman"/>
          <w:color w:val="000000"/>
          <w:lang w:val="bg-BG"/>
        </w:rPr>
        <w:footnoteReference w:id="51"/>
      </w:r>
      <w:r w:rsidRPr="00B73D7E">
        <w:rPr>
          <w:rFonts w:eastAsia="Times New Roman"/>
          <w:color w:val="000000"/>
          <w:lang w:val="bg-BG"/>
        </w:rPr>
        <w:t>.</w:t>
      </w:r>
    </w:p>
    <w:p w:rsidR="00AA4661" w:rsidRPr="00B73D7E" w:rsidRDefault="00AA4661" w:rsidP="00E21095">
      <w:pPr>
        <w:pStyle w:val="Heading3"/>
        <w:numPr>
          <w:ilvl w:val="2"/>
          <w:numId w:val="25"/>
        </w:numPr>
        <w:autoSpaceDE/>
        <w:autoSpaceDN/>
        <w:adjustRightInd/>
        <w:spacing w:before="160"/>
        <w:ind w:left="0" w:firstLine="0"/>
        <w:rPr>
          <w:lang w:val="bg-BG"/>
        </w:rPr>
      </w:pPr>
      <w:bookmarkStart w:id="158" w:name="_Toc486259763"/>
      <w:bookmarkStart w:id="159" w:name="_Toc486942171"/>
      <w:bookmarkStart w:id="160" w:name="_Toc501454848"/>
      <w:bookmarkStart w:id="161" w:name="_Toc522030550"/>
      <w:bookmarkStart w:id="162" w:name="_Toc529285535"/>
      <w:r w:rsidRPr="00B73D7E">
        <w:rPr>
          <w:lang w:val="bg-BG"/>
        </w:rPr>
        <w:t>Степен на информираност и пропуски в познанието</w:t>
      </w:r>
      <w:bookmarkEnd w:id="158"/>
      <w:bookmarkEnd w:id="159"/>
      <w:bookmarkEnd w:id="160"/>
      <w:bookmarkEnd w:id="161"/>
      <w:bookmarkEnd w:id="162"/>
    </w:p>
    <w:p w:rsidR="00AA4661" w:rsidRPr="00B73D7E" w:rsidRDefault="00AA4661" w:rsidP="00CF297A">
      <w:pPr>
        <w:pStyle w:val="BodyText"/>
        <w:numPr>
          <w:ilvl w:val="0"/>
          <w:numId w:val="41"/>
        </w:numPr>
        <w:ind w:left="0" w:firstLine="0"/>
        <w:rPr>
          <w:lang w:val="bg-BG"/>
        </w:rPr>
      </w:pPr>
      <w:r w:rsidRPr="00B73D7E">
        <w:rPr>
          <w:lang w:val="bg-BG"/>
        </w:rPr>
        <w:t xml:space="preserve">Проблемите на околната среда, особено тези, свързани с изменението на климата, бяха оставени на заден план в днешната политическа програма на България. Тази ситуация може да се обясни с трудното икономическо положение на страната и дълбоките социални проблеми, включително бедност, безработица, ниско ниво на здравеопазване и демографска криза. През последното десетилетие ангажиментите на страната към ЕС по отношение на изменението на климата изискват повишаване на информираността и се съдържат във всички приети политически, законодателни и стратегически документи за всички сектори на икономиката, включително градската среда. </w:t>
      </w:r>
    </w:p>
    <w:p w:rsidR="00AA4661" w:rsidRPr="00B73D7E" w:rsidRDefault="00AA4661" w:rsidP="00CF297A">
      <w:pPr>
        <w:pStyle w:val="BodyText"/>
        <w:numPr>
          <w:ilvl w:val="0"/>
          <w:numId w:val="41"/>
        </w:numPr>
        <w:ind w:left="0" w:firstLine="0"/>
        <w:rPr>
          <w:lang w:val="bg-BG"/>
        </w:rPr>
      </w:pPr>
      <w:r w:rsidRPr="00B73D7E">
        <w:rPr>
          <w:lang w:val="bg-BG"/>
        </w:rPr>
        <w:t xml:space="preserve">В България загрижеността за последиците от изменението на климата на общинско ниво е свързана с местните отговорности за предотвратяване и реагиране при природни бедствия и при проблеми като наводнения, замърсяване на водите и въздуха, шум, транспортни инциденти, недостиг на питейна вода, прекомерното застрояване и унищожаване на зелените площи. В много случаи местните власти не разполагат с компетентности и ресурси, за да предприемат необходимите превантивни и адекватни </w:t>
      </w:r>
      <w:r w:rsidRPr="00B73D7E">
        <w:rPr>
          <w:lang w:val="bg-BG"/>
        </w:rPr>
        <w:lastRenderedPageBreak/>
        <w:t xml:space="preserve">мерки, като обикновено търсят подкрепа от държавните институции. Предвид степента, до която са изпълнени тези традиционни общински отговорности, изглежда трудно да се очаква, че те ще се развият бързо и така ще осигурят подходяща адаптация към изменението на климата и управлението на свързаните рискове. Това е по-вероятно да бъде постепенен процес, продължаващ в бъдещето. Понастоящем единствените "практически" мерки, свързани с изменението на климата, са ограничени до подготовка на документи на национално ниво и откъслечно на общинско ниво, поради изискванията на ЕС.  </w:t>
      </w:r>
    </w:p>
    <w:p w:rsidR="00AA4661" w:rsidRPr="00B73D7E" w:rsidRDefault="00AA4661" w:rsidP="00CF297A">
      <w:pPr>
        <w:pStyle w:val="BodyText"/>
        <w:numPr>
          <w:ilvl w:val="0"/>
          <w:numId w:val="41"/>
        </w:numPr>
        <w:ind w:left="0" w:firstLine="0"/>
        <w:rPr>
          <w:lang w:val="bg-BG"/>
        </w:rPr>
      </w:pPr>
      <w:r w:rsidRPr="00B73D7E">
        <w:rPr>
          <w:lang w:val="bg-BG"/>
        </w:rPr>
        <w:t>Въпросите за АИК изискват информираност и разбиране на всички обществени равнища, от правителството надолу до отделните граждани. НПО в България ще трябва да играят важна роля в този процес. Текущите им дейности обаче са ограничени до решаване проблемите на определени защитени територии и опазването на зелената система. Все още липсва изчерпателна и дългосрочна визия за градската среда и нейните проблеми, включително рисковете, които произтичат от очакваното ИК.</w:t>
      </w:r>
    </w:p>
    <w:p w:rsidR="00AA4661" w:rsidRPr="00B73D7E" w:rsidRDefault="00AA4661" w:rsidP="00CF297A">
      <w:pPr>
        <w:pStyle w:val="BodyText"/>
        <w:numPr>
          <w:ilvl w:val="0"/>
          <w:numId w:val="41"/>
        </w:numPr>
        <w:spacing w:after="60"/>
        <w:ind w:left="0" w:firstLine="0"/>
        <w:rPr>
          <w:lang w:val="bg-BG"/>
        </w:rPr>
      </w:pPr>
      <w:r w:rsidRPr="00B73D7E">
        <w:rPr>
          <w:lang w:val="bg-BG"/>
        </w:rPr>
        <w:t>Някои от най-важните пропуски в знанията, които са предизвикателство пред АИК на градската среда в България, са следните:</w:t>
      </w:r>
    </w:p>
    <w:p w:rsidR="00AA4661" w:rsidRPr="00B73D7E" w:rsidRDefault="00AA4661" w:rsidP="00E21095">
      <w:pPr>
        <w:pStyle w:val="ListParagraph1"/>
        <w:numPr>
          <w:ilvl w:val="0"/>
          <w:numId w:val="11"/>
        </w:numPr>
        <w:spacing w:after="60"/>
        <w:contextualSpacing w:val="0"/>
        <w:jc w:val="both"/>
        <w:rPr>
          <w:rFonts w:ascii="Times New Roman" w:hAnsi="Times New Roman"/>
          <w:sz w:val="24"/>
          <w:szCs w:val="24"/>
          <w:lang w:val="bg-BG"/>
        </w:rPr>
      </w:pPr>
      <w:r w:rsidRPr="00B73D7E">
        <w:rPr>
          <w:rFonts w:ascii="Times New Roman" w:hAnsi="Times New Roman"/>
          <w:b/>
          <w:sz w:val="24"/>
          <w:szCs w:val="24"/>
          <w:lang w:val="bg-BG"/>
        </w:rPr>
        <w:t>Пропуски в познанията</w:t>
      </w:r>
      <w:r w:rsidRPr="00B73D7E">
        <w:rPr>
          <w:rFonts w:ascii="Times New Roman" w:hAnsi="Times New Roman"/>
          <w:sz w:val="24"/>
          <w:szCs w:val="24"/>
          <w:lang w:val="bg-BG"/>
        </w:rPr>
        <w:t xml:space="preserve"> за връзките между социално-икономическите модели на урбанизация и сценариите за изменението на климата; недостатъчно интердисциплинарни и трансдисциплинарни подходи към градската среда за смекчаване на изменението на климата и адаптиране към него;  </w:t>
      </w:r>
    </w:p>
    <w:p w:rsidR="00AA4661" w:rsidRPr="00B73D7E" w:rsidRDefault="00AA4661" w:rsidP="00E21095">
      <w:pPr>
        <w:pStyle w:val="ListParagraph1"/>
        <w:numPr>
          <w:ilvl w:val="0"/>
          <w:numId w:val="11"/>
        </w:numPr>
        <w:spacing w:after="60"/>
        <w:contextualSpacing w:val="0"/>
        <w:jc w:val="both"/>
        <w:rPr>
          <w:rFonts w:ascii="Times New Roman" w:hAnsi="Times New Roman"/>
          <w:sz w:val="24"/>
          <w:szCs w:val="24"/>
          <w:lang w:val="bg-BG"/>
        </w:rPr>
      </w:pPr>
      <w:r w:rsidRPr="00B73D7E">
        <w:rPr>
          <w:rFonts w:ascii="Times New Roman" w:hAnsi="Times New Roman"/>
          <w:b/>
          <w:sz w:val="24"/>
          <w:szCs w:val="24"/>
          <w:lang w:val="bg-BG"/>
        </w:rPr>
        <w:t>Методологични пропуски</w:t>
      </w:r>
      <w:r w:rsidRPr="00B73D7E">
        <w:rPr>
          <w:rFonts w:ascii="Times New Roman" w:hAnsi="Times New Roman"/>
          <w:i/>
          <w:sz w:val="24"/>
          <w:szCs w:val="24"/>
          <w:lang w:val="bg-BG"/>
        </w:rPr>
        <w:t xml:space="preserve"> </w:t>
      </w:r>
      <w:r w:rsidRPr="00B73D7E">
        <w:rPr>
          <w:rFonts w:ascii="Times New Roman" w:hAnsi="Times New Roman"/>
          <w:sz w:val="24"/>
          <w:szCs w:val="24"/>
          <w:lang w:val="bg-BG"/>
        </w:rPr>
        <w:t>- липса на общоприета методология и подходящи инструменти за оценка на рисковете от изменението на климата и оценка на уязвимостта на ниво градове; недостатъчно разработени методи и насоки за гъвкаво планиране на градовете по отношение на климатичните промени;</w:t>
      </w:r>
    </w:p>
    <w:p w:rsidR="00AA4661" w:rsidRPr="00B73D7E" w:rsidRDefault="00AA4661" w:rsidP="00E21095">
      <w:pPr>
        <w:pStyle w:val="ListParagraph1"/>
        <w:numPr>
          <w:ilvl w:val="0"/>
          <w:numId w:val="11"/>
        </w:numPr>
        <w:spacing w:after="60"/>
        <w:contextualSpacing w:val="0"/>
        <w:jc w:val="both"/>
        <w:rPr>
          <w:rFonts w:ascii="Times New Roman" w:hAnsi="Times New Roman"/>
          <w:sz w:val="24"/>
          <w:szCs w:val="24"/>
          <w:lang w:val="bg-BG"/>
        </w:rPr>
      </w:pPr>
      <w:r w:rsidRPr="00B73D7E">
        <w:rPr>
          <w:rFonts w:ascii="Times New Roman" w:hAnsi="Times New Roman"/>
          <w:b/>
          <w:sz w:val="24"/>
          <w:szCs w:val="24"/>
          <w:lang w:val="bg-BG"/>
        </w:rPr>
        <w:t>Информационни пропуски</w:t>
      </w:r>
      <w:r w:rsidRPr="00B73D7E">
        <w:rPr>
          <w:rFonts w:ascii="Times New Roman" w:hAnsi="Times New Roman"/>
          <w:i/>
          <w:sz w:val="24"/>
          <w:szCs w:val="24"/>
          <w:lang w:val="bg-BG"/>
        </w:rPr>
        <w:t xml:space="preserve"> - </w:t>
      </w:r>
      <w:r w:rsidRPr="00B73D7E">
        <w:rPr>
          <w:rFonts w:ascii="Times New Roman" w:hAnsi="Times New Roman"/>
          <w:sz w:val="24"/>
          <w:szCs w:val="24"/>
          <w:lang w:val="bg-BG"/>
        </w:rPr>
        <w:t>липса на научна и техническа информация на местно ниво за различни градове и различни градски модели или типологии; липса на информация за потреблението на енергия и за потенциала за спестяване на нежилищни обществени и частни сгради;</w:t>
      </w:r>
    </w:p>
    <w:p w:rsidR="00AA4661" w:rsidRPr="00B73D7E" w:rsidRDefault="00AA4661" w:rsidP="00E21095">
      <w:pPr>
        <w:pStyle w:val="ListParagraph1"/>
        <w:numPr>
          <w:ilvl w:val="0"/>
          <w:numId w:val="11"/>
        </w:numPr>
        <w:spacing w:after="60"/>
        <w:contextualSpacing w:val="0"/>
        <w:jc w:val="both"/>
        <w:rPr>
          <w:rFonts w:ascii="Times New Roman" w:hAnsi="Times New Roman"/>
          <w:sz w:val="24"/>
          <w:szCs w:val="24"/>
          <w:lang w:val="bg-BG"/>
        </w:rPr>
      </w:pPr>
      <w:r w:rsidRPr="00B73D7E">
        <w:rPr>
          <w:rFonts w:ascii="Times New Roman" w:hAnsi="Times New Roman"/>
          <w:b/>
          <w:sz w:val="24"/>
          <w:szCs w:val="24"/>
          <w:lang w:val="bg-BG"/>
        </w:rPr>
        <w:t>Технологични недостатъци</w:t>
      </w:r>
      <w:r w:rsidRPr="00B73D7E">
        <w:rPr>
          <w:rFonts w:ascii="Times New Roman" w:hAnsi="Times New Roman"/>
          <w:i/>
          <w:sz w:val="24"/>
          <w:szCs w:val="24"/>
          <w:lang w:val="bg-BG"/>
        </w:rPr>
        <w:t xml:space="preserve"> </w:t>
      </w:r>
      <w:r w:rsidRPr="00B73D7E">
        <w:rPr>
          <w:rFonts w:ascii="Times New Roman" w:hAnsi="Times New Roman"/>
          <w:sz w:val="24"/>
          <w:szCs w:val="24"/>
          <w:lang w:val="bg-BG"/>
        </w:rPr>
        <w:t>- недостатъчен сравнителен анализ на традиционните и "зелените" модели  за потребление на сгради и разходи за преоборудване;</w:t>
      </w:r>
    </w:p>
    <w:p w:rsidR="00AA4661" w:rsidRPr="00B73D7E" w:rsidRDefault="00AA4661" w:rsidP="00E21095">
      <w:pPr>
        <w:pStyle w:val="ListParagraph1"/>
        <w:numPr>
          <w:ilvl w:val="0"/>
          <w:numId w:val="11"/>
        </w:numPr>
        <w:spacing w:after="60"/>
        <w:contextualSpacing w:val="0"/>
        <w:jc w:val="both"/>
        <w:rPr>
          <w:rFonts w:ascii="Times New Roman" w:hAnsi="Times New Roman"/>
          <w:sz w:val="24"/>
          <w:szCs w:val="24"/>
          <w:lang w:val="bg-BG"/>
        </w:rPr>
      </w:pPr>
      <w:r w:rsidRPr="00B73D7E">
        <w:rPr>
          <w:rFonts w:ascii="Times New Roman" w:hAnsi="Times New Roman"/>
          <w:b/>
          <w:sz w:val="24"/>
          <w:szCs w:val="24"/>
          <w:lang w:val="bg-BG"/>
        </w:rPr>
        <w:t>Финансови недостатъци</w:t>
      </w:r>
      <w:r w:rsidRPr="00B73D7E">
        <w:rPr>
          <w:rFonts w:ascii="Times New Roman" w:hAnsi="Times New Roman"/>
          <w:i/>
          <w:sz w:val="24"/>
          <w:szCs w:val="24"/>
          <w:lang w:val="bg-BG"/>
        </w:rPr>
        <w:t xml:space="preserve"> – </w:t>
      </w:r>
      <w:r w:rsidRPr="00B73D7E">
        <w:rPr>
          <w:rFonts w:ascii="Times New Roman" w:hAnsi="Times New Roman"/>
          <w:sz w:val="24"/>
          <w:szCs w:val="24"/>
          <w:lang w:val="bg-BG"/>
        </w:rPr>
        <w:t>малко на брой изчисления на преките и косвени разходи за щети, липса на оценка на разходите и ползите от изпълнени действия за АИК и цената на бездействието или неправилното адаптиране; не съществува споделяне на финансовите ресурси за АИК между различните отговорни институции;</w:t>
      </w:r>
    </w:p>
    <w:p w:rsidR="00AA4661" w:rsidRPr="00B73D7E" w:rsidRDefault="00AA4661" w:rsidP="00E21095">
      <w:pPr>
        <w:pStyle w:val="ListParagraph1"/>
        <w:numPr>
          <w:ilvl w:val="0"/>
          <w:numId w:val="11"/>
        </w:numPr>
        <w:spacing w:after="60"/>
        <w:contextualSpacing w:val="0"/>
        <w:jc w:val="both"/>
        <w:rPr>
          <w:rFonts w:ascii="Times New Roman" w:hAnsi="Times New Roman"/>
          <w:sz w:val="24"/>
          <w:szCs w:val="24"/>
          <w:lang w:val="bg-BG"/>
        </w:rPr>
      </w:pPr>
      <w:r w:rsidRPr="00B73D7E">
        <w:rPr>
          <w:rFonts w:ascii="Times New Roman" w:hAnsi="Times New Roman"/>
          <w:b/>
          <w:sz w:val="24"/>
          <w:szCs w:val="24"/>
          <w:lang w:val="bg-BG"/>
        </w:rPr>
        <w:t>Пропуски в прилагането</w:t>
      </w:r>
      <w:r w:rsidRPr="00B73D7E">
        <w:rPr>
          <w:rFonts w:ascii="Times New Roman" w:hAnsi="Times New Roman"/>
          <w:i/>
          <w:sz w:val="24"/>
          <w:szCs w:val="24"/>
          <w:lang w:val="bg-BG"/>
        </w:rPr>
        <w:t xml:space="preserve"> - </w:t>
      </w:r>
      <w:r w:rsidRPr="00B73D7E">
        <w:rPr>
          <w:rFonts w:ascii="Times New Roman" w:hAnsi="Times New Roman"/>
          <w:sz w:val="24"/>
          <w:szCs w:val="24"/>
          <w:lang w:val="bg-BG"/>
        </w:rPr>
        <w:t>ниска ефективност на дългосрочните и на незабавно прилаганите мерки; недоразвита система от индикатори за измерване на въздействията и резултатите от АИК; и</w:t>
      </w:r>
    </w:p>
    <w:p w:rsidR="00AA4661" w:rsidRPr="00B73D7E" w:rsidRDefault="00AA4661" w:rsidP="007D240D">
      <w:pPr>
        <w:pStyle w:val="ListParagraph1"/>
        <w:numPr>
          <w:ilvl w:val="0"/>
          <w:numId w:val="11"/>
        </w:numPr>
        <w:contextualSpacing w:val="0"/>
        <w:jc w:val="both"/>
        <w:rPr>
          <w:rFonts w:ascii="Times New Roman" w:hAnsi="Times New Roman"/>
          <w:sz w:val="24"/>
          <w:szCs w:val="24"/>
          <w:lang w:val="bg-BG"/>
        </w:rPr>
      </w:pPr>
      <w:r w:rsidRPr="00B73D7E">
        <w:rPr>
          <w:rFonts w:ascii="Times New Roman" w:hAnsi="Times New Roman"/>
          <w:b/>
          <w:sz w:val="24"/>
          <w:szCs w:val="24"/>
          <w:lang w:val="bg-BG"/>
        </w:rPr>
        <w:t>Пропуски в управлението</w:t>
      </w:r>
      <w:r w:rsidRPr="00B73D7E">
        <w:rPr>
          <w:rFonts w:ascii="Times New Roman" w:hAnsi="Times New Roman"/>
          <w:i/>
          <w:sz w:val="24"/>
          <w:szCs w:val="24"/>
          <w:lang w:val="bg-BG"/>
        </w:rPr>
        <w:t xml:space="preserve"> - </w:t>
      </w:r>
      <w:r w:rsidRPr="00B73D7E">
        <w:rPr>
          <w:rFonts w:ascii="Times New Roman" w:hAnsi="Times New Roman"/>
          <w:sz w:val="24"/>
          <w:szCs w:val="24"/>
          <w:lang w:val="bg-BG"/>
        </w:rPr>
        <w:t xml:space="preserve">липса на законодателни инструменти за прилагане на мерки за АИК; липса на инструменти за управление в подкрепа на вземането </w:t>
      </w:r>
      <w:r w:rsidRPr="00B73D7E">
        <w:rPr>
          <w:rFonts w:ascii="Times New Roman" w:hAnsi="Times New Roman"/>
          <w:sz w:val="24"/>
          <w:szCs w:val="24"/>
          <w:lang w:val="bg-BG"/>
        </w:rPr>
        <w:lastRenderedPageBreak/>
        <w:t xml:space="preserve">на решения и лоши комуникационни умения за разрешаване на конфликти и изграждане на консенсус. </w:t>
      </w:r>
    </w:p>
    <w:p w:rsidR="00AA4661" w:rsidRPr="00B73D7E" w:rsidRDefault="00AA4661" w:rsidP="00CF297A">
      <w:pPr>
        <w:pStyle w:val="BodyText"/>
        <w:numPr>
          <w:ilvl w:val="0"/>
          <w:numId w:val="41"/>
        </w:numPr>
        <w:ind w:left="0" w:firstLine="0"/>
        <w:rPr>
          <w:lang w:val="bg-BG"/>
        </w:rPr>
      </w:pPr>
      <w:r w:rsidRPr="00B73D7E">
        <w:rPr>
          <w:lang w:val="bg-BG"/>
        </w:rPr>
        <w:t xml:space="preserve">Генерирането на знания и информация на местно ниво ще изисква събиране и изследване на допълнителни данни и по-дългосрочни наблюдения. Най-важното предизвикателство за България обаче ще бъде обменът на информация и обменът на знания, ако трябва да се постигне необходимото взаимодействие при смекчаването и адаптирането към изменението на климата. </w:t>
      </w:r>
    </w:p>
    <w:p w:rsidR="00AA4661" w:rsidRPr="00B73D7E" w:rsidRDefault="00AA4661" w:rsidP="00E21095">
      <w:pPr>
        <w:pStyle w:val="Heading2"/>
        <w:numPr>
          <w:ilvl w:val="1"/>
          <w:numId w:val="25"/>
        </w:numPr>
        <w:spacing w:line="240" w:lineRule="auto"/>
        <w:ind w:left="0" w:firstLine="0"/>
        <w:rPr>
          <w:szCs w:val="20"/>
          <w:lang w:val="bg-BG"/>
        </w:rPr>
      </w:pPr>
      <w:bookmarkStart w:id="163" w:name="_Toc486259764"/>
      <w:bookmarkStart w:id="164" w:name="_Toc486942172"/>
      <w:bookmarkStart w:id="165" w:name="_Toc501454849"/>
      <w:bookmarkStart w:id="166" w:name="_Toc522030551"/>
      <w:bookmarkStart w:id="167" w:name="_Toc529285536"/>
      <w:r w:rsidRPr="00B73D7E">
        <w:rPr>
          <w:lang w:val="bg-BG"/>
        </w:rPr>
        <w:t>Опит с АИК за градска среда в други държави</w:t>
      </w:r>
      <w:bookmarkEnd w:id="163"/>
      <w:bookmarkEnd w:id="164"/>
      <w:r w:rsidRPr="00B73D7E">
        <w:rPr>
          <w:lang w:val="bg-BG"/>
        </w:rPr>
        <w:t xml:space="preserve"> (в ЕС)</w:t>
      </w:r>
      <w:bookmarkEnd w:id="165"/>
      <w:bookmarkEnd w:id="166"/>
      <w:bookmarkEnd w:id="167"/>
    </w:p>
    <w:p w:rsidR="00AA4661" w:rsidRPr="00B73D7E" w:rsidRDefault="00AA4661" w:rsidP="00CF297A">
      <w:pPr>
        <w:pStyle w:val="BodyText"/>
        <w:numPr>
          <w:ilvl w:val="0"/>
          <w:numId w:val="41"/>
        </w:numPr>
        <w:ind w:left="0" w:firstLine="0"/>
        <w:rPr>
          <w:lang w:val="bg-BG"/>
        </w:rPr>
      </w:pPr>
      <w:r w:rsidRPr="00B73D7E">
        <w:rPr>
          <w:lang w:val="bg-BG"/>
        </w:rPr>
        <w:t>Общата рамка на политиката на ЕС в областта на околната среда се определя от Седмата обща програма за действие в областта на околната среда до 2020 г. "Да живеем добре в пределите на нашата планета". Две от нейните приоритетни цели са насочени към градската среда с цел "да се направят градовете по-устойчиви" и "да се помогне на Съюза да се справи по-ефективно с международните предизвикателства, свързани с околната среда и климата"</w:t>
      </w:r>
      <w:r w:rsidRPr="00B73D7E">
        <w:rPr>
          <w:rStyle w:val="FootnoteReference"/>
          <w:rFonts w:eastAsia="Times New Roman"/>
          <w:lang w:val="bg-BG"/>
        </w:rPr>
        <w:footnoteReference w:id="52"/>
      </w:r>
      <w:r w:rsidRPr="00B73D7E">
        <w:rPr>
          <w:lang w:val="bg-BG"/>
        </w:rPr>
        <w:t xml:space="preserve">. Стратегията </w:t>
      </w:r>
      <w:r w:rsidRPr="00B73D7E">
        <w:rPr>
          <w:i/>
          <w:lang w:val="bg-BG"/>
        </w:rPr>
        <w:t>"Европа 2020"</w:t>
      </w:r>
      <w:r w:rsidRPr="00B73D7E">
        <w:rPr>
          <w:lang w:val="bg-BG"/>
        </w:rPr>
        <w:t xml:space="preserve"> определя целите за намаляване на емисиите на ПГ до 2050 г. с пакети от мерки в областта на климата и енергетиката, които се отнасят до сектори, тясно свързани с градската среда. Най-голямата научноизследователска и иновационна програма на ЕС</w:t>
      </w:r>
      <w:r w:rsidRPr="00B73D7E">
        <w:rPr>
          <w:i/>
          <w:lang w:val="bg-BG"/>
        </w:rPr>
        <w:t xml:space="preserve"> </w:t>
      </w:r>
      <w:r w:rsidRPr="00B73D7E">
        <w:rPr>
          <w:lang w:val="bg-BG"/>
        </w:rPr>
        <w:t>"Хоризонт 2020" финансира водещи проекти за АИК и допринася за генерирането на знания.</w:t>
      </w:r>
    </w:p>
    <w:p w:rsidR="00AA4661" w:rsidRPr="00B73D7E" w:rsidRDefault="00AA4661" w:rsidP="00CF297A">
      <w:pPr>
        <w:pStyle w:val="BodyText"/>
        <w:numPr>
          <w:ilvl w:val="0"/>
          <w:numId w:val="41"/>
        </w:numPr>
        <w:ind w:left="0" w:firstLine="0"/>
        <w:rPr>
          <w:lang w:val="bg-BG"/>
        </w:rPr>
      </w:pPr>
      <w:r w:rsidRPr="00B73D7E">
        <w:rPr>
          <w:b/>
          <w:lang w:val="bg-BG"/>
        </w:rPr>
        <w:t>Стратегията на ЕС за адаптиране към изменението на климата "Укрепване на устойчивостта на Европа спрямо последиците от изменението на климата"</w:t>
      </w:r>
      <w:r w:rsidRPr="00B73D7E">
        <w:rPr>
          <w:i/>
          <w:lang w:val="bg-BG"/>
        </w:rPr>
        <w:t>,</w:t>
      </w:r>
      <w:r w:rsidRPr="00B73D7E">
        <w:rPr>
          <w:lang w:val="bg-BG"/>
        </w:rPr>
        <w:t xml:space="preserve"> приета през 2013 г., има за цел да подобри координацията и капацитета за реагиране на въздействието на изменението на климата, на всички правителствени равнища. Градската околна среда не е сред утвърдените уязвими сектори, но политиката на сближаване се счита за много важна за българското регионално и териториално развитие и за социалните и икономически мерки за намаляване на неравенството. В полза на адаптирането на градската среда е подкрепата за всички държави-членки и местните власти, осигурена от Европейската платформа за климата ADAPT и инициативата на Споразумението на кметовете за климата и енергетиката. Процесът на оценяване на стратегията продължава до края на 2017 г., когато трябва да се проучи  значимостта, ефективността, ефикасността, съгласуваността и добавената стойност на прилаганите действия</w:t>
      </w:r>
      <w:r w:rsidRPr="00B73D7E">
        <w:rPr>
          <w:rStyle w:val="FootnoteReference"/>
          <w:lang w:val="bg-BG"/>
        </w:rPr>
        <w:footnoteReference w:id="53"/>
      </w:r>
      <w:r w:rsidRPr="00B73D7E">
        <w:rPr>
          <w:lang w:val="bg-BG"/>
        </w:rPr>
        <w:t>.</w:t>
      </w:r>
    </w:p>
    <w:p w:rsidR="00AA4661" w:rsidRPr="00B73D7E" w:rsidRDefault="00AA4661" w:rsidP="007D240D">
      <w:pPr>
        <w:pStyle w:val="Heading3"/>
        <w:numPr>
          <w:ilvl w:val="2"/>
          <w:numId w:val="25"/>
        </w:numPr>
        <w:autoSpaceDE/>
        <w:autoSpaceDN/>
        <w:adjustRightInd/>
        <w:spacing w:before="160"/>
        <w:ind w:left="0" w:firstLine="0"/>
        <w:rPr>
          <w:rFonts w:eastAsia="Times New Roman"/>
          <w:lang w:val="bg-BG" w:eastAsia="bg-BG"/>
        </w:rPr>
      </w:pPr>
      <w:bookmarkStart w:id="168" w:name="_Toc486259765"/>
      <w:bookmarkStart w:id="169" w:name="_Toc486942173"/>
      <w:bookmarkStart w:id="170" w:name="_Toc501454850"/>
      <w:bookmarkStart w:id="171" w:name="_Toc522030552"/>
      <w:bookmarkStart w:id="172" w:name="_Toc529285537"/>
      <w:r w:rsidRPr="00B73D7E">
        <w:rPr>
          <w:lang w:val="bg-BG" w:eastAsia="bg-BG"/>
        </w:rPr>
        <w:t>Политически контекст на адаптацията към климатичните промени в градска среда</w:t>
      </w:r>
      <w:bookmarkEnd w:id="168"/>
      <w:bookmarkEnd w:id="169"/>
      <w:bookmarkEnd w:id="170"/>
      <w:r w:rsidRPr="00B73D7E">
        <w:rPr>
          <w:lang w:val="bg-BG" w:eastAsia="bg-BG"/>
        </w:rPr>
        <w:t xml:space="preserve"> в ЕС</w:t>
      </w:r>
      <w:bookmarkEnd w:id="171"/>
      <w:bookmarkEnd w:id="172"/>
      <w:r w:rsidRPr="00B73D7E">
        <w:rPr>
          <w:rFonts w:eastAsia="Times New Roman"/>
          <w:lang w:val="bg-BG" w:eastAsia="bg-BG"/>
        </w:rPr>
        <w:t xml:space="preserve"> </w:t>
      </w:r>
    </w:p>
    <w:p w:rsidR="00AA4661" w:rsidRPr="00B73D7E" w:rsidRDefault="00AA4661" w:rsidP="00CF297A">
      <w:pPr>
        <w:pStyle w:val="BodyText"/>
        <w:numPr>
          <w:ilvl w:val="0"/>
          <w:numId w:val="41"/>
        </w:numPr>
        <w:ind w:left="0" w:firstLine="0"/>
        <w:rPr>
          <w:lang w:val="bg-BG"/>
        </w:rPr>
      </w:pPr>
      <w:r w:rsidRPr="00B73D7E">
        <w:rPr>
          <w:lang w:val="bg-BG"/>
        </w:rPr>
        <w:t>В ЕС има силна политическа подкрепа за изследване на въздействието на изменението на климата върху градската среда, включително върху устройственото планиране и развитие. Това ясно се отразява в стратегическите документи и оценки и най-добре е представено в два последователни доклада относно градската среда от ЕАОС през 2012 г. и 2016 г.</w:t>
      </w:r>
      <w:r w:rsidRPr="00B73D7E">
        <w:rPr>
          <w:rStyle w:val="FootnoteReference"/>
          <w:rFonts w:eastAsia="Times New Roman"/>
          <w:lang w:val="bg-BG"/>
        </w:rPr>
        <w:footnoteReference w:id="54"/>
      </w:r>
      <w:r w:rsidRPr="00B73D7E">
        <w:rPr>
          <w:lang w:val="bg-BG"/>
        </w:rPr>
        <w:t xml:space="preserve"> И двата доклада допълват други проучвания и източници </w:t>
      </w:r>
      <w:r w:rsidRPr="00B73D7E">
        <w:rPr>
          <w:lang w:val="bg-BG"/>
        </w:rPr>
        <w:lastRenderedPageBreak/>
        <w:t xml:space="preserve">на информация и подкрепят ефективното участие на местните власти в процеса на адаптиране.  </w:t>
      </w:r>
    </w:p>
    <w:p w:rsidR="00AA4661" w:rsidRPr="00B73D7E" w:rsidRDefault="00AA4661" w:rsidP="00CF297A">
      <w:pPr>
        <w:pStyle w:val="BodyText"/>
        <w:numPr>
          <w:ilvl w:val="0"/>
          <w:numId w:val="41"/>
        </w:numPr>
        <w:ind w:left="0" w:firstLine="0"/>
        <w:rPr>
          <w:lang w:val="bg-BG"/>
        </w:rPr>
      </w:pPr>
      <w:r w:rsidRPr="00B73D7E">
        <w:rPr>
          <w:lang w:val="bg-BG"/>
        </w:rPr>
        <w:t xml:space="preserve">Първият доклад - "Приспособяване на градовете към изменението на климата в Европа. Предизвикателства и възможности за градовете, заедно с поддържащите национални и европейски политики" представя най-важните потенциални въздействия на екстремните температури, валежите, наводненията и сушата върху градовете в зависимост от големината, географското разположение, градските модели и икономическото развитие. Той предлага набор от решения за адаптация на различните нива на устройство на територията в добре структурирана методологична и многостепенна политическа рамка.  </w:t>
      </w:r>
    </w:p>
    <w:p w:rsidR="00AA4661" w:rsidRPr="00B73D7E" w:rsidRDefault="00AA4661" w:rsidP="00CF297A">
      <w:pPr>
        <w:pStyle w:val="BodyText"/>
        <w:numPr>
          <w:ilvl w:val="0"/>
          <w:numId w:val="41"/>
        </w:numPr>
        <w:ind w:left="0" w:firstLine="0"/>
        <w:rPr>
          <w:lang w:val="bg-BG"/>
        </w:rPr>
      </w:pPr>
      <w:r w:rsidRPr="00B73D7E">
        <w:rPr>
          <w:lang w:val="bg-BG"/>
        </w:rPr>
        <w:t xml:space="preserve">Вторият доклад  - </w:t>
      </w:r>
      <w:r w:rsidRPr="00B73D7E">
        <w:rPr>
          <w:i/>
          <w:lang w:val="bg-BG"/>
        </w:rPr>
        <w:t>"</w:t>
      </w:r>
      <w:r w:rsidRPr="00B73D7E">
        <w:rPr>
          <w:lang w:val="bg-BG"/>
        </w:rPr>
        <w:t xml:space="preserve">Градска адаптация към изменението на климата в Европа 2016. Трансформиране на градовете в променящия се климат" се основава на предишния доклад, прави преглед на напредъка, постигнат в адаптирането към изменението на климата на градовете в Европа и допълва други инструменти, публикации и инициативи за адаптиране на околната среда. Той е  адресиран към по-широка целева аудитория, която включва лица, вземащи решения на различни равнища, различни заинтересовани страни, изследователи, практици в планирането и представители на обществеността. Докладът осигурява по-добри връзки между социално-икономическите фактори и тенденциите в изменението на климата, насърчава системния подход и представя смекчаването и адаптирането в по-широка перспектива. Характеристиките на анализираните адаптационни подходи (справяне, постепенно и трансформационно адаптиране) са представени с техните цели, мащаб, времева рамка, планиране и управление. Приоритет се дава на подхода за трансформационна адаптация, поради добавеното качество чрез сложни мерки и потенциал за увеличаване на устойчивостта на градовете спрямо изменението на климата и за по-привлекателни и устойчиви пространства чрез творческо градско проектиране. Избраните области на действие са управление, знания и информираност, планиране и изпълнение, икономика на градската адаптация, мониторинг и оценка (МиО). </w:t>
      </w:r>
    </w:p>
    <w:p w:rsidR="00AA4661" w:rsidRPr="00B73D7E" w:rsidRDefault="00AA4661" w:rsidP="00CF297A">
      <w:pPr>
        <w:pStyle w:val="BodyText"/>
        <w:numPr>
          <w:ilvl w:val="0"/>
          <w:numId w:val="41"/>
        </w:numPr>
        <w:ind w:left="0" w:firstLine="0"/>
        <w:rPr>
          <w:lang w:val="bg-BG"/>
        </w:rPr>
      </w:pPr>
      <w:r w:rsidRPr="00B73D7E">
        <w:rPr>
          <w:lang w:val="bg-BG"/>
        </w:rPr>
        <w:t>Последните послания в тези доклади са за разширяване на хоризонтите за устройствено планиране в пространството и времето, трансформиране на градската среда чрез премахване на уязвимите горещи точки, преосмисляне на знанията и по-широко, по-ефективно и устойчиво участие на заинтересованите страни и интервенции, съобразени с местните потребности. Интеграция на градските екологични аспекти на адаптацията в националните политики чрез включване на градските въпроси се предлага в националната стратегия за адаптиране на Нидерландия (NAS) (ЕАОС, 2016 г., стр. 53).</w:t>
      </w:r>
    </w:p>
    <w:p w:rsidR="00AA4661" w:rsidRPr="00B73D7E" w:rsidRDefault="00AA4661" w:rsidP="00CF297A">
      <w:pPr>
        <w:pStyle w:val="BodyText"/>
        <w:numPr>
          <w:ilvl w:val="0"/>
          <w:numId w:val="41"/>
        </w:numPr>
        <w:ind w:left="0" w:firstLine="0"/>
        <w:rPr>
          <w:lang w:val="bg-BG"/>
        </w:rPr>
      </w:pPr>
      <w:r w:rsidRPr="00B73D7E">
        <w:rPr>
          <w:lang w:val="bg-BG"/>
        </w:rPr>
        <w:t>Според доклада на ЕАОС, повечето от българските градове са в групата на Централна и Източна Европа, с изключение на тези на брега на Черно море, които са включени в средиземноморския регион. В тази обща класификация по региони, градовете, географски разположени в планинските райони на България, не са намерили своето правилно място.</w:t>
      </w:r>
    </w:p>
    <w:p w:rsidR="00AA4661" w:rsidRPr="00B73D7E" w:rsidRDefault="00AA4661" w:rsidP="00CF297A">
      <w:pPr>
        <w:pStyle w:val="BodyText"/>
        <w:numPr>
          <w:ilvl w:val="0"/>
          <w:numId w:val="41"/>
        </w:numPr>
        <w:ind w:left="0" w:firstLine="0"/>
        <w:rPr>
          <w:lang w:val="bg-BG"/>
        </w:rPr>
      </w:pPr>
      <w:r w:rsidRPr="00B73D7E">
        <w:rPr>
          <w:lang w:val="bg-BG"/>
        </w:rPr>
        <w:t xml:space="preserve">Преди тези доклади за АИК през последните две десетилетия бяха приети </w:t>
      </w:r>
      <w:r w:rsidRPr="00B73D7E">
        <w:rPr>
          <w:lang w:val="bg-BG"/>
        </w:rPr>
        <w:lastRenderedPageBreak/>
        <w:t>редица конкретни документи за стратегическо планиране в подкрепа на интелигентното и устойчиво градско и регионално развитие. Ръководните принципи за устойчиво териториално развитие на европейския континент</w:t>
      </w:r>
      <w:r w:rsidRPr="00B73D7E">
        <w:rPr>
          <w:vertAlign w:val="superscript"/>
          <w:lang w:val="bg-BG"/>
        </w:rPr>
        <w:footnoteReference w:id="55"/>
      </w:r>
      <w:r w:rsidRPr="00B73D7E">
        <w:rPr>
          <w:i/>
          <w:lang w:val="bg-BG"/>
        </w:rPr>
        <w:t>,</w:t>
      </w:r>
      <w:r w:rsidRPr="00B73D7E">
        <w:rPr>
          <w:lang w:val="bg-BG"/>
        </w:rPr>
        <w:t xml:space="preserve"> приети през 2000 г., подчертават опазването на околната среда, смекчаването на вредните последици и въздействието на природните бедствия върху населението, селищните структури и сгради. Тези принципи се отнасят до конкретни препоръки за различните европейски региони, включително градските райони, наводнените равнини, крайбрежните и планинските региони и са приложени в документите за планиране от почти всички европейски страни.</w:t>
      </w:r>
    </w:p>
    <w:p w:rsidR="00AA4661" w:rsidRPr="00B73D7E" w:rsidRDefault="00AA4661" w:rsidP="00CF297A">
      <w:pPr>
        <w:pStyle w:val="BodyText"/>
        <w:numPr>
          <w:ilvl w:val="0"/>
          <w:numId w:val="41"/>
        </w:numPr>
        <w:ind w:left="0" w:firstLine="0"/>
        <w:rPr>
          <w:lang w:val="bg-BG"/>
        </w:rPr>
      </w:pPr>
      <w:r w:rsidRPr="00B73D7E">
        <w:rPr>
          <w:lang w:val="bg-BG"/>
        </w:rPr>
        <w:t>Териториалният Дневен ред на Европейския съюз 2020 (TА2020) "Към една всеобхватна, интелигентна и устойчива Европа на разнообразните региони"</w:t>
      </w:r>
      <w:r w:rsidRPr="00B73D7E">
        <w:rPr>
          <w:rStyle w:val="FootnoteReference"/>
          <w:rFonts w:eastAsia="Times New Roman"/>
          <w:lang w:val="bg-BG"/>
        </w:rPr>
        <w:footnoteReference w:id="56"/>
      </w:r>
      <w:r w:rsidRPr="00B73D7E">
        <w:rPr>
          <w:lang w:val="bg-BG"/>
        </w:rPr>
        <w:t>, приет през 2011 г., постави географски разнообразното въздействие на изменението на климата и рисковете за околната среда сред основните предизвикателства и възможности на новото хилядолетие. Властите признаха необходимостта от различни териториално обособени подходи и по-добра "териториална координация на политиките, особено в областта на климата, енергетиката, управлението на водите, селското стопанство,  обитаването, туризма и транспорта".</w:t>
      </w:r>
    </w:p>
    <w:p w:rsidR="00AA4661" w:rsidRPr="00B73D7E" w:rsidRDefault="00AA4661" w:rsidP="00CF297A">
      <w:pPr>
        <w:pStyle w:val="BodyText"/>
        <w:numPr>
          <w:ilvl w:val="0"/>
          <w:numId w:val="41"/>
        </w:numPr>
        <w:ind w:left="0" w:firstLine="0"/>
        <w:rPr>
          <w:lang w:val="bg-BG"/>
        </w:rPr>
      </w:pPr>
      <w:r w:rsidRPr="00B73D7E">
        <w:rPr>
          <w:lang w:val="bg-BG"/>
        </w:rPr>
        <w:t>Платформата Climate-ADAPT</w:t>
      </w:r>
      <w:r w:rsidRPr="00B73D7E">
        <w:rPr>
          <w:vertAlign w:val="superscript"/>
          <w:lang w:val="bg-BG"/>
        </w:rPr>
        <w:footnoteReference w:id="57"/>
      </w:r>
      <w:r w:rsidRPr="00B73D7E">
        <w:rPr>
          <w:i/>
          <w:lang w:val="bg-BG"/>
        </w:rPr>
        <w:t>,</w:t>
      </w:r>
      <w:r w:rsidRPr="00B73D7E">
        <w:rPr>
          <w:lang w:val="bg-BG"/>
        </w:rPr>
        <w:t xml:space="preserve"> създадена като партньорство между Генерална дирекция "Действия по климата" (ГД "CLIMA") на Европейската комисия  (ЕК), Съвместния изследователски център, други генерални дирекции и ЕАОС е един от основните източници на информация за АИК. Нейната основна цел е да предостави данни за очакваните климатични промени в различни региони и да обменя информация за институциите, за разработените национални и местни стратегии и оценки, казуси за адаптиране, изпълнени действия и приложени методи и инструменти за планиране. Градската среда не е сред основните сектори за информация и класификация на данните, но градските райони се считат за отделна категория/ниво след страните и транснационалните региони.</w:t>
      </w:r>
    </w:p>
    <w:p w:rsidR="00AA4661" w:rsidRPr="00B73D7E" w:rsidRDefault="00AA4661" w:rsidP="00CF297A">
      <w:pPr>
        <w:pStyle w:val="BodyText"/>
        <w:numPr>
          <w:ilvl w:val="0"/>
          <w:numId w:val="41"/>
        </w:numPr>
        <w:ind w:left="0" w:firstLine="0"/>
        <w:rPr>
          <w:rFonts w:cs="Arial"/>
          <w:szCs w:val="20"/>
          <w:lang w:val="bg-BG"/>
        </w:rPr>
      </w:pPr>
      <w:r w:rsidRPr="00B73D7E">
        <w:rPr>
          <w:lang w:val="bg-BG"/>
        </w:rPr>
        <w:t>Европейските държави са на различни нива на разработване и приемане на своите документи за АИК. Към края на 2017 г. 23 европейски държави са приели такъв документ, докато други са в процес на подготовка. Ако през 2017 г. ЕК приеме, че напредъкът в обхвата и качеството на националните стратегии е недостатъчен, ще обмисли да предложи  правно обвързващ инструмент. Изборът на страните за целите на настоящия доклад се основава на преглед на литературата и анализ на документите за АИК в различните държави. Избраните референтни държави са Великобритания и Австрия - първата като лидер в разработките в тази област, а втората - като пример за добре развит градски сектор.</w:t>
      </w:r>
      <w:r w:rsidRPr="00B73D7E">
        <w:rPr>
          <w:rFonts w:cs="Arial"/>
          <w:szCs w:val="20"/>
          <w:lang w:val="bg-BG"/>
        </w:rPr>
        <w:t xml:space="preserve">  </w:t>
      </w:r>
    </w:p>
    <w:p w:rsidR="007D240D" w:rsidRPr="00B73D7E" w:rsidRDefault="007D240D">
      <w:pPr>
        <w:spacing w:after="0"/>
        <w:rPr>
          <w:rFonts w:ascii="Calibri" w:eastAsia="MS Gothic" w:hAnsi="Calibri"/>
          <w:b/>
          <w:bCs/>
          <w:i/>
          <w:color w:val="4F81BD"/>
          <w:sz w:val="26"/>
          <w:lang w:eastAsia="bg-BG"/>
        </w:rPr>
      </w:pPr>
      <w:bookmarkStart w:id="173" w:name="_Toc486259766"/>
      <w:bookmarkStart w:id="174" w:name="_Toc486942174"/>
      <w:bookmarkStart w:id="175" w:name="_Toc501454851"/>
      <w:r w:rsidRPr="00F8728A">
        <w:rPr>
          <w:lang w:eastAsia="bg-BG"/>
        </w:rPr>
        <w:br w:type="page"/>
      </w:r>
    </w:p>
    <w:p w:rsidR="00AA4661" w:rsidRPr="00B73D7E" w:rsidRDefault="00AA4661" w:rsidP="00E21095">
      <w:pPr>
        <w:pStyle w:val="Heading3"/>
        <w:numPr>
          <w:ilvl w:val="2"/>
          <w:numId w:val="25"/>
        </w:numPr>
        <w:autoSpaceDE/>
        <w:autoSpaceDN/>
        <w:adjustRightInd/>
        <w:spacing w:before="160"/>
        <w:ind w:left="0" w:firstLine="0"/>
        <w:rPr>
          <w:rFonts w:eastAsia="Times New Roman"/>
          <w:lang w:val="bg-BG" w:eastAsia="bg-BG"/>
        </w:rPr>
      </w:pPr>
      <w:bookmarkStart w:id="176" w:name="_Toc522030553"/>
      <w:bookmarkStart w:id="177" w:name="_Toc529285538"/>
      <w:r w:rsidRPr="00B73D7E">
        <w:rPr>
          <w:lang w:val="bg-BG" w:eastAsia="bg-BG"/>
        </w:rPr>
        <w:lastRenderedPageBreak/>
        <w:t>Великобритания</w:t>
      </w:r>
      <w:bookmarkEnd w:id="173"/>
      <w:bookmarkEnd w:id="174"/>
      <w:bookmarkEnd w:id="175"/>
      <w:bookmarkEnd w:id="176"/>
      <w:bookmarkEnd w:id="177"/>
    </w:p>
    <w:p w:rsidR="00AA4661" w:rsidRPr="00B73D7E" w:rsidRDefault="00AA4661" w:rsidP="00CF297A">
      <w:pPr>
        <w:pStyle w:val="BodyText"/>
        <w:numPr>
          <w:ilvl w:val="0"/>
          <w:numId w:val="41"/>
        </w:numPr>
        <w:ind w:left="0" w:firstLine="0"/>
        <w:rPr>
          <w:lang w:val="bg-BG"/>
        </w:rPr>
      </w:pPr>
      <w:r w:rsidRPr="00B73D7E">
        <w:rPr>
          <w:lang w:val="bg-BG"/>
        </w:rPr>
        <w:t>Общата градска и териториална политика на Великобритания се основава на интегрирането на околната среда с различни сектори - градски, транспорт, селско стопанство и производство на храни. Това е отразено в структурата на мега- министерството на околната среда, храните и селските райони (DEFRA). Пълната програма за адаптация към климата в страната стартира през 2000 г. като ангажимент на това министерство. Законът за изменението на климата, който влиза в сила през 2008 г., актуализира Националната програма за адаптиране (НПА) и създава многостепенна рамка за планиране, оценка, ръководство и управление на АИК. Чрез този акт и установените партньорства на регионално и местно ниво, Обединеното кралство институционализира цялостната си система за АИК. Отговорността за националната политика се споделя между Англия, Северна Ирландия, Шотландия и Уелс.</w:t>
      </w:r>
    </w:p>
    <w:p w:rsidR="00AA4661" w:rsidRPr="00B73D7E" w:rsidRDefault="00AA4661" w:rsidP="00CF297A">
      <w:pPr>
        <w:pStyle w:val="BodyText"/>
        <w:numPr>
          <w:ilvl w:val="0"/>
          <w:numId w:val="41"/>
        </w:numPr>
        <w:ind w:left="0" w:firstLine="0"/>
        <w:rPr>
          <w:lang w:val="bg-BG"/>
        </w:rPr>
      </w:pPr>
      <w:r w:rsidRPr="00B73D7E">
        <w:rPr>
          <w:lang w:val="bg-BG"/>
        </w:rPr>
        <w:t>НПА „Да направим страната устойчива на променящия се климат“, публикувана през 2013 г., разглежда градската среда в глава 2 "Застроена среда" и формулира следната визия: "Сгради и места и хора, които живеят и работят в тях, са устойчиви на променящия се климат и екстремните климатични условия, а организациите в сектора на изградената околна среда имат по-голям капацитет да се справят с рисковете и да се възползват от възможностите от изменението на климата". В резултат на оценката и очакваните въздействия до 2020 г., наводненията в Англия и Уелс са определени с най-висок приоритет. Вторият приоритет е свързан с риска от прогнозирани по-високи температури в градовете, а третият – с водните ресурси.</w:t>
      </w:r>
    </w:p>
    <w:p w:rsidR="00AA4661" w:rsidRPr="00F8728A" w:rsidRDefault="00AA4661" w:rsidP="00B73D7E">
      <w:pPr>
        <w:pStyle w:val="FiguresTablesCaption"/>
      </w:pPr>
      <w:bookmarkStart w:id="178" w:name="_Hlk506144414"/>
      <w:bookmarkStart w:id="179" w:name="_Toc529286634"/>
      <w:r w:rsidRPr="00F8728A">
        <w:t xml:space="preserve">Таблица </w:t>
      </w:r>
      <w:r w:rsidRPr="00F8728A">
        <w:fldChar w:fldCharType="begin"/>
      </w:r>
      <w:r w:rsidRPr="00F8728A">
        <w:instrText xml:space="preserve"> SEQ Table \* ARABIC </w:instrText>
      </w:r>
      <w:r w:rsidRPr="00F8728A">
        <w:fldChar w:fldCharType="separate"/>
      </w:r>
      <w:r w:rsidRPr="00F8728A">
        <w:t>7</w:t>
      </w:r>
      <w:r w:rsidRPr="00F8728A">
        <w:fldChar w:fldCharType="end"/>
      </w:r>
      <w:r w:rsidRPr="00F8728A">
        <w:t>.</w:t>
      </w:r>
      <w:bookmarkEnd w:id="178"/>
      <w:r w:rsidRPr="00F8728A">
        <w:t xml:space="preserve"> Сектор „Градска среда“</w:t>
      </w:r>
      <w:bookmarkEnd w:id="179"/>
    </w:p>
    <w:tbl>
      <w:tblPr>
        <w:tblW w:w="5000"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1744"/>
        <w:gridCol w:w="3540"/>
        <w:gridCol w:w="3944"/>
      </w:tblGrid>
      <w:tr w:rsidR="00AA4661" w:rsidRPr="00F8728A" w:rsidTr="001E0411">
        <w:trPr>
          <w:trHeight w:val="250"/>
          <w:tblHeader/>
          <w:jc w:val="center"/>
        </w:trPr>
        <w:tc>
          <w:tcPr>
            <w:tcW w:w="945" w:type="pct"/>
            <w:shd w:val="clear" w:color="auto" w:fill="365F91"/>
            <w:tcMar>
              <w:left w:w="72" w:type="dxa"/>
              <w:right w:w="72" w:type="dxa"/>
            </w:tcMar>
            <w:vAlign w:val="center"/>
          </w:tcPr>
          <w:p w:rsidR="00AA4661" w:rsidRPr="00F8728A" w:rsidRDefault="00AA4661" w:rsidP="00194E9E">
            <w:pPr>
              <w:spacing w:before="20" w:after="20"/>
              <w:jc w:val="center"/>
              <w:rPr>
                <w:rFonts w:ascii="Calibri" w:hAnsi="Calibri" w:cs="Calibri"/>
                <w:b/>
                <w:color w:val="FFFFFF"/>
                <w:sz w:val="22"/>
                <w:lang w:eastAsia="bg-BG"/>
              </w:rPr>
            </w:pPr>
            <w:r w:rsidRPr="00F8728A">
              <w:rPr>
                <w:rFonts w:ascii="Calibri" w:hAnsi="Calibri" w:cs="Calibri"/>
                <w:b/>
                <w:color w:val="FFFFFF"/>
                <w:sz w:val="22"/>
                <w:lang w:eastAsia="bg-BG"/>
              </w:rPr>
              <w:t>Приоритетна област</w:t>
            </w:r>
          </w:p>
        </w:tc>
        <w:tc>
          <w:tcPr>
            <w:tcW w:w="1918" w:type="pct"/>
            <w:shd w:val="clear" w:color="auto" w:fill="365F91"/>
            <w:tcMar>
              <w:left w:w="72" w:type="dxa"/>
              <w:right w:w="72" w:type="dxa"/>
            </w:tcMar>
            <w:vAlign w:val="center"/>
          </w:tcPr>
          <w:p w:rsidR="00AA4661" w:rsidRPr="00F8728A" w:rsidRDefault="00AA4661" w:rsidP="00194E9E">
            <w:pPr>
              <w:spacing w:before="20" w:after="20"/>
              <w:jc w:val="center"/>
              <w:rPr>
                <w:rFonts w:ascii="Calibri" w:hAnsi="Calibri" w:cs="Calibri"/>
                <w:b/>
                <w:color w:val="FFFFFF"/>
                <w:sz w:val="22"/>
                <w:lang w:eastAsia="bg-BG"/>
              </w:rPr>
            </w:pPr>
            <w:r w:rsidRPr="00F8728A">
              <w:rPr>
                <w:rFonts w:ascii="Calibri" w:hAnsi="Calibri" w:cs="Calibri"/>
                <w:b/>
                <w:color w:val="FFFFFF"/>
                <w:sz w:val="22"/>
                <w:lang w:eastAsia="bg-BG"/>
              </w:rPr>
              <w:t>Цели</w:t>
            </w:r>
          </w:p>
        </w:tc>
        <w:tc>
          <w:tcPr>
            <w:tcW w:w="2137" w:type="pct"/>
            <w:shd w:val="clear" w:color="auto" w:fill="365F91"/>
            <w:tcMar>
              <w:left w:w="72" w:type="dxa"/>
              <w:right w:w="72" w:type="dxa"/>
            </w:tcMar>
            <w:vAlign w:val="center"/>
          </w:tcPr>
          <w:p w:rsidR="00AA4661" w:rsidRPr="00F8728A" w:rsidRDefault="00AA4661" w:rsidP="00194E9E">
            <w:pPr>
              <w:spacing w:before="20" w:after="20"/>
              <w:jc w:val="center"/>
              <w:rPr>
                <w:rFonts w:ascii="Calibri" w:hAnsi="Calibri" w:cs="Calibri"/>
                <w:b/>
                <w:color w:val="FFFFFF"/>
                <w:sz w:val="22"/>
                <w:lang w:eastAsia="bg-BG"/>
              </w:rPr>
            </w:pPr>
            <w:r w:rsidRPr="00F8728A">
              <w:rPr>
                <w:rFonts w:ascii="Calibri" w:hAnsi="Calibri" w:cs="Calibri"/>
                <w:b/>
                <w:color w:val="FFFFFF"/>
                <w:sz w:val="22"/>
                <w:lang w:eastAsia="bg-BG"/>
              </w:rPr>
              <w:t>Действия за преодоляване на приоритетните рискове</w:t>
            </w:r>
          </w:p>
        </w:tc>
      </w:tr>
      <w:tr w:rsidR="00AA4661" w:rsidRPr="00F8728A" w:rsidTr="001E0411">
        <w:trPr>
          <w:trHeight w:val="269"/>
          <w:jc w:val="center"/>
        </w:trPr>
        <w:tc>
          <w:tcPr>
            <w:tcW w:w="945" w:type="pct"/>
            <w:vMerge w:val="restart"/>
            <w:shd w:val="clear" w:color="auto" w:fill="B8CCE4"/>
            <w:tcMar>
              <w:left w:w="72" w:type="dxa"/>
              <w:right w:w="72" w:type="dxa"/>
            </w:tcMar>
            <w:vAlign w:val="center"/>
          </w:tcPr>
          <w:p w:rsidR="00AA4661" w:rsidRPr="00F8728A" w:rsidRDefault="00AA4661" w:rsidP="00194E9E">
            <w:pPr>
              <w:spacing w:before="20" w:after="20"/>
              <w:jc w:val="center"/>
              <w:rPr>
                <w:rFonts w:ascii="Calibri" w:hAnsi="Calibri" w:cs="Calibri"/>
                <w:b/>
                <w:sz w:val="22"/>
                <w:lang w:eastAsia="bg-BG"/>
              </w:rPr>
            </w:pPr>
            <w:r w:rsidRPr="00F8728A">
              <w:rPr>
                <w:rFonts w:ascii="Calibri" w:hAnsi="Calibri" w:cs="Calibri"/>
                <w:b/>
                <w:sz w:val="22"/>
                <w:lang w:eastAsia="bg-BG"/>
              </w:rPr>
              <w:t>1. Управление на риска от наводнения и крайбрежна ерозия (FCERM)</w:t>
            </w:r>
          </w:p>
        </w:tc>
        <w:tc>
          <w:tcPr>
            <w:tcW w:w="1918" w:type="pct"/>
            <w:vMerge w:val="restart"/>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r w:rsidRPr="00F8728A">
              <w:rPr>
                <w:rFonts w:ascii="Calibri" w:hAnsi="Calibri" w:cs="Calibri"/>
                <w:b/>
                <w:sz w:val="22"/>
                <w:lang w:eastAsia="bg-BG"/>
              </w:rPr>
              <w:t>Цел 1</w:t>
            </w:r>
            <w:r w:rsidRPr="00F8728A">
              <w:rPr>
                <w:rFonts w:ascii="Calibri" w:hAnsi="Calibri" w:cs="Calibri"/>
                <w:sz w:val="22"/>
                <w:lang w:eastAsia="bg-BG"/>
              </w:rPr>
              <w:t>: Да се работи с отделни лица, общности и организации, за да се намали заплахата от наводнения и ерозия на бреговете, включително и в резултат на ИК, като се разберат рисковете от наводнения и ерозия на бреговете; да се приложат на място дългосрочни планове за управление на тези рискове и да се гарантира, че другите планове ще ги вземат под внимание.</w:t>
            </w:r>
          </w:p>
        </w:tc>
        <w:tc>
          <w:tcPr>
            <w:tcW w:w="2137" w:type="pct"/>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r w:rsidRPr="00F8728A">
              <w:rPr>
                <w:rFonts w:ascii="Calibri" w:hAnsi="Calibri" w:cs="Calibri"/>
                <w:sz w:val="22"/>
                <w:lang w:eastAsia="bg-BG"/>
              </w:rPr>
              <w:t>Прилагане на националната стратегия за FCERM</w:t>
            </w:r>
            <w:r w:rsidRPr="00F8728A">
              <w:rPr>
                <w:rStyle w:val="FootnoteReference"/>
                <w:rFonts w:ascii="Calibri" w:hAnsi="Calibri" w:cs="Calibri"/>
                <w:sz w:val="22"/>
                <w:lang w:eastAsia="bg-BG"/>
              </w:rPr>
              <w:footnoteReference w:id="58"/>
            </w:r>
            <w:r w:rsidRPr="00F8728A">
              <w:rPr>
                <w:rFonts w:ascii="Calibri" w:hAnsi="Calibri" w:cs="Calibri"/>
                <w:sz w:val="22"/>
                <w:lang w:eastAsia="bg-BG"/>
              </w:rPr>
              <w:t xml:space="preserve"> за Англия</w:t>
            </w:r>
          </w:p>
        </w:tc>
      </w:tr>
      <w:tr w:rsidR="00AA4661" w:rsidRPr="00F8728A" w:rsidTr="001E0411">
        <w:trPr>
          <w:trHeight w:val="497"/>
          <w:jc w:val="center"/>
        </w:trPr>
        <w:tc>
          <w:tcPr>
            <w:tcW w:w="945" w:type="pct"/>
            <w:vMerge/>
            <w:shd w:val="clear" w:color="auto" w:fill="B8CCE4"/>
            <w:tcMar>
              <w:left w:w="72" w:type="dxa"/>
              <w:right w:w="72" w:type="dxa"/>
            </w:tcMar>
            <w:vAlign w:val="center"/>
          </w:tcPr>
          <w:p w:rsidR="00AA4661" w:rsidRPr="00F8728A" w:rsidRDefault="00AA4661" w:rsidP="00194E9E">
            <w:pPr>
              <w:spacing w:before="20" w:after="20"/>
              <w:jc w:val="center"/>
              <w:rPr>
                <w:rFonts w:ascii="Calibri" w:hAnsi="Calibri" w:cs="Calibri"/>
                <w:b/>
                <w:sz w:val="22"/>
                <w:lang w:eastAsia="bg-BG"/>
              </w:rPr>
            </w:pPr>
          </w:p>
        </w:tc>
        <w:tc>
          <w:tcPr>
            <w:tcW w:w="1918" w:type="pct"/>
            <w:vMerge/>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p>
        </w:tc>
        <w:tc>
          <w:tcPr>
            <w:tcW w:w="2137" w:type="pct"/>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r w:rsidRPr="00F8728A">
              <w:rPr>
                <w:rFonts w:ascii="Calibri" w:hAnsi="Calibri" w:cs="Calibri"/>
                <w:sz w:val="22"/>
                <w:lang w:eastAsia="bg-BG"/>
              </w:rPr>
              <w:t>Осигуряване, заедно със сектора, на нови договорености за застраховки срещу наводнения след 2013 г.</w:t>
            </w:r>
          </w:p>
        </w:tc>
      </w:tr>
      <w:tr w:rsidR="00AA4661" w:rsidRPr="00F8728A" w:rsidTr="001E0411">
        <w:trPr>
          <w:trHeight w:val="497"/>
          <w:jc w:val="center"/>
        </w:trPr>
        <w:tc>
          <w:tcPr>
            <w:tcW w:w="945" w:type="pct"/>
            <w:vMerge/>
            <w:shd w:val="clear" w:color="auto" w:fill="B8CCE4"/>
            <w:tcMar>
              <w:left w:w="72" w:type="dxa"/>
              <w:right w:w="72" w:type="dxa"/>
            </w:tcMar>
            <w:vAlign w:val="center"/>
          </w:tcPr>
          <w:p w:rsidR="00AA4661" w:rsidRPr="00F8728A" w:rsidRDefault="00AA4661" w:rsidP="00194E9E">
            <w:pPr>
              <w:spacing w:before="20" w:after="20"/>
              <w:jc w:val="center"/>
              <w:rPr>
                <w:rFonts w:ascii="Calibri" w:hAnsi="Calibri" w:cs="Calibri"/>
                <w:b/>
                <w:sz w:val="22"/>
                <w:lang w:eastAsia="bg-BG"/>
              </w:rPr>
            </w:pPr>
          </w:p>
        </w:tc>
        <w:tc>
          <w:tcPr>
            <w:tcW w:w="1918" w:type="pct"/>
            <w:vMerge/>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p>
        </w:tc>
        <w:tc>
          <w:tcPr>
            <w:tcW w:w="2137" w:type="pct"/>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r w:rsidRPr="00F8728A">
              <w:rPr>
                <w:rFonts w:ascii="Calibri" w:hAnsi="Calibri" w:cs="Calibri"/>
                <w:sz w:val="22"/>
                <w:lang w:eastAsia="bg-BG"/>
              </w:rPr>
              <w:t>Разработване на Местни стратегии за управление на риска от наводнения, които да определят подхода за управление на местния риск от наводнения и да отчетат ефекта от бъдещото ИК и нарастващата тежест на метеорологичните събития</w:t>
            </w:r>
          </w:p>
        </w:tc>
      </w:tr>
      <w:tr w:rsidR="00AA4661" w:rsidRPr="00F8728A" w:rsidTr="001E0411">
        <w:trPr>
          <w:trHeight w:val="307"/>
          <w:jc w:val="center"/>
        </w:trPr>
        <w:tc>
          <w:tcPr>
            <w:tcW w:w="945" w:type="pct"/>
            <w:vMerge w:val="restart"/>
            <w:shd w:val="clear" w:color="auto" w:fill="B8CCE4"/>
            <w:tcMar>
              <w:left w:w="72" w:type="dxa"/>
              <w:right w:w="72" w:type="dxa"/>
            </w:tcMar>
            <w:vAlign w:val="center"/>
          </w:tcPr>
          <w:p w:rsidR="00AA4661" w:rsidRPr="00F8728A" w:rsidRDefault="00AA4661" w:rsidP="001E0411">
            <w:pPr>
              <w:keepNext/>
              <w:keepLines/>
              <w:spacing w:before="20" w:after="20"/>
              <w:jc w:val="center"/>
              <w:rPr>
                <w:rFonts w:ascii="Calibri" w:hAnsi="Calibri" w:cs="Calibri"/>
                <w:b/>
                <w:sz w:val="22"/>
                <w:lang w:eastAsia="bg-BG"/>
              </w:rPr>
            </w:pPr>
            <w:r w:rsidRPr="00F8728A">
              <w:rPr>
                <w:rFonts w:ascii="Calibri" w:hAnsi="Calibri" w:cs="Calibri"/>
                <w:b/>
                <w:sz w:val="22"/>
                <w:lang w:eastAsia="bg-BG"/>
              </w:rPr>
              <w:lastRenderedPageBreak/>
              <w:t>2. Устройствено планиране</w:t>
            </w:r>
          </w:p>
        </w:tc>
        <w:tc>
          <w:tcPr>
            <w:tcW w:w="1918" w:type="pct"/>
            <w:vMerge w:val="restart"/>
            <w:tcMar>
              <w:left w:w="72" w:type="dxa"/>
              <w:right w:w="72" w:type="dxa"/>
            </w:tcMar>
            <w:vAlign w:val="center"/>
          </w:tcPr>
          <w:p w:rsidR="00AA4661" w:rsidRPr="00F8728A" w:rsidRDefault="00AA4661" w:rsidP="001E0411">
            <w:pPr>
              <w:keepNext/>
              <w:keepLines/>
              <w:spacing w:before="20" w:after="20"/>
              <w:jc w:val="both"/>
              <w:rPr>
                <w:rFonts w:ascii="Calibri" w:hAnsi="Calibri" w:cs="Calibri"/>
                <w:sz w:val="22"/>
                <w:lang w:eastAsia="bg-BG"/>
              </w:rPr>
            </w:pPr>
            <w:r w:rsidRPr="00F8728A">
              <w:rPr>
                <w:rFonts w:ascii="Calibri" w:hAnsi="Calibri" w:cs="Calibri"/>
                <w:b/>
                <w:sz w:val="22"/>
                <w:lang w:eastAsia="bg-BG"/>
              </w:rPr>
              <w:t>Цел 2</w:t>
            </w:r>
            <w:r w:rsidRPr="00F8728A">
              <w:rPr>
                <w:rFonts w:ascii="Calibri" w:hAnsi="Calibri" w:cs="Calibri"/>
                <w:sz w:val="22"/>
                <w:lang w:eastAsia="bg-BG"/>
              </w:rPr>
              <w:t>: Да се осигури ясна рамка за местно планиране, която да позволи на всички участници в системата за планиране да осигурят устойчиво ново развитие, включително инфраструктура, която намалява уязвимостта и осигурява устойчивост на въздействията от ИК.</w:t>
            </w:r>
          </w:p>
        </w:tc>
        <w:tc>
          <w:tcPr>
            <w:tcW w:w="2137" w:type="pct"/>
            <w:tcMar>
              <w:left w:w="72" w:type="dxa"/>
              <w:right w:w="72" w:type="dxa"/>
            </w:tcMar>
            <w:vAlign w:val="center"/>
          </w:tcPr>
          <w:p w:rsidR="00AA4661" w:rsidRPr="00F8728A" w:rsidRDefault="00AA4661" w:rsidP="001E0411">
            <w:pPr>
              <w:keepNext/>
              <w:keepLines/>
              <w:spacing w:before="20" w:after="20"/>
              <w:jc w:val="both"/>
              <w:rPr>
                <w:rFonts w:ascii="Calibri" w:hAnsi="Calibri" w:cs="Calibri"/>
                <w:sz w:val="22"/>
                <w:lang w:eastAsia="bg-BG"/>
              </w:rPr>
            </w:pPr>
            <w:r w:rsidRPr="00F8728A">
              <w:rPr>
                <w:rFonts w:ascii="Calibri" w:hAnsi="Calibri" w:cs="Calibri"/>
                <w:sz w:val="22"/>
                <w:lang w:eastAsia="bg-BG"/>
              </w:rPr>
              <w:t>Прилагане на Националната политическа рамка за планиране (NPPF)</w:t>
            </w:r>
            <w:r w:rsidRPr="00F8728A">
              <w:rPr>
                <w:rStyle w:val="FootnoteReference"/>
                <w:rFonts w:ascii="Calibri" w:hAnsi="Calibri" w:cs="Calibri"/>
                <w:sz w:val="22"/>
                <w:lang w:eastAsia="bg-BG"/>
              </w:rPr>
              <w:footnoteReference w:id="59"/>
            </w:r>
          </w:p>
        </w:tc>
      </w:tr>
      <w:tr w:rsidR="00AA4661" w:rsidRPr="00F8728A" w:rsidTr="001E0411">
        <w:trPr>
          <w:trHeight w:val="304"/>
          <w:jc w:val="center"/>
        </w:trPr>
        <w:tc>
          <w:tcPr>
            <w:tcW w:w="945" w:type="pct"/>
            <w:vMerge/>
            <w:shd w:val="clear" w:color="auto" w:fill="B8CCE4"/>
            <w:tcMar>
              <w:left w:w="72" w:type="dxa"/>
              <w:right w:w="72" w:type="dxa"/>
            </w:tcMar>
            <w:vAlign w:val="center"/>
          </w:tcPr>
          <w:p w:rsidR="00AA4661" w:rsidRPr="00F8728A" w:rsidRDefault="00AA4661" w:rsidP="001E0411">
            <w:pPr>
              <w:keepNext/>
              <w:keepLines/>
              <w:spacing w:before="20" w:after="20"/>
              <w:jc w:val="center"/>
              <w:rPr>
                <w:rFonts w:ascii="Calibri" w:hAnsi="Calibri" w:cs="Calibri"/>
                <w:b/>
                <w:sz w:val="22"/>
                <w:lang w:eastAsia="bg-BG"/>
              </w:rPr>
            </w:pPr>
          </w:p>
        </w:tc>
        <w:tc>
          <w:tcPr>
            <w:tcW w:w="1918" w:type="pct"/>
            <w:vMerge/>
            <w:tcMar>
              <w:left w:w="72" w:type="dxa"/>
              <w:right w:w="72" w:type="dxa"/>
            </w:tcMar>
            <w:vAlign w:val="center"/>
          </w:tcPr>
          <w:p w:rsidR="00AA4661" w:rsidRPr="00F8728A" w:rsidRDefault="00AA4661" w:rsidP="001E0411">
            <w:pPr>
              <w:keepNext/>
              <w:keepLines/>
              <w:spacing w:before="20" w:after="20"/>
              <w:jc w:val="both"/>
              <w:rPr>
                <w:rFonts w:ascii="Calibri" w:hAnsi="Calibri" w:cs="Calibri"/>
                <w:sz w:val="22"/>
                <w:lang w:eastAsia="bg-BG"/>
              </w:rPr>
            </w:pPr>
          </w:p>
        </w:tc>
        <w:tc>
          <w:tcPr>
            <w:tcW w:w="2137" w:type="pct"/>
            <w:tcMar>
              <w:left w:w="72" w:type="dxa"/>
              <w:right w:w="72" w:type="dxa"/>
            </w:tcMar>
            <w:vAlign w:val="center"/>
          </w:tcPr>
          <w:p w:rsidR="00AA4661" w:rsidRPr="00F8728A" w:rsidRDefault="00AA4661" w:rsidP="001E0411">
            <w:pPr>
              <w:keepNext/>
              <w:keepLines/>
              <w:spacing w:before="20" w:after="20"/>
              <w:jc w:val="both"/>
              <w:rPr>
                <w:rFonts w:ascii="Calibri" w:hAnsi="Calibri" w:cs="Calibri"/>
                <w:sz w:val="22"/>
                <w:lang w:eastAsia="bg-BG"/>
              </w:rPr>
            </w:pPr>
            <w:r w:rsidRPr="00F8728A">
              <w:rPr>
                <w:rFonts w:ascii="Calibri" w:hAnsi="Calibri" w:cs="Calibri"/>
                <w:sz w:val="22"/>
                <w:lang w:eastAsia="bg-BG"/>
              </w:rPr>
              <w:t>Актуализиране на Ръководството за практическо планиране за подпомагане прилагането на NPPF</w:t>
            </w:r>
          </w:p>
        </w:tc>
      </w:tr>
      <w:tr w:rsidR="00AA4661" w:rsidRPr="00F8728A" w:rsidTr="001E0411">
        <w:trPr>
          <w:trHeight w:val="304"/>
          <w:jc w:val="center"/>
        </w:trPr>
        <w:tc>
          <w:tcPr>
            <w:tcW w:w="945" w:type="pct"/>
            <w:vMerge/>
            <w:shd w:val="clear" w:color="auto" w:fill="B8CCE4"/>
            <w:tcMar>
              <w:left w:w="72" w:type="dxa"/>
              <w:right w:w="72" w:type="dxa"/>
            </w:tcMar>
            <w:vAlign w:val="center"/>
          </w:tcPr>
          <w:p w:rsidR="00AA4661" w:rsidRPr="00F8728A" w:rsidRDefault="00AA4661" w:rsidP="001E0411">
            <w:pPr>
              <w:keepNext/>
              <w:keepLines/>
              <w:spacing w:before="20" w:after="20"/>
              <w:jc w:val="center"/>
              <w:rPr>
                <w:rFonts w:ascii="Calibri" w:hAnsi="Calibri" w:cs="Calibri"/>
                <w:b/>
                <w:sz w:val="22"/>
                <w:lang w:eastAsia="bg-BG"/>
              </w:rPr>
            </w:pPr>
          </w:p>
        </w:tc>
        <w:tc>
          <w:tcPr>
            <w:tcW w:w="1918" w:type="pct"/>
            <w:vMerge/>
            <w:tcMar>
              <w:left w:w="72" w:type="dxa"/>
              <w:right w:w="72" w:type="dxa"/>
            </w:tcMar>
            <w:vAlign w:val="center"/>
          </w:tcPr>
          <w:p w:rsidR="00AA4661" w:rsidRPr="00F8728A" w:rsidRDefault="00AA4661" w:rsidP="001E0411">
            <w:pPr>
              <w:keepNext/>
              <w:keepLines/>
              <w:spacing w:before="20" w:after="20"/>
              <w:jc w:val="both"/>
              <w:rPr>
                <w:rFonts w:ascii="Calibri" w:hAnsi="Calibri" w:cs="Calibri"/>
                <w:sz w:val="22"/>
                <w:lang w:eastAsia="bg-BG"/>
              </w:rPr>
            </w:pPr>
          </w:p>
        </w:tc>
        <w:tc>
          <w:tcPr>
            <w:tcW w:w="2137" w:type="pct"/>
            <w:tcMar>
              <w:left w:w="72" w:type="dxa"/>
              <w:right w:w="72" w:type="dxa"/>
            </w:tcMar>
            <w:vAlign w:val="center"/>
          </w:tcPr>
          <w:p w:rsidR="00AA4661" w:rsidRPr="00F8728A" w:rsidRDefault="00AA4661" w:rsidP="001E0411">
            <w:pPr>
              <w:keepNext/>
              <w:keepLines/>
              <w:spacing w:before="20" w:after="20"/>
              <w:jc w:val="both"/>
              <w:rPr>
                <w:rFonts w:ascii="Calibri" w:hAnsi="Calibri" w:cs="Calibri"/>
                <w:sz w:val="22"/>
                <w:lang w:eastAsia="bg-BG"/>
              </w:rPr>
            </w:pPr>
            <w:r w:rsidRPr="00F8728A">
              <w:rPr>
                <w:rFonts w:ascii="Calibri" w:hAnsi="Calibri" w:cs="Calibri"/>
                <w:sz w:val="22"/>
                <w:lang w:eastAsia="bg-BG"/>
              </w:rPr>
              <w:t>Climate Ready ще подкрепи Местната инициатива на Асоциацията на местните власти</w:t>
            </w:r>
            <w:r w:rsidRPr="00F8728A">
              <w:rPr>
                <w:rStyle w:val="FootnoteReference"/>
                <w:rFonts w:ascii="Calibri" w:hAnsi="Calibri" w:cs="Calibri"/>
                <w:sz w:val="22"/>
                <w:lang w:eastAsia="bg-BG"/>
              </w:rPr>
              <w:footnoteReference w:id="60"/>
            </w:r>
            <w:r w:rsidRPr="00F8728A">
              <w:rPr>
                <w:rFonts w:ascii="Calibri" w:hAnsi="Calibri" w:cs="Calibri"/>
                <w:sz w:val="22"/>
                <w:lang w:eastAsia="bg-BG"/>
              </w:rPr>
              <w:t xml:space="preserve"> за климата като средство за насочване на  препоръки, инструменти и примери, които могат да помогнат на местните власти да предприемат действия за подобряване на устойчивостта на застроената среда </w:t>
            </w:r>
          </w:p>
        </w:tc>
      </w:tr>
      <w:tr w:rsidR="00AA4661" w:rsidRPr="00F8728A" w:rsidTr="001E0411">
        <w:trPr>
          <w:trHeight w:val="304"/>
          <w:jc w:val="center"/>
        </w:trPr>
        <w:tc>
          <w:tcPr>
            <w:tcW w:w="945" w:type="pct"/>
            <w:vMerge/>
            <w:shd w:val="clear" w:color="auto" w:fill="B8CCE4"/>
            <w:tcMar>
              <w:left w:w="72" w:type="dxa"/>
              <w:right w:w="72" w:type="dxa"/>
            </w:tcMar>
            <w:vAlign w:val="center"/>
          </w:tcPr>
          <w:p w:rsidR="00AA4661" w:rsidRPr="00F8728A" w:rsidRDefault="00AA4661" w:rsidP="001E0411">
            <w:pPr>
              <w:keepNext/>
              <w:keepLines/>
              <w:spacing w:before="20" w:after="20"/>
              <w:jc w:val="center"/>
              <w:rPr>
                <w:rFonts w:ascii="Calibri" w:hAnsi="Calibri" w:cs="Calibri"/>
                <w:b/>
                <w:sz w:val="22"/>
                <w:lang w:eastAsia="bg-BG"/>
              </w:rPr>
            </w:pPr>
          </w:p>
        </w:tc>
        <w:tc>
          <w:tcPr>
            <w:tcW w:w="1918" w:type="pct"/>
            <w:vMerge/>
            <w:tcMar>
              <w:left w:w="72" w:type="dxa"/>
              <w:right w:w="72" w:type="dxa"/>
            </w:tcMar>
            <w:vAlign w:val="center"/>
          </w:tcPr>
          <w:p w:rsidR="00AA4661" w:rsidRPr="00F8728A" w:rsidRDefault="00AA4661" w:rsidP="001E0411">
            <w:pPr>
              <w:keepNext/>
              <w:keepLines/>
              <w:spacing w:before="20" w:after="20"/>
              <w:jc w:val="both"/>
              <w:rPr>
                <w:rFonts w:ascii="Calibri" w:hAnsi="Calibri" w:cs="Calibri"/>
                <w:sz w:val="22"/>
                <w:lang w:eastAsia="bg-BG"/>
              </w:rPr>
            </w:pPr>
          </w:p>
        </w:tc>
        <w:tc>
          <w:tcPr>
            <w:tcW w:w="2137" w:type="pct"/>
            <w:tcMar>
              <w:left w:w="72" w:type="dxa"/>
              <w:right w:w="72" w:type="dxa"/>
            </w:tcMar>
            <w:vAlign w:val="center"/>
          </w:tcPr>
          <w:p w:rsidR="00AA4661" w:rsidRPr="00F8728A" w:rsidRDefault="00AA4661" w:rsidP="001E0411">
            <w:pPr>
              <w:keepNext/>
              <w:keepLines/>
              <w:spacing w:before="20" w:after="20"/>
              <w:jc w:val="both"/>
              <w:rPr>
                <w:rFonts w:ascii="Calibri" w:hAnsi="Calibri" w:cs="Calibri"/>
                <w:sz w:val="22"/>
                <w:lang w:eastAsia="bg-BG"/>
              </w:rPr>
            </w:pPr>
            <w:r w:rsidRPr="00F8728A">
              <w:rPr>
                <w:rFonts w:ascii="Calibri" w:hAnsi="Calibri" w:cs="Calibri"/>
                <w:sz w:val="22"/>
                <w:lang w:eastAsia="bg-BG"/>
              </w:rPr>
              <w:t>Прилагане на Партньорството за зелена инфраструктура (GIP)</w:t>
            </w:r>
            <w:r w:rsidRPr="00F8728A">
              <w:rPr>
                <w:rStyle w:val="FootnoteReference"/>
                <w:rFonts w:ascii="Calibri" w:hAnsi="Calibri" w:cs="Calibri"/>
                <w:sz w:val="22"/>
                <w:lang w:eastAsia="bg-BG"/>
              </w:rPr>
              <w:footnoteReference w:id="61"/>
            </w:r>
            <w:r w:rsidRPr="00F8728A">
              <w:rPr>
                <w:rFonts w:ascii="Calibri" w:hAnsi="Calibri" w:cs="Calibri"/>
                <w:sz w:val="22"/>
                <w:lang w:eastAsia="bg-BG"/>
              </w:rPr>
              <w:t xml:space="preserve"> в работата за адаптиране</w:t>
            </w:r>
          </w:p>
        </w:tc>
      </w:tr>
      <w:tr w:rsidR="00AA4661" w:rsidRPr="00F8728A" w:rsidTr="001E0411">
        <w:trPr>
          <w:trHeight w:val="340"/>
          <w:jc w:val="center"/>
        </w:trPr>
        <w:tc>
          <w:tcPr>
            <w:tcW w:w="945" w:type="pct"/>
            <w:vMerge w:val="restart"/>
            <w:shd w:val="clear" w:color="auto" w:fill="B8CCE4"/>
            <w:tcMar>
              <w:left w:w="72" w:type="dxa"/>
              <w:right w:w="72" w:type="dxa"/>
            </w:tcMar>
            <w:vAlign w:val="center"/>
          </w:tcPr>
          <w:p w:rsidR="00AA4661" w:rsidRPr="00F8728A" w:rsidRDefault="00AA4661" w:rsidP="00194E9E">
            <w:pPr>
              <w:spacing w:before="20" w:after="20"/>
              <w:jc w:val="center"/>
              <w:rPr>
                <w:rFonts w:ascii="Calibri" w:hAnsi="Calibri" w:cs="Calibri"/>
                <w:b/>
                <w:sz w:val="22"/>
                <w:lang w:eastAsia="bg-BG"/>
              </w:rPr>
            </w:pPr>
            <w:r w:rsidRPr="00F8728A">
              <w:rPr>
                <w:rFonts w:ascii="Calibri" w:hAnsi="Calibri" w:cs="Calibri"/>
                <w:b/>
                <w:sz w:val="22"/>
                <w:lang w:eastAsia="bg-BG"/>
              </w:rPr>
              <w:t>3. Увеличаване на капацитета за адаптация в сектора</w:t>
            </w:r>
          </w:p>
        </w:tc>
        <w:tc>
          <w:tcPr>
            <w:tcW w:w="1918" w:type="pct"/>
            <w:vMerge w:val="restart"/>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r w:rsidRPr="00F8728A">
              <w:rPr>
                <w:rFonts w:ascii="Calibri" w:hAnsi="Calibri" w:cs="Calibri"/>
                <w:b/>
                <w:sz w:val="22"/>
                <w:lang w:eastAsia="bg-BG"/>
              </w:rPr>
              <w:t>Цел 3</w:t>
            </w:r>
            <w:r w:rsidRPr="00F8728A">
              <w:rPr>
                <w:rFonts w:ascii="Calibri" w:hAnsi="Calibri" w:cs="Calibri"/>
                <w:sz w:val="22"/>
                <w:lang w:eastAsia="bg-BG"/>
              </w:rPr>
              <w:t>: Да се помогне на бизнеса и индустриите в сектора да получат достъп до умения, обучение, знания и инструменти за разбиране и управление на рисковете от ИК.</w:t>
            </w:r>
          </w:p>
          <w:p w:rsidR="00AA4661" w:rsidRPr="00F8728A" w:rsidRDefault="00AA4661" w:rsidP="00194E9E">
            <w:pPr>
              <w:spacing w:before="20" w:after="20"/>
              <w:jc w:val="both"/>
              <w:rPr>
                <w:rFonts w:ascii="Calibri" w:hAnsi="Calibri" w:cs="Calibri"/>
                <w:sz w:val="22"/>
                <w:lang w:eastAsia="bg-BG"/>
              </w:rPr>
            </w:pPr>
            <w:r w:rsidRPr="00F8728A">
              <w:rPr>
                <w:rFonts w:ascii="Calibri" w:hAnsi="Calibri" w:cs="Calibri"/>
                <w:b/>
                <w:sz w:val="22"/>
                <w:lang w:eastAsia="bg-BG"/>
              </w:rPr>
              <w:t>Цел 4</w:t>
            </w:r>
            <w:r w:rsidRPr="00F8728A">
              <w:rPr>
                <w:rFonts w:ascii="Calibri" w:hAnsi="Calibri" w:cs="Calibri"/>
                <w:sz w:val="22"/>
                <w:lang w:eastAsia="bg-BG"/>
              </w:rPr>
              <w:t>: Да се гарантира, че инвеститорите и  предприемачите разполагат с финансовите инструменти и инструментите за вземане на решения за оценка, от които се нуждаят, за да подкрепят и насърчават АИК.</w:t>
            </w:r>
          </w:p>
        </w:tc>
        <w:tc>
          <w:tcPr>
            <w:tcW w:w="2137" w:type="pct"/>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r w:rsidRPr="00F8728A">
              <w:rPr>
                <w:rFonts w:ascii="Calibri" w:hAnsi="Calibri" w:cs="Calibri"/>
                <w:sz w:val="22"/>
                <w:lang w:eastAsia="bg-BG"/>
              </w:rPr>
              <w:t>Прилагане на приоритетни действия за повишаване на квалификацията и обучението в сектора</w:t>
            </w:r>
          </w:p>
        </w:tc>
      </w:tr>
      <w:tr w:rsidR="00AA4661" w:rsidRPr="00F8728A" w:rsidTr="001E0411">
        <w:trPr>
          <w:trHeight w:val="340"/>
          <w:jc w:val="center"/>
        </w:trPr>
        <w:tc>
          <w:tcPr>
            <w:tcW w:w="945" w:type="pct"/>
            <w:vMerge/>
            <w:shd w:val="clear" w:color="auto" w:fill="B8CCE4"/>
            <w:tcMar>
              <w:left w:w="72" w:type="dxa"/>
              <w:right w:w="72" w:type="dxa"/>
            </w:tcMar>
            <w:vAlign w:val="center"/>
          </w:tcPr>
          <w:p w:rsidR="00AA4661" w:rsidRPr="00F8728A" w:rsidRDefault="00AA4661" w:rsidP="00194E9E">
            <w:pPr>
              <w:spacing w:before="20" w:after="20"/>
              <w:jc w:val="center"/>
              <w:rPr>
                <w:rFonts w:ascii="Calibri" w:hAnsi="Calibri" w:cs="Calibri"/>
                <w:b/>
                <w:sz w:val="22"/>
                <w:lang w:eastAsia="bg-BG"/>
              </w:rPr>
            </w:pPr>
          </w:p>
        </w:tc>
        <w:tc>
          <w:tcPr>
            <w:tcW w:w="1918" w:type="pct"/>
            <w:vMerge/>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p>
        </w:tc>
        <w:tc>
          <w:tcPr>
            <w:tcW w:w="2137" w:type="pct"/>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r w:rsidRPr="00F8728A">
              <w:rPr>
                <w:rFonts w:ascii="Calibri" w:hAnsi="Calibri" w:cs="Calibri"/>
                <w:sz w:val="22"/>
                <w:lang w:eastAsia="bg-BG"/>
              </w:rPr>
              <w:t>Разпространение на наученото от конкурса на Съвета на Стратегията за технологичен дизайн за климата в бъдеще</w:t>
            </w:r>
          </w:p>
        </w:tc>
      </w:tr>
      <w:tr w:rsidR="00AA4661" w:rsidRPr="00F8728A" w:rsidTr="001E0411">
        <w:trPr>
          <w:trHeight w:val="1045"/>
          <w:jc w:val="center"/>
        </w:trPr>
        <w:tc>
          <w:tcPr>
            <w:tcW w:w="945" w:type="pct"/>
            <w:vMerge/>
            <w:shd w:val="clear" w:color="auto" w:fill="B8CCE4"/>
            <w:tcMar>
              <w:left w:w="72" w:type="dxa"/>
              <w:right w:w="72" w:type="dxa"/>
            </w:tcMar>
            <w:vAlign w:val="center"/>
          </w:tcPr>
          <w:p w:rsidR="00AA4661" w:rsidRPr="00F8728A" w:rsidRDefault="00AA4661" w:rsidP="00194E9E">
            <w:pPr>
              <w:spacing w:before="20" w:after="20"/>
              <w:jc w:val="center"/>
              <w:rPr>
                <w:rFonts w:ascii="Calibri" w:hAnsi="Calibri" w:cs="Calibri"/>
                <w:b/>
                <w:sz w:val="22"/>
                <w:lang w:eastAsia="bg-BG"/>
              </w:rPr>
            </w:pPr>
          </w:p>
        </w:tc>
        <w:tc>
          <w:tcPr>
            <w:tcW w:w="1918" w:type="pct"/>
            <w:vMerge/>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p>
        </w:tc>
        <w:tc>
          <w:tcPr>
            <w:tcW w:w="2137" w:type="pct"/>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r w:rsidRPr="00F8728A">
              <w:rPr>
                <w:rFonts w:ascii="Calibri" w:hAnsi="Calibri" w:cs="Calibri"/>
                <w:sz w:val="22"/>
                <w:lang w:eastAsia="bg-BG"/>
              </w:rPr>
              <w:t>Подготовка на насоки за разработване на бизнес казус за АИК</w:t>
            </w:r>
          </w:p>
        </w:tc>
      </w:tr>
      <w:tr w:rsidR="00AA4661" w:rsidRPr="00F8728A" w:rsidTr="001E0411">
        <w:trPr>
          <w:trHeight w:val="189"/>
          <w:jc w:val="center"/>
        </w:trPr>
        <w:tc>
          <w:tcPr>
            <w:tcW w:w="945" w:type="pct"/>
            <w:vMerge w:val="restart"/>
            <w:shd w:val="clear" w:color="auto" w:fill="B8CCE4"/>
            <w:tcMar>
              <w:left w:w="72" w:type="dxa"/>
              <w:right w:w="72" w:type="dxa"/>
            </w:tcMar>
            <w:vAlign w:val="center"/>
          </w:tcPr>
          <w:p w:rsidR="00AA4661" w:rsidRPr="00F8728A" w:rsidRDefault="00AA4661" w:rsidP="00194E9E">
            <w:pPr>
              <w:spacing w:before="20" w:after="20"/>
              <w:jc w:val="center"/>
              <w:rPr>
                <w:rFonts w:ascii="Calibri" w:hAnsi="Calibri" w:cs="Calibri"/>
                <w:b/>
                <w:sz w:val="22"/>
                <w:lang w:eastAsia="bg-BG"/>
              </w:rPr>
            </w:pPr>
            <w:r w:rsidRPr="00F8728A">
              <w:rPr>
                <w:rFonts w:ascii="Calibri" w:hAnsi="Calibri" w:cs="Calibri"/>
                <w:b/>
                <w:sz w:val="22"/>
                <w:lang w:eastAsia="bg-BG"/>
              </w:rPr>
              <w:t>4. Да направим домовете и общностите по-устойчиви</w:t>
            </w:r>
          </w:p>
        </w:tc>
        <w:tc>
          <w:tcPr>
            <w:tcW w:w="1918" w:type="pct"/>
            <w:vMerge w:val="restart"/>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r w:rsidRPr="00F8728A">
              <w:rPr>
                <w:rFonts w:ascii="Calibri" w:hAnsi="Calibri" w:cs="Calibri"/>
                <w:b/>
                <w:sz w:val="22"/>
                <w:lang w:eastAsia="bg-BG"/>
              </w:rPr>
              <w:t>Цел 5</w:t>
            </w:r>
            <w:r w:rsidRPr="00F8728A">
              <w:rPr>
                <w:rFonts w:ascii="Calibri" w:hAnsi="Calibri" w:cs="Calibri"/>
                <w:sz w:val="22"/>
                <w:lang w:eastAsia="bg-BG"/>
              </w:rPr>
              <w:t>: Да се увеличи устойчивостта на жилищата и сградите, като се помогне на хората и общностите да разберат какво може да означава за тях променен климат и да предприемат действия, за да станат устойчиви на климатичните рискове.</w:t>
            </w:r>
          </w:p>
        </w:tc>
        <w:tc>
          <w:tcPr>
            <w:tcW w:w="2137" w:type="pct"/>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r w:rsidRPr="00F8728A">
              <w:rPr>
                <w:rFonts w:ascii="Calibri" w:hAnsi="Calibri" w:cs="Calibri"/>
                <w:sz w:val="22"/>
                <w:lang w:eastAsia="bg-BG"/>
              </w:rPr>
              <w:t>Да се продължи с кампаниите за ефективно използване на водата  от домакинствата и предприятията</w:t>
            </w:r>
          </w:p>
        </w:tc>
      </w:tr>
      <w:tr w:rsidR="00AA4661" w:rsidRPr="00F8728A" w:rsidTr="001E0411">
        <w:trPr>
          <w:trHeight w:val="189"/>
          <w:jc w:val="center"/>
        </w:trPr>
        <w:tc>
          <w:tcPr>
            <w:tcW w:w="945" w:type="pct"/>
            <w:vMerge/>
            <w:shd w:val="clear" w:color="auto" w:fill="B8CCE4"/>
            <w:tcMar>
              <w:left w:w="72" w:type="dxa"/>
              <w:right w:w="72" w:type="dxa"/>
            </w:tcMar>
            <w:vAlign w:val="center"/>
          </w:tcPr>
          <w:p w:rsidR="00AA4661" w:rsidRPr="00F8728A" w:rsidRDefault="00AA4661" w:rsidP="00194E9E">
            <w:pPr>
              <w:spacing w:before="20" w:after="20"/>
              <w:jc w:val="center"/>
              <w:rPr>
                <w:rFonts w:ascii="Calibri" w:hAnsi="Calibri" w:cs="Calibri"/>
                <w:b/>
                <w:sz w:val="22"/>
                <w:lang w:eastAsia="bg-BG"/>
              </w:rPr>
            </w:pPr>
          </w:p>
        </w:tc>
        <w:tc>
          <w:tcPr>
            <w:tcW w:w="1918" w:type="pct"/>
            <w:vMerge/>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p>
        </w:tc>
        <w:tc>
          <w:tcPr>
            <w:tcW w:w="2137" w:type="pct"/>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r w:rsidRPr="00F8728A">
              <w:rPr>
                <w:rFonts w:ascii="Calibri" w:hAnsi="Calibri" w:cs="Calibri"/>
                <w:sz w:val="22"/>
                <w:lang w:eastAsia="bg-BG"/>
              </w:rPr>
              <w:t>Да продължи насърчаването за използване Защитата на собствеността, за да се намали въздействието на наводненията върху хората и имуществото</w:t>
            </w:r>
          </w:p>
        </w:tc>
      </w:tr>
      <w:tr w:rsidR="00AA4661" w:rsidRPr="00F8728A" w:rsidTr="001E0411">
        <w:trPr>
          <w:trHeight w:val="189"/>
          <w:jc w:val="center"/>
        </w:trPr>
        <w:tc>
          <w:tcPr>
            <w:tcW w:w="945" w:type="pct"/>
            <w:vMerge/>
            <w:shd w:val="clear" w:color="auto" w:fill="B8CCE4"/>
            <w:tcMar>
              <w:left w:w="72" w:type="dxa"/>
              <w:right w:w="72" w:type="dxa"/>
            </w:tcMar>
            <w:vAlign w:val="center"/>
          </w:tcPr>
          <w:p w:rsidR="00AA4661" w:rsidRPr="00F8728A" w:rsidRDefault="00AA4661" w:rsidP="00194E9E">
            <w:pPr>
              <w:spacing w:before="20" w:after="20"/>
              <w:jc w:val="center"/>
              <w:rPr>
                <w:rFonts w:ascii="Calibri" w:hAnsi="Calibri" w:cs="Calibri"/>
                <w:b/>
                <w:sz w:val="22"/>
                <w:lang w:eastAsia="bg-BG"/>
              </w:rPr>
            </w:pPr>
          </w:p>
        </w:tc>
        <w:tc>
          <w:tcPr>
            <w:tcW w:w="1918" w:type="pct"/>
            <w:vMerge/>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p>
        </w:tc>
        <w:tc>
          <w:tcPr>
            <w:tcW w:w="2137" w:type="pct"/>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r w:rsidRPr="00F8728A">
              <w:rPr>
                <w:rFonts w:ascii="Calibri" w:hAnsi="Calibri" w:cs="Calibri"/>
                <w:sz w:val="22"/>
                <w:lang w:eastAsia="bg-BG"/>
              </w:rPr>
              <w:t>Разпространение на указания при риск от прегряване</w:t>
            </w:r>
          </w:p>
        </w:tc>
      </w:tr>
      <w:tr w:rsidR="00AA4661" w:rsidRPr="00F8728A" w:rsidTr="001E0411">
        <w:trPr>
          <w:trHeight w:val="189"/>
          <w:jc w:val="center"/>
        </w:trPr>
        <w:tc>
          <w:tcPr>
            <w:tcW w:w="945" w:type="pct"/>
            <w:vMerge/>
            <w:shd w:val="clear" w:color="auto" w:fill="B8CCE4"/>
            <w:tcMar>
              <w:left w:w="72" w:type="dxa"/>
              <w:right w:w="72" w:type="dxa"/>
            </w:tcMar>
            <w:vAlign w:val="center"/>
          </w:tcPr>
          <w:p w:rsidR="00AA4661" w:rsidRPr="00F8728A" w:rsidRDefault="00AA4661" w:rsidP="00194E9E">
            <w:pPr>
              <w:spacing w:before="20" w:after="20"/>
              <w:jc w:val="center"/>
              <w:rPr>
                <w:rFonts w:ascii="Calibri" w:hAnsi="Calibri" w:cs="Calibri"/>
                <w:b/>
                <w:sz w:val="22"/>
                <w:lang w:eastAsia="bg-BG"/>
              </w:rPr>
            </w:pPr>
          </w:p>
        </w:tc>
        <w:tc>
          <w:tcPr>
            <w:tcW w:w="1918" w:type="pct"/>
            <w:vMerge/>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p>
        </w:tc>
        <w:tc>
          <w:tcPr>
            <w:tcW w:w="2137" w:type="pct"/>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r w:rsidRPr="00F8728A">
              <w:rPr>
                <w:rFonts w:ascii="Calibri" w:hAnsi="Calibri" w:cs="Calibri"/>
                <w:sz w:val="22"/>
                <w:lang w:eastAsia="bg-BG"/>
              </w:rPr>
              <w:t>Преглед на стандартната процедура за оценка (SAP) по отношение на прегряването</w:t>
            </w:r>
          </w:p>
        </w:tc>
      </w:tr>
      <w:tr w:rsidR="00AA4661" w:rsidRPr="00F8728A" w:rsidTr="001E0411">
        <w:trPr>
          <w:trHeight w:val="189"/>
          <w:jc w:val="center"/>
        </w:trPr>
        <w:tc>
          <w:tcPr>
            <w:tcW w:w="945" w:type="pct"/>
            <w:vMerge/>
            <w:shd w:val="clear" w:color="auto" w:fill="B8CCE4"/>
            <w:tcMar>
              <w:left w:w="72" w:type="dxa"/>
              <w:right w:w="72" w:type="dxa"/>
            </w:tcMar>
            <w:vAlign w:val="center"/>
          </w:tcPr>
          <w:p w:rsidR="00AA4661" w:rsidRPr="00F8728A" w:rsidRDefault="00AA4661" w:rsidP="00194E9E">
            <w:pPr>
              <w:spacing w:before="20" w:after="20"/>
              <w:jc w:val="center"/>
              <w:rPr>
                <w:rFonts w:ascii="Calibri" w:hAnsi="Calibri" w:cs="Calibri"/>
                <w:b/>
                <w:sz w:val="22"/>
                <w:lang w:eastAsia="bg-BG"/>
              </w:rPr>
            </w:pPr>
          </w:p>
        </w:tc>
        <w:tc>
          <w:tcPr>
            <w:tcW w:w="1918" w:type="pct"/>
            <w:vMerge/>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p>
        </w:tc>
        <w:tc>
          <w:tcPr>
            <w:tcW w:w="2137" w:type="pct"/>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r w:rsidRPr="00F8728A">
              <w:rPr>
                <w:rFonts w:ascii="Calibri" w:hAnsi="Calibri" w:cs="Calibri"/>
                <w:sz w:val="22"/>
                <w:lang w:eastAsia="bg-BG"/>
              </w:rPr>
              <w:t xml:space="preserve">Преглед на рамката на строителните норми и местните жилищни стандарти     </w:t>
            </w:r>
          </w:p>
        </w:tc>
      </w:tr>
      <w:tr w:rsidR="00AA4661" w:rsidRPr="00F8728A" w:rsidTr="001E0411">
        <w:trPr>
          <w:trHeight w:val="340"/>
          <w:jc w:val="center"/>
        </w:trPr>
        <w:tc>
          <w:tcPr>
            <w:tcW w:w="945" w:type="pct"/>
            <w:vMerge w:val="restart"/>
            <w:shd w:val="clear" w:color="auto" w:fill="B8CCE4"/>
            <w:tcMar>
              <w:left w:w="72" w:type="dxa"/>
              <w:right w:w="72" w:type="dxa"/>
            </w:tcMar>
            <w:vAlign w:val="center"/>
          </w:tcPr>
          <w:p w:rsidR="00AA4661" w:rsidRPr="00F8728A" w:rsidRDefault="00AA4661" w:rsidP="00194E9E">
            <w:pPr>
              <w:spacing w:before="20" w:after="20"/>
              <w:jc w:val="center"/>
              <w:rPr>
                <w:rFonts w:ascii="Calibri" w:hAnsi="Calibri" w:cs="Calibri"/>
                <w:b/>
                <w:sz w:val="22"/>
                <w:lang w:eastAsia="bg-BG"/>
              </w:rPr>
            </w:pPr>
            <w:r w:rsidRPr="00F8728A">
              <w:rPr>
                <w:rFonts w:ascii="Calibri" w:hAnsi="Calibri" w:cs="Calibri"/>
                <w:b/>
                <w:sz w:val="22"/>
                <w:lang w:eastAsia="bg-BG"/>
              </w:rPr>
              <w:t>5. Дългосрочни последици</w:t>
            </w:r>
          </w:p>
        </w:tc>
        <w:tc>
          <w:tcPr>
            <w:tcW w:w="1918" w:type="pct"/>
            <w:vMerge w:val="restart"/>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r w:rsidRPr="00F8728A">
              <w:rPr>
                <w:rFonts w:ascii="Calibri" w:hAnsi="Calibri" w:cs="Calibri"/>
                <w:b/>
                <w:sz w:val="22"/>
                <w:lang w:eastAsia="bg-BG"/>
              </w:rPr>
              <w:t>Цел 6</w:t>
            </w:r>
            <w:r w:rsidRPr="00F8728A">
              <w:rPr>
                <w:rFonts w:ascii="Calibri" w:hAnsi="Calibri" w:cs="Calibri"/>
                <w:sz w:val="22"/>
                <w:lang w:eastAsia="bg-BG"/>
              </w:rPr>
              <w:t>: Да се изследва и изгради разбиране за дългосрочните последици от ИК за местоположението и устойчивостта на населените места.</w:t>
            </w:r>
          </w:p>
        </w:tc>
        <w:tc>
          <w:tcPr>
            <w:tcW w:w="2137" w:type="pct"/>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r w:rsidRPr="00F8728A">
              <w:rPr>
                <w:rFonts w:ascii="Calibri" w:hAnsi="Calibri" w:cs="Calibri"/>
                <w:sz w:val="22"/>
                <w:lang w:eastAsia="bg-BG"/>
              </w:rPr>
              <w:t>Текуща работа по националното картографиране на риска от ерозия по крайбрежието</w:t>
            </w:r>
          </w:p>
        </w:tc>
      </w:tr>
      <w:tr w:rsidR="00AA4661" w:rsidRPr="00F8728A" w:rsidTr="001E0411">
        <w:trPr>
          <w:trHeight w:val="340"/>
          <w:jc w:val="center"/>
        </w:trPr>
        <w:tc>
          <w:tcPr>
            <w:tcW w:w="945" w:type="pct"/>
            <w:vMerge/>
            <w:shd w:val="clear" w:color="auto" w:fill="B8CCE4"/>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p>
        </w:tc>
        <w:tc>
          <w:tcPr>
            <w:tcW w:w="1918" w:type="pct"/>
            <w:vMerge/>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p>
        </w:tc>
        <w:tc>
          <w:tcPr>
            <w:tcW w:w="2137" w:type="pct"/>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r w:rsidRPr="00F8728A">
              <w:rPr>
                <w:rFonts w:ascii="Calibri" w:hAnsi="Calibri" w:cs="Calibri"/>
                <w:sz w:val="22"/>
                <w:lang w:eastAsia="bg-BG"/>
              </w:rPr>
              <w:t>Преглед на дългосрочната инвестиционна стратегия</w:t>
            </w:r>
          </w:p>
        </w:tc>
      </w:tr>
    </w:tbl>
    <w:p w:rsidR="00AA4661" w:rsidRPr="00F8728A" w:rsidRDefault="00AA4661" w:rsidP="00B73D7E">
      <w:pPr>
        <w:pStyle w:val="Source"/>
        <w:jc w:val="center"/>
        <w:rPr>
          <w:lang w:eastAsia="bg-BG"/>
        </w:rPr>
      </w:pPr>
      <w:r w:rsidRPr="00F8728A">
        <w:rPr>
          <w:lang w:eastAsia="bg-BG"/>
        </w:rPr>
        <w:t>Източник: НПА, Великобритания. Съставено от НЦРР.</w:t>
      </w:r>
    </w:p>
    <w:p w:rsidR="00AA4661" w:rsidRPr="00B73D7E" w:rsidRDefault="00AA4661" w:rsidP="00CF297A">
      <w:pPr>
        <w:pStyle w:val="BodyText"/>
        <w:numPr>
          <w:ilvl w:val="0"/>
          <w:numId w:val="41"/>
        </w:numPr>
        <w:ind w:left="0" w:firstLine="0"/>
        <w:rPr>
          <w:lang w:val="bg-BG"/>
        </w:rPr>
      </w:pPr>
      <w:r w:rsidRPr="00B73D7E">
        <w:rPr>
          <w:lang w:val="bg-BG"/>
        </w:rPr>
        <w:t>НПА е разработена в сътрудничество с около 270 организации на заинтересовани страни и насърчава ключовата роля на местните власти и основните градове в партньорството и изграждането на мрежи за прилагане на иновативни проекти за АИК в градска среда. Подкрепена е със споразумение, подписано от основните градове (Общинските съвети на Бирмингам, Бристъл, Лийдс, Ливърпул, Манчестър, Нюкасъл, Нотингам и Шефилд), Лондонските съвети и Управата на голям Лондон (GLA) за сътрудничество в периоди на значителни бюджетни ограничения или конкуренция за ресурси.</w:t>
      </w:r>
    </w:p>
    <w:p w:rsidR="00AA4661" w:rsidRPr="00B73D7E" w:rsidRDefault="00AA4661" w:rsidP="00CF297A">
      <w:pPr>
        <w:pStyle w:val="BodyText"/>
        <w:numPr>
          <w:ilvl w:val="0"/>
          <w:numId w:val="41"/>
        </w:numPr>
        <w:ind w:left="0" w:firstLine="0"/>
        <w:rPr>
          <w:lang w:val="bg-BG"/>
        </w:rPr>
      </w:pPr>
      <w:r w:rsidRPr="00B73D7E">
        <w:rPr>
          <w:lang w:val="bg-BG"/>
        </w:rPr>
        <w:t>Част от стратегията е националната комуникационна стратегия на Обединеното кралство за климатичните промени "Климатът утре - предизвикателство днес"</w:t>
      </w:r>
      <w:r w:rsidRPr="00B73D7E">
        <w:rPr>
          <w:rStyle w:val="FootnoteReference"/>
          <w:lang w:val="bg-BG"/>
        </w:rPr>
        <w:footnoteReference w:id="62"/>
      </w:r>
      <w:r w:rsidRPr="00B73D7E">
        <w:rPr>
          <w:lang w:val="bg-BG"/>
        </w:rPr>
        <w:t xml:space="preserve">, която има за цел да координира кампаниите в различни части на страната. Тя е оповестена през 2006 г. и препоръчва разработването на комуникационни планове и програми. Инициативите трябва да изпращат ясни послания за промяна на обществените нагласи към изменението на климата и социалното поведение. </w:t>
      </w:r>
    </w:p>
    <w:p w:rsidR="00AA4661" w:rsidRPr="00B73D7E" w:rsidRDefault="00AA4661" w:rsidP="00CF297A">
      <w:pPr>
        <w:pStyle w:val="BodyText"/>
        <w:numPr>
          <w:ilvl w:val="0"/>
          <w:numId w:val="41"/>
        </w:numPr>
        <w:ind w:left="0" w:firstLine="0"/>
        <w:rPr>
          <w:lang w:val="bg-BG"/>
        </w:rPr>
      </w:pPr>
      <w:r w:rsidRPr="00B73D7E">
        <w:rPr>
          <w:lang w:val="bg-BG"/>
        </w:rPr>
        <w:t>Докладът с данни от оценката на риска за ИК в Обединеното кралство за 2017 г. се основава на най-новото разбиране за настоящите и бъдещите рискове и възможности за климата, уязвимостта и адаптацията и определя шест приоритетни рискове за следващите пет години, подредени по спешност. Той актуализира предишните оценки, като взема предвид международните климатични рискове, които биха могли да имат последици за Обединеното кралство и взаимозависимостта между различните сектори и климатичните рискове. Въпреки работата, извършена на различни равнища за прилагането на препоръчаните действия за адаптация и разпространението на знания за рисковете от изменението на климата и уязвимостта, оценката от 2017 г. показва, че в градския сектор са необходими повече действия.</w:t>
      </w:r>
    </w:p>
    <w:p w:rsidR="00AA4661" w:rsidRPr="00B73D7E" w:rsidRDefault="00AA4661" w:rsidP="00E21095">
      <w:pPr>
        <w:pStyle w:val="Heading3"/>
        <w:numPr>
          <w:ilvl w:val="2"/>
          <w:numId w:val="25"/>
        </w:numPr>
        <w:autoSpaceDE/>
        <w:autoSpaceDN/>
        <w:adjustRightInd/>
        <w:spacing w:before="160"/>
        <w:ind w:left="0" w:firstLine="0"/>
        <w:rPr>
          <w:rFonts w:eastAsia="Times New Roman"/>
          <w:lang w:val="bg-BG" w:eastAsia="bg-BG"/>
        </w:rPr>
      </w:pPr>
      <w:bookmarkStart w:id="180" w:name="_Toc486259767"/>
      <w:bookmarkStart w:id="181" w:name="_Toc486942175"/>
      <w:bookmarkStart w:id="182" w:name="_Toc501454852"/>
      <w:bookmarkStart w:id="183" w:name="_Toc522030554"/>
      <w:bookmarkStart w:id="184" w:name="_Toc529285539"/>
      <w:r w:rsidRPr="00B73D7E">
        <w:rPr>
          <w:lang w:val="bg-BG" w:eastAsia="bg-BG"/>
        </w:rPr>
        <w:t>Австрия</w:t>
      </w:r>
      <w:bookmarkEnd w:id="180"/>
      <w:bookmarkEnd w:id="181"/>
      <w:bookmarkEnd w:id="182"/>
      <w:bookmarkEnd w:id="183"/>
      <w:bookmarkEnd w:id="184"/>
    </w:p>
    <w:p w:rsidR="00AA4661" w:rsidRPr="00B73D7E" w:rsidRDefault="00AA4661" w:rsidP="00CF297A">
      <w:pPr>
        <w:pStyle w:val="BodyText"/>
        <w:numPr>
          <w:ilvl w:val="0"/>
          <w:numId w:val="41"/>
        </w:numPr>
        <w:ind w:left="0" w:firstLine="0"/>
        <w:rPr>
          <w:color w:val="FF0000"/>
          <w:lang w:val="bg-BG"/>
        </w:rPr>
      </w:pPr>
      <w:r w:rsidRPr="00B73D7E">
        <w:rPr>
          <w:lang w:val="bg-BG"/>
        </w:rPr>
        <w:t>В Австрия е седалището на Международната комисия за опазване на река Дунав (ICPDR)</w:t>
      </w:r>
      <w:r w:rsidRPr="00B73D7E">
        <w:rPr>
          <w:rStyle w:val="FootnoteReference"/>
          <w:rFonts w:eastAsia="Times New Roman"/>
          <w:lang w:val="bg-BG"/>
        </w:rPr>
        <w:footnoteReference w:id="63"/>
      </w:r>
      <w:r w:rsidRPr="00B73D7E">
        <w:rPr>
          <w:lang w:val="bg-BG"/>
        </w:rPr>
        <w:t xml:space="preserve">, създадена през 1998 г., с 14 участващи държави, които си сътрудничат с Европейския съюз за интегрираното управление на басейна на река Дунав. ICPDR разработи Стратегията за адаптиране към климата на басейна на река Дунав, приета </w:t>
      </w:r>
      <w:r w:rsidRPr="00B73D7E">
        <w:rPr>
          <w:lang w:val="bg-BG"/>
        </w:rPr>
        <w:lastRenderedPageBreak/>
        <w:t>през 2012 г.</w:t>
      </w:r>
      <w:r w:rsidRPr="00B73D7E">
        <w:rPr>
          <w:rStyle w:val="FootnoteReference"/>
          <w:lang w:val="bg-BG"/>
        </w:rPr>
        <w:footnoteReference w:id="64"/>
      </w:r>
      <w:r w:rsidRPr="00B73D7E">
        <w:rPr>
          <w:lang w:val="bg-BG"/>
        </w:rPr>
        <w:t xml:space="preserve"> Страната разполага с добре развита и добре координирана мрежа от изследователски организации, които си сътрудничат в областта на научните изследвания и трансфера на знания за опазването на околната среда, пространственото, ландшафтното и градското планиране, управлението на водите и опазването на почвите.</w:t>
      </w:r>
    </w:p>
    <w:p w:rsidR="00AA4661" w:rsidRPr="00B73D7E" w:rsidRDefault="00AA4661" w:rsidP="00CF297A">
      <w:pPr>
        <w:pStyle w:val="BodyText"/>
        <w:numPr>
          <w:ilvl w:val="0"/>
          <w:numId w:val="41"/>
        </w:numPr>
        <w:ind w:left="0" w:firstLine="0"/>
        <w:rPr>
          <w:lang w:val="bg-BG"/>
        </w:rPr>
      </w:pPr>
      <w:r w:rsidRPr="00B73D7E">
        <w:rPr>
          <w:lang w:val="bg-BG"/>
        </w:rPr>
        <w:t>Прилагането на политиката в областта на изменението на климата е основна отговорност на федералното министерство на земеделието и горите, околната среда и управлението на водите. Министерството си сътрудничи с изследователски институти, НПО и представители на гражданското общество. Сътрудничеството между основните заинтересовани страни се подкрепя от Националния комитет по изменението на климата и от Националния съвет по въпросите на изменението на климата, създаден съгласно Закона за защита от климата (2011) (Nachmany и колектив, 2015 г.)</w:t>
      </w:r>
    </w:p>
    <w:p w:rsidR="00AA4661" w:rsidRPr="00B73D7E" w:rsidRDefault="00AA4661" w:rsidP="00CF297A">
      <w:pPr>
        <w:pStyle w:val="BodyText"/>
        <w:numPr>
          <w:ilvl w:val="0"/>
          <w:numId w:val="41"/>
        </w:numPr>
        <w:ind w:left="0" w:firstLine="0"/>
        <w:rPr>
          <w:lang w:val="bg-BG"/>
        </w:rPr>
      </w:pPr>
      <w:r w:rsidRPr="00B73D7E">
        <w:rPr>
          <w:lang w:val="bg-BG"/>
        </w:rPr>
        <w:t>Националната стратегия на Австрия за адаптиране към изменението на климата е приета през 2012 г. и е резултат от съвместните усилия на различни министерства, девет провинции, групи по интереси, заинтересовани страни, НПО и други институции, включително Австрийската агенция по околна среда</w:t>
      </w:r>
      <w:r w:rsidRPr="00B73D7E">
        <w:rPr>
          <w:rStyle w:val="FootnoteReference"/>
          <w:rFonts w:eastAsia="Times New Roman"/>
          <w:lang w:val="bg-BG"/>
        </w:rPr>
        <w:footnoteReference w:id="65"/>
      </w:r>
      <w:r w:rsidRPr="00B73D7E">
        <w:rPr>
          <w:lang w:val="bg-BG"/>
        </w:rPr>
        <w:t xml:space="preserve">. Процесът на консултиране за стратегията обхваща около 100 институции. Първият доклад за напредъка по изпълнението на стратегията е приет през 2015 г. Една година по-късно стартира нова програма за финансиране, която предоставя финансова подкрепа на регионите за прилагане на препоръчаните мерки.  </w:t>
      </w:r>
    </w:p>
    <w:p w:rsidR="00AA4661" w:rsidRPr="00B73D7E" w:rsidRDefault="00AA4661" w:rsidP="00CF297A">
      <w:pPr>
        <w:pStyle w:val="BodyText"/>
        <w:numPr>
          <w:ilvl w:val="0"/>
          <w:numId w:val="41"/>
        </w:numPr>
        <w:ind w:left="0" w:firstLine="0"/>
        <w:rPr>
          <w:lang w:val="bg-BG"/>
        </w:rPr>
      </w:pPr>
      <w:r w:rsidRPr="00B73D7E">
        <w:rPr>
          <w:lang w:val="bg-BG"/>
        </w:rPr>
        <w:t xml:space="preserve">Първата част от стратегията представлява стратегическа рамка, а втората - план за действие за 14 сектора, сред които строителен и жилищен  сектор, териториално устройство и градове, като последният се фокусира върху зелената система и публичните открити пространства. Специално внимание се обръща на социалните аспекти на изменението на климата и на въздействието върху качеството на живот със съответните препоръки (вж. </w:t>
      </w:r>
      <w:r w:rsidRPr="00B73D7E">
        <w:rPr>
          <w:b/>
          <w:i/>
          <w:iCs/>
          <w:lang w:val="bg-BG"/>
        </w:rPr>
        <w:t xml:space="preserve">таблица </w:t>
      </w:r>
      <w:r w:rsidR="00F976B4" w:rsidRPr="00B73D7E">
        <w:rPr>
          <w:b/>
          <w:i/>
          <w:iCs/>
          <w:lang w:val="bg-BG"/>
        </w:rPr>
        <w:t xml:space="preserve">31 </w:t>
      </w:r>
      <w:r w:rsidRPr="00B73D7E">
        <w:rPr>
          <w:lang w:val="bg-BG"/>
        </w:rPr>
        <w:t xml:space="preserve">в </w:t>
      </w:r>
      <w:r w:rsidRPr="00B73D7E">
        <w:rPr>
          <w:b/>
          <w:i/>
          <w:iCs/>
          <w:lang w:val="bg-BG"/>
        </w:rPr>
        <w:t xml:space="preserve">приложение </w:t>
      </w:r>
      <w:r w:rsidR="00F976B4" w:rsidRPr="00B73D7E">
        <w:rPr>
          <w:b/>
          <w:i/>
          <w:iCs/>
          <w:lang w:val="bg-BG"/>
        </w:rPr>
        <w:t>9</w:t>
      </w:r>
      <w:r w:rsidRPr="00B73D7E">
        <w:rPr>
          <w:lang w:val="bg-BG"/>
        </w:rPr>
        <w:t>).</w:t>
      </w:r>
    </w:p>
    <w:p w:rsidR="00AA4661" w:rsidRPr="00B73D7E" w:rsidRDefault="00AA4661" w:rsidP="00CF297A">
      <w:pPr>
        <w:pStyle w:val="BodyText"/>
        <w:numPr>
          <w:ilvl w:val="0"/>
          <w:numId w:val="41"/>
        </w:numPr>
        <w:ind w:left="0" w:firstLine="0"/>
        <w:rPr>
          <w:lang w:val="bg-BG"/>
        </w:rPr>
      </w:pPr>
      <w:r w:rsidRPr="00B73D7E">
        <w:rPr>
          <w:lang w:val="bg-BG"/>
        </w:rPr>
        <w:t xml:space="preserve">Основните цели на стратегията са фокусирани върху сътрудничеството и синергията, връзките между областите на действие и гъвкави препоръки, интердисциплинарни изследвания на различни нива, изграждане на капацитет и развитие на информираността. Ръководните принципи за адаптиране и критериите за приоритизиране на препоръките за действия, въпреки че са общи, могат да бъдат приложени от различни сектори, административни нива и заинтересовани страни. </w:t>
      </w:r>
    </w:p>
    <w:p w:rsidR="00AA4661" w:rsidRPr="00B73D7E" w:rsidRDefault="00AA4661" w:rsidP="00CF297A">
      <w:pPr>
        <w:pStyle w:val="BodyText"/>
        <w:numPr>
          <w:ilvl w:val="0"/>
          <w:numId w:val="41"/>
        </w:numPr>
        <w:spacing w:after="60"/>
        <w:ind w:left="0" w:firstLine="0"/>
        <w:rPr>
          <w:lang w:val="bg-BG"/>
        </w:rPr>
      </w:pPr>
      <w:r w:rsidRPr="00B73D7E">
        <w:rPr>
          <w:lang w:val="bg-BG"/>
        </w:rPr>
        <w:t>Действията, препоръчани за градската среда, ясно показват сложния и всеобхватен характер на сектора и свързаните с него въпроси. Те разглеждат главно рисковете от наводнения, свързаните със затоплянето здравни рискове и сушите. Целите и препоръчителните мерки за строителния сектор могат да се считат общи за всички сектори:</w:t>
      </w:r>
    </w:p>
    <w:p w:rsidR="00AA4661" w:rsidRPr="00B73D7E" w:rsidRDefault="00AA4661" w:rsidP="00E21095">
      <w:pPr>
        <w:pStyle w:val="ListParagraph1"/>
        <w:numPr>
          <w:ilvl w:val="0"/>
          <w:numId w:val="12"/>
        </w:numPr>
        <w:spacing w:after="60"/>
        <w:ind w:left="720"/>
        <w:contextualSpacing w:val="0"/>
        <w:jc w:val="both"/>
        <w:rPr>
          <w:rFonts w:ascii="Times New Roman" w:hAnsi="Times New Roman"/>
          <w:sz w:val="24"/>
          <w:szCs w:val="24"/>
          <w:lang w:val="bg-BG"/>
        </w:rPr>
      </w:pPr>
      <w:r w:rsidRPr="00B73D7E">
        <w:rPr>
          <w:rFonts w:ascii="Times New Roman" w:hAnsi="Times New Roman"/>
          <w:sz w:val="24"/>
          <w:szCs w:val="24"/>
          <w:lang w:val="bg-BG"/>
        </w:rPr>
        <w:lastRenderedPageBreak/>
        <w:t>Подобряване на наличността и точността на информацията и създаване на надеждни бази данни;</w:t>
      </w:r>
    </w:p>
    <w:p w:rsidR="00AA4661" w:rsidRPr="00B73D7E" w:rsidRDefault="00AA4661" w:rsidP="00E21095">
      <w:pPr>
        <w:pStyle w:val="ListParagraph1"/>
        <w:numPr>
          <w:ilvl w:val="0"/>
          <w:numId w:val="12"/>
        </w:numPr>
        <w:spacing w:after="60"/>
        <w:ind w:left="720"/>
        <w:contextualSpacing w:val="0"/>
        <w:jc w:val="both"/>
        <w:rPr>
          <w:rFonts w:ascii="Times New Roman" w:hAnsi="Times New Roman"/>
          <w:sz w:val="24"/>
          <w:szCs w:val="24"/>
          <w:lang w:val="bg-BG"/>
        </w:rPr>
      </w:pPr>
      <w:r w:rsidRPr="00B73D7E">
        <w:rPr>
          <w:rFonts w:ascii="Times New Roman" w:hAnsi="Times New Roman"/>
          <w:sz w:val="24"/>
          <w:szCs w:val="24"/>
          <w:lang w:val="bg-BG"/>
        </w:rPr>
        <w:t>Демонстриране на предимствата на секторите, адаптирани към изменението на климата;</w:t>
      </w:r>
    </w:p>
    <w:p w:rsidR="00AA4661" w:rsidRPr="00B73D7E" w:rsidRDefault="00AA4661" w:rsidP="00E21095">
      <w:pPr>
        <w:pStyle w:val="ListParagraph1"/>
        <w:numPr>
          <w:ilvl w:val="0"/>
          <w:numId w:val="12"/>
        </w:numPr>
        <w:spacing w:after="60"/>
        <w:ind w:left="720"/>
        <w:contextualSpacing w:val="0"/>
        <w:jc w:val="both"/>
        <w:rPr>
          <w:rFonts w:ascii="Times New Roman" w:hAnsi="Times New Roman"/>
          <w:sz w:val="24"/>
          <w:szCs w:val="24"/>
          <w:lang w:val="bg-BG"/>
        </w:rPr>
      </w:pPr>
      <w:r w:rsidRPr="00B73D7E">
        <w:rPr>
          <w:rFonts w:ascii="Times New Roman" w:hAnsi="Times New Roman"/>
          <w:sz w:val="24"/>
          <w:szCs w:val="24"/>
          <w:lang w:val="bg-BG"/>
        </w:rPr>
        <w:t>Повишаване на информираността и разпространение на знанията за адаптирането и необходимите мерки; и</w:t>
      </w:r>
    </w:p>
    <w:p w:rsidR="00AA4661" w:rsidRPr="00B73D7E" w:rsidRDefault="00AA4661" w:rsidP="00E21095">
      <w:pPr>
        <w:pStyle w:val="ListParagraph1"/>
        <w:numPr>
          <w:ilvl w:val="0"/>
          <w:numId w:val="12"/>
        </w:numPr>
        <w:ind w:left="720"/>
        <w:contextualSpacing w:val="0"/>
        <w:jc w:val="both"/>
        <w:rPr>
          <w:rFonts w:ascii="Times New Roman" w:hAnsi="Times New Roman"/>
          <w:b/>
          <w:sz w:val="24"/>
          <w:szCs w:val="24"/>
          <w:lang w:val="bg-BG"/>
        </w:rPr>
      </w:pPr>
      <w:r w:rsidRPr="00B73D7E">
        <w:rPr>
          <w:rFonts w:ascii="Times New Roman" w:hAnsi="Times New Roman"/>
          <w:sz w:val="24"/>
          <w:szCs w:val="24"/>
          <w:lang w:val="bg-BG"/>
        </w:rPr>
        <w:t xml:space="preserve">Създаване на солидна база от знания за прилагане на мерките. </w:t>
      </w:r>
    </w:p>
    <w:p w:rsidR="00AA4661" w:rsidRPr="00B73D7E" w:rsidRDefault="00AA4661" w:rsidP="00CF297A">
      <w:pPr>
        <w:pStyle w:val="BodyText"/>
        <w:numPr>
          <w:ilvl w:val="0"/>
          <w:numId w:val="41"/>
        </w:numPr>
        <w:ind w:left="0" w:firstLine="0"/>
        <w:rPr>
          <w:lang w:val="bg-BG"/>
        </w:rPr>
      </w:pPr>
      <w:r w:rsidRPr="00B73D7E">
        <w:rPr>
          <w:lang w:val="bg-BG"/>
        </w:rPr>
        <w:t>В цялостния процес на прилагане на стратегията за АИК, важна роля е отредена на Австрийската конференция за устройство на територията (ÖROK)</w:t>
      </w:r>
      <w:r w:rsidRPr="00B73D7E">
        <w:rPr>
          <w:rStyle w:val="FootnoteReference"/>
          <w:lang w:val="bg-BG"/>
        </w:rPr>
        <w:footnoteReference w:id="66"/>
      </w:r>
      <w:r w:rsidRPr="00B73D7E">
        <w:rPr>
          <w:lang w:val="bg-BG"/>
        </w:rPr>
        <w:t xml:space="preserve">, която е ключов участник за прилагане на мерките в областта на пространственото планиране, жилищното строителство и строителството.  </w:t>
      </w:r>
    </w:p>
    <w:p w:rsidR="00AA4661" w:rsidRPr="00B73D7E" w:rsidRDefault="00AA4661" w:rsidP="00CF297A">
      <w:pPr>
        <w:pStyle w:val="BodyText"/>
        <w:numPr>
          <w:ilvl w:val="0"/>
          <w:numId w:val="41"/>
        </w:numPr>
        <w:ind w:left="0" w:firstLine="0"/>
        <w:rPr>
          <w:lang w:val="bg-BG"/>
        </w:rPr>
      </w:pPr>
      <w:r w:rsidRPr="00B73D7E">
        <w:rPr>
          <w:lang w:val="bg-BG"/>
        </w:rPr>
        <w:t>И двата избрани примера показват, че успехът на адаптирането към изменението на климата зависи не от перфектния единен стратегически документ, а от разработването и прилагането на всеобхватна и жизнеспособна програма, подкрепена от интерактивна платформа и широко обществено участие.</w:t>
      </w:r>
    </w:p>
    <w:p w:rsidR="00AA4661" w:rsidRPr="00B73D7E" w:rsidRDefault="00AA4661" w:rsidP="00E21095">
      <w:pPr>
        <w:pStyle w:val="Heading2"/>
        <w:numPr>
          <w:ilvl w:val="1"/>
          <w:numId w:val="25"/>
        </w:numPr>
        <w:spacing w:line="240" w:lineRule="auto"/>
        <w:ind w:left="0" w:firstLine="0"/>
        <w:rPr>
          <w:szCs w:val="20"/>
          <w:lang w:val="bg-BG"/>
        </w:rPr>
      </w:pPr>
      <w:bookmarkStart w:id="185" w:name="_Toc486259768"/>
      <w:bookmarkStart w:id="186" w:name="_Toc486942176"/>
      <w:bookmarkStart w:id="187" w:name="_Toc501454853"/>
      <w:bookmarkStart w:id="188" w:name="_Toc522030555"/>
      <w:bookmarkStart w:id="189" w:name="_Toc529285540"/>
      <w:r w:rsidRPr="00B73D7E">
        <w:rPr>
          <w:lang w:val="bg-BG"/>
        </w:rPr>
        <w:t>Правна рамка и политики на ЕС за АИК в градския сектор</w:t>
      </w:r>
      <w:bookmarkEnd w:id="185"/>
      <w:bookmarkEnd w:id="186"/>
      <w:bookmarkEnd w:id="187"/>
      <w:bookmarkEnd w:id="188"/>
      <w:bookmarkEnd w:id="189"/>
    </w:p>
    <w:p w:rsidR="00AA4661" w:rsidRPr="00B73D7E" w:rsidRDefault="00AA4661" w:rsidP="00CF297A">
      <w:pPr>
        <w:pStyle w:val="BodyText"/>
        <w:numPr>
          <w:ilvl w:val="0"/>
          <w:numId w:val="41"/>
        </w:numPr>
        <w:ind w:left="0" w:firstLine="0"/>
        <w:rPr>
          <w:rFonts w:eastAsia="Times New Roman"/>
          <w:color w:val="FF0000"/>
          <w:lang w:val="bg-BG"/>
        </w:rPr>
      </w:pPr>
      <w:r w:rsidRPr="00B73D7E">
        <w:rPr>
          <w:lang w:val="bg-BG"/>
        </w:rPr>
        <w:t>Политиката на ЕС в областта на околната среда се основава на чл. 11 и 191-193 от Договора за функционирането на Европейския съюз. Съгласно чл. 191 борбата с изменението на климата е изрична цел на рамката на политиката на ЕС в областта на околната среда. ЕС няма специално разработени регулации за градско планиране и градско развитие, които отдавна са в сянката на регионалната политика. Едва през последното десетилетие, в резултат на усилията на учени, академици, професионални организации и Европейския комитет на регионите, след поредица от форуми, проекти и публикации, тези въпроси заеха своето място сред приоритетите на ЕС. Насоките и принципите за интегрирано и устойчиво градско развитие се формират чрез политики, програми и стратегически харти, които маркират обхвата и съдържанието на всички градоустройствени планове и програми от последните три десетилетия</w:t>
      </w:r>
      <w:r w:rsidRPr="00B73D7E">
        <w:rPr>
          <w:rFonts w:eastAsia="Times New Roman"/>
          <w:color w:val="FF0000"/>
          <w:lang w:val="bg-BG"/>
        </w:rPr>
        <w:t>.</w:t>
      </w:r>
    </w:p>
    <w:p w:rsidR="00AA4661" w:rsidRPr="00B73D7E" w:rsidRDefault="00AA4661" w:rsidP="00E21095">
      <w:pPr>
        <w:pStyle w:val="Heading3"/>
        <w:numPr>
          <w:ilvl w:val="2"/>
          <w:numId w:val="25"/>
        </w:numPr>
        <w:autoSpaceDE/>
        <w:autoSpaceDN/>
        <w:adjustRightInd/>
        <w:spacing w:before="160"/>
        <w:ind w:left="0" w:firstLine="0"/>
        <w:rPr>
          <w:rFonts w:eastAsia="Times New Roman"/>
          <w:lang w:val="bg-BG"/>
        </w:rPr>
      </w:pPr>
      <w:bookmarkStart w:id="190" w:name="_Toc486259769"/>
      <w:bookmarkStart w:id="191" w:name="_Toc486942177"/>
      <w:bookmarkStart w:id="192" w:name="_Toc501454854"/>
      <w:bookmarkStart w:id="193" w:name="_Toc522030556"/>
      <w:bookmarkStart w:id="194" w:name="_Toc529285541"/>
      <w:r w:rsidRPr="00B73D7E">
        <w:rPr>
          <w:lang w:val="bg-BG"/>
        </w:rPr>
        <w:t>Доклади на ЕС относно градските правни рамки и политики</w:t>
      </w:r>
      <w:bookmarkEnd w:id="190"/>
      <w:bookmarkEnd w:id="191"/>
      <w:bookmarkEnd w:id="192"/>
      <w:bookmarkEnd w:id="193"/>
      <w:bookmarkEnd w:id="194"/>
    </w:p>
    <w:p w:rsidR="00AA4661" w:rsidRPr="00B73D7E" w:rsidRDefault="00AA4661" w:rsidP="00CF297A">
      <w:pPr>
        <w:pStyle w:val="BodyText"/>
        <w:numPr>
          <w:ilvl w:val="0"/>
          <w:numId w:val="41"/>
        </w:numPr>
        <w:ind w:left="0" w:firstLine="0"/>
        <w:rPr>
          <w:lang w:val="bg-BG"/>
        </w:rPr>
      </w:pPr>
      <w:r w:rsidRPr="00B73D7E">
        <w:rPr>
          <w:lang w:val="bg-BG"/>
        </w:rPr>
        <w:t>Политиките на ЕС като цяло отразяват световните тенденции и ангажиментите на ЕС към декларациите и препоръките на световните форуми за по-нататъшни действия. През 2016 г., във връзка с Новия градски дневен ред на ООН Habitat III, световните лидери поеха ангажимент да насърчават ‘екологично-устойчивото и гъвкаво градско развитие’ и ‘АИК и смекчаването на последиците от него’, както и да ‘подкрепят градовете и населените места, техните жители и всички местни заинтересовани страни за да бъдат важни изпълнители’.</w:t>
      </w:r>
      <w:r w:rsidRPr="00B73D7E">
        <w:rPr>
          <w:vertAlign w:val="superscript"/>
          <w:lang w:val="bg-BG"/>
        </w:rPr>
        <w:footnoteReference w:id="67"/>
      </w:r>
      <w:r w:rsidRPr="00B73D7E">
        <w:rPr>
          <w:lang w:val="bg-BG"/>
        </w:rPr>
        <w:t xml:space="preserve"> </w:t>
      </w:r>
    </w:p>
    <w:p w:rsidR="00AA4661" w:rsidRPr="00B73D7E" w:rsidRDefault="00AA4661" w:rsidP="00CF297A">
      <w:pPr>
        <w:pStyle w:val="BodyText"/>
        <w:numPr>
          <w:ilvl w:val="0"/>
          <w:numId w:val="41"/>
        </w:numPr>
        <w:ind w:left="0" w:firstLine="0"/>
        <w:rPr>
          <w:lang w:val="bg-BG"/>
        </w:rPr>
      </w:pPr>
      <w:r w:rsidRPr="00B73D7E">
        <w:rPr>
          <w:lang w:val="bg-BG"/>
        </w:rPr>
        <w:t xml:space="preserve">Съответно, ЕС се ангажира да изпълни програмата на ООН чрез Европейска </w:t>
      </w:r>
      <w:r w:rsidRPr="00B73D7E">
        <w:rPr>
          <w:lang w:val="bg-BG"/>
        </w:rPr>
        <w:lastRenderedPageBreak/>
        <w:t>програма за градовете</w:t>
      </w:r>
      <w:r w:rsidRPr="00B73D7E">
        <w:rPr>
          <w:vertAlign w:val="superscript"/>
          <w:lang w:val="bg-BG"/>
        </w:rPr>
        <w:footnoteReference w:id="68"/>
      </w:r>
      <w:r w:rsidRPr="00B73D7E">
        <w:rPr>
          <w:lang w:val="bg-BG"/>
        </w:rPr>
        <w:t>, основана на три стълба - по-добро законодателство, по-добро финансиране и по-добро познание. ЕК се ангажира: а) да сподели общата визия за устойчиво и интегрирано градско развитие; б) да участва в разработването на глобална, хармонизирана дефиниция на градовете и в) да насърчава сътрудничеството между градовете в областта на устойчивото градско развитие. Разработеният План за действие се основава на седем приоритетни теми, като седмата е насочена към адаптиране към климата и е фокусирана върху оценките за уязвимост, устойчивостта на климата и управлението на риска. През следващите няколко години изпълнението на Европейската програма за градовете ще бъде едно от основните предизвикателства.</w:t>
      </w:r>
    </w:p>
    <w:p w:rsidR="00AA4661" w:rsidRPr="00B73D7E" w:rsidRDefault="00AA4661" w:rsidP="00CF297A">
      <w:pPr>
        <w:pStyle w:val="BodyText"/>
        <w:numPr>
          <w:ilvl w:val="0"/>
          <w:numId w:val="41"/>
        </w:numPr>
        <w:ind w:left="0" w:firstLine="0"/>
        <w:rPr>
          <w:lang w:val="bg-BG"/>
        </w:rPr>
      </w:pPr>
      <w:r w:rsidRPr="00B73D7E">
        <w:rPr>
          <w:lang w:val="bg-BG"/>
        </w:rPr>
        <w:t>Няма единна европейска конвенция, насочена пряко към градската среда, нито към АИК, освен тези за защита на археологическото и архитектурното наследство. Първата Европейска градоустройствена харта: "Харта без статут на конвенция", приета през 1992 г., признава правото на жителите на градовете на незамърсена и здравословна околна среда, достъпни и здравословни жилища, здравни заведения, устойчиво развитие и участие в управлението на градовете</w:t>
      </w:r>
      <w:r w:rsidRPr="00B73D7E">
        <w:rPr>
          <w:rStyle w:val="FootnoteReference"/>
          <w:rFonts w:eastAsia="Times New Roman"/>
          <w:lang w:val="bg-BG"/>
        </w:rPr>
        <w:footnoteReference w:id="69"/>
      </w:r>
      <w:r w:rsidRPr="00B73D7E">
        <w:rPr>
          <w:lang w:val="bg-BG"/>
        </w:rPr>
        <w:t xml:space="preserve">. Приетите принципи подчертават опазването на природата и зелените площи в градовете, контрола и намаляването на замърсяването, осигуряването на качествени услуги и прилагането на политиките за спестяване на енергия и ресурси като задължение на местните власти. Повечето от тези принципи могат да бъдат намерени в документите за АИК, на национално и местно равнище. </w:t>
      </w:r>
    </w:p>
    <w:p w:rsidR="00AA4661" w:rsidRPr="00B73D7E" w:rsidRDefault="00AA4661" w:rsidP="00CF297A">
      <w:pPr>
        <w:pStyle w:val="BodyText"/>
        <w:numPr>
          <w:ilvl w:val="0"/>
          <w:numId w:val="41"/>
        </w:numPr>
        <w:ind w:left="0" w:firstLine="0"/>
        <w:rPr>
          <w:lang w:val="bg-BG"/>
        </w:rPr>
      </w:pPr>
      <w:r w:rsidRPr="00B73D7E">
        <w:rPr>
          <w:lang w:val="bg-BG"/>
        </w:rPr>
        <w:t>Петнадесет години по-късно, Европейската градоустройствена харта II: Манифест за нова градска среда</w:t>
      </w:r>
      <w:r w:rsidRPr="00B73D7E">
        <w:rPr>
          <w:rStyle w:val="FootnoteReference"/>
          <w:rFonts w:eastAsia="Times New Roman"/>
          <w:lang w:val="bg-BG"/>
        </w:rPr>
        <w:footnoteReference w:id="70"/>
      </w:r>
      <w:r w:rsidRPr="00B73D7E">
        <w:rPr>
          <w:lang w:val="bg-BG"/>
        </w:rPr>
        <w:t>, приета в Страсбург, утвърждава принципите на доброто градско управление, насочени към намаляване на екологичния отпечатък на градовете, запазване на природните ресурси и биоразнообразието и енергийна ефективност. Тя признава ролята на градската форма и структура, използването на земята и гъстотата на обитаване  за доброто екологично планиране.</w:t>
      </w:r>
    </w:p>
    <w:p w:rsidR="00AA4661" w:rsidRPr="00B73D7E" w:rsidRDefault="00AA4661" w:rsidP="00CF297A">
      <w:pPr>
        <w:pStyle w:val="BodyText"/>
        <w:numPr>
          <w:ilvl w:val="0"/>
          <w:numId w:val="41"/>
        </w:numPr>
        <w:ind w:left="0" w:firstLine="0"/>
        <w:rPr>
          <w:lang w:val="bg-BG"/>
        </w:rPr>
      </w:pPr>
      <w:r w:rsidRPr="00B73D7E">
        <w:rPr>
          <w:lang w:val="bg-BG"/>
        </w:rPr>
        <w:t>Що се отнася до политическите инициативи за АИК, Декларацията от Толедо</w:t>
      </w:r>
      <w:r w:rsidRPr="00B73D7E">
        <w:rPr>
          <w:vertAlign w:val="superscript"/>
          <w:lang w:val="bg-BG"/>
        </w:rPr>
        <w:footnoteReference w:id="71"/>
      </w:r>
      <w:r w:rsidRPr="00B73D7E">
        <w:rPr>
          <w:lang w:val="bg-BG"/>
        </w:rPr>
        <w:t xml:space="preserve">от 2010 г. следва да се разглежда като крайъгълен камък. Тя разглежда настоящите градски предизвикателства и изпълнението на стратегията </w:t>
      </w:r>
      <w:r w:rsidRPr="00B73D7E">
        <w:rPr>
          <w:i/>
          <w:lang w:val="bg-BG"/>
        </w:rPr>
        <w:t>"Европа 2020"</w:t>
      </w:r>
      <w:r w:rsidRPr="00B73D7E">
        <w:rPr>
          <w:lang w:val="bg-BG"/>
        </w:rPr>
        <w:t xml:space="preserve"> чрез постигане на по-интелигентно, по-устойчиво и социално приобщаващо градско развитие. За да се постигне градска устойчивост и истинско "зелено и екологично" обновяване на градовете, документът препоръчва: градски структури със смесено предназначение за борба с разрастването на градовете, градски метаболизъм, възобновяеми енергийни източници и консумация на местни екологични продукти за съкращаване на потреблението и защита на ландшафта, водите, горските и земеделските  територии около градовете.</w:t>
      </w:r>
    </w:p>
    <w:p w:rsidR="00AA4661" w:rsidRPr="00B73D7E" w:rsidRDefault="00AA4661" w:rsidP="00CF297A">
      <w:pPr>
        <w:pStyle w:val="BodyText"/>
        <w:numPr>
          <w:ilvl w:val="0"/>
          <w:numId w:val="41"/>
        </w:numPr>
        <w:spacing w:after="0"/>
        <w:ind w:left="0" w:firstLine="0"/>
        <w:rPr>
          <w:lang w:val="bg-BG"/>
        </w:rPr>
      </w:pPr>
      <w:r w:rsidRPr="00B73D7E">
        <w:rPr>
          <w:lang w:val="bg-BG"/>
        </w:rPr>
        <w:t xml:space="preserve">През последните две десетилетия европейската политика в областта на климата </w:t>
      </w:r>
      <w:r w:rsidRPr="00B73D7E">
        <w:rPr>
          <w:lang w:val="bg-BG"/>
        </w:rPr>
        <w:lastRenderedPageBreak/>
        <w:t xml:space="preserve">се фокусира почти изключително върху смекчаването на последиците от ИК. Едва в началото на новия век, след като въздействията от ИК започнаха да се наблюдават все повече, адаптацията бе добавена към политическия дневен ред. Въпреки разрастването на дейността в градовете на ЕС по отношение на изменението на климата и нарастващия интерес сред научноизследователската общност, политиката за климата в градовете остава фрагментирана и все още липсват по-гъвкави инструменти за улесняване на доброто вземане на решения. </w:t>
      </w:r>
    </w:p>
    <w:p w:rsidR="00AA4661" w:rsidRPr="00B73D7E" w:rsidRDefault="00AA4661" w:rsidP="00CF297A">
      <w:pPr>
        <w:pStyle w:val="BodyText"/>
        <w:numPr>
          <w:ilvl w:val="0"/>
          <w:numId w:val="41"/>
        </w:numPr>
        <w:ind w:left="0" w:firstLine="0"/>
        <w:rPr>
          <w:lang w:val="bg-BG"/>
        </w:rPr>
      </w:pPr>
      <w:r w:rsidRPr="00B73D7E">
        <w:rPr>
          <w:lang w:val="bg-BG"/>
        </w:rPr>
        <w:t xml:space="preserve">Много от решенията, свързани с бъдещото градско развитие, изискват информация за рисковете от изменението на климата за градовете. Краткият преглед на докладите за АИК разкрива богато разнообразие от количествени данни и оценки на климатичните рискове в градски мащаб. Климатичните рискове, които най-често се разглеждат в съществуващите проучвания, са свързани с покачващото се морско равнище, наводненията, здравето, водните ресурси и замърсяването. </w:t>
      </w:r>
    </w:p>
    <w:p w:rsidR="00AA4661" w:rsidRPr="00B73D7E" w:rsidRDefault="00AA4661" w:rsidP="00E21095">
      <w:pPr>
        <w:pStyle w:val="Heading3"/>
        <w:numPr>
          <w:ilvl w:val="2"/>
          <w:numId w:val="25"/>
        </w:numPr>
        <w:autoSpaceDE/>
        <w:autoSpaceDN/>
        <w:adjustRightInd/>
        <w:spacing w:before="160"/>
        <w:ind w:left="0" w:firstLine="0"/>
        <w:rPr>
          <w:rFonts w:eastAsia="Times New Roman"/>
          <w:lang w:val="bg-BG"/>
        </w:rPr>
      </w:pPr>
      <w:bookmarkStart w:id="195" w:name="_Toc486259770"/>
      <w:bookmarkStart w:id="196" w:name="_Toc486942178"/>
      <w:bookmarkStart w:id="197" w:name="_Toc501454855"/>
      <w:bookmarkStart w:id="198" w:name="_Toc522030557"/>
      <w:bookmarkStart w:id="199" w:name="_Toc529285542"/>
      <w:r w:rsidRPr="00B73D7E">
        <w:rPr>
          <w:lang w:val="bg-BG"/>
        </w:rPr>
        <w:t xml:space="preserve">Институции и съответните им отговорности при прилагането на законодателството и политиките на </w:t>
      </w:r>
      <w:bookmarkEnd w:id="195"/>
      <w:bookmarkEnd w:id="196"/>
      <w:r w:rsidRPr="00B73D7E">
        <w:rPr>
          <w:lang w:val="bg-BG"/>
        </w:rPr>
        <w:t>АИК</w:t>
      </w:r>
      <w:bookmarkEnd w:id="197"/>
      <w:bookmarkEnd w:id="198"/>
      <w:bookmarkEnd w:id="199"/>
    </w:p>
    <w:p w:rsidR="00AA4661" w:rsidRPr="00B73D7E" w:rsidRDefault="00AA4661" w:rsidP="00CF297A">
      <w:pPr>
        <w:pStyle w:val="BodyText"/>
        <w:numPr>
          <w:ilvl w:val="0"/>
          <w:numId w:val="41"/>
        </w:numPr>
        <w:ind w:left="0" w:firstLine="0"/>
        <w:rPr>
          <w:lang w:val="bg-BG"/>
        </w:rPr>
      </w:pPr>
      <w:r w:rsidRPr="00B73D7E">
        <w:rPr>
          <w:lang w:val="bg-BG"/>
        </w:rPr>
        <w:t>ЕС продължава да се ангажира с  водещата роля в международните действия, насочени към поддържане на глобалното затопляне под 2°C в сравнение с температурите преди индустриализацията, като по този начин се предотвратяват най-тежките последици от изменението на климата.</w:t>
      </w:r>
    </w:p>
    <w:p w:rsidR="00AA4661" w:rsidRPr="00B73D7E" w:rsidRDefault="00AA4661" w:rsidP="00CF297A">
      <w:pPr>
        <w:pStyle w:val="BodyText"/>
        <w:numPr>
          <w:ilvl w:val="0"/>
          <w:numId w:val="41"/>
        </w:numPr>
        <w:ind w:left="0" w:firstLine="0"/>
        <w:rPr>
          <w:spacing w:val="-2"/>
          <w:lang w:val="bg-BG"/>
        </w:rPr>
      </w:pPr>
      <w:r w:rsidRPr="00B73D7E">
        <w:rPr>
          <w:spacing w:val="-2"/>
          <w:lang w:val="bg-BG"/>
        </w:rPr>
        <w:t>Институционалната рамка на ЕС, която отговаря за прилагането на законодателството и политиките за АИК, включва ЕК, Европейския парламент, Съвета, Икономическия и социален комитет и Комитета на регионите. През 2010 г. изменението на климата, което дотогава беше под Генерална дирекция "Околна среда", бе прехвърлено на новосъздадената ГД CLIMA на ЕК.</w:t>
      </w:r>
    </w:p>
    <w:p w:rsidR="00AA4661" w:rsidRPr="00B73D7E" w:rsidRDefault="00AA4661" w:rsidP="00CF297A">
      <w:pPr>
        <w:pStyle w:val="BodyText"/>
        <w:numPr>
          <w:ilvl w:val="0"/>
          <w:numId w:val="41"/>
        </w:numPr>
        <w:spacing w:after="60"/>
        <w:ind w:left="0" w:firstLine="0"/>
        <w:rPr>
          <w:lang w:val="bg-BG"/>
        </w:rPr>
      </w:pPr>
      <w:r w:rsidRPr="00B73D7E">
        <w:rPr>
          <w:spacing w:val="-2"/>
          <w:lang w:val="bg-BG"/>
        </w:rPr>
        <w:t>ЕК води международни преговори за климата, подпомага ЕС при справянето с последствията от изменението на климата и постигането на целите си за 2020 г., разработва и прилага системата на ЕС за търговия с емисии на ЕС (ЕСТЕ). ЕК улеснява координацията на политиката за АИК и си сътрудничи с държавите-членки чрез Комитета по изменението на климата. Страните-членки следва да определят национални звена за контакт за координация на комуникацията с ЕК и да допринасят за повишаване на информираността и дейностите по докладване. Дейностите на ЕК за 2017 г. в рамките на АИК ще включват следното</w:t>
      </w:r>
      <w:r w:rsidRPr="00B73D7E">
        <w:rPr>
          <w:lang w:val="bg-BG"/>
        </w:rPr>
        <w:t>:</w:t>
      </w:r>
    </w:p>
    <w:p w:rsidR="00AA4661" w:rsidRPr="00F8728A" w:rsidRDefault="00AA4661" w:rsidP="00E21095">
      <w:pPr>
        <w:numPr>
          <w:ilvl w:val="0"/>
          <w:numId w:val="22"/>
        </w:numPr>
        <w:spacing w:after="60" w:line="276" w:lineRule="auto"/>
        <w:jc w:val="both"/>
        <w:rPr>
          <w:rFonts w:ascii="Times New Roman" w:hAnsi="Times New Roman"/>
          <w:sz w:val="24"/>
          <w:szCs w:val="24"/>
        </w:rPr>
      </w:pPr>
      <w:r w:rsidRPr="00F8728A">
        <w:rPr>
          <w:rFonts w:ascii="Times New Roman" w:hAnsi="Times New Roman"/>
          <w:sz w:val="24"/>
          <w:szCs w:val="24"/>
        </w:rPr>
        <w:t>Продължаване на популяризирането и подкрепата на действията за приспособяване от страна на държавите-членки, включително чрез разработване на "скáла за готовност за адаптиране", която ще определи ключови показатели за измерване готовността на държавите-членки;</w:t>
      </w:r>
    </w:p>
    <w:p w:rsidR="00AA4661" w:rsidRPr="00F8728A" w:rsidRDefault="00AA4661" w:rsidP="00E21095">
      <w:pPr>
        <w:numPr>
          <w:ilvl w:val="0"/>
          <w:numId w:val="22"/>
        </w:numPr>
        <w:spacing w:after="60" w:line="276" w:lineRule="auto"/>
        <w:jc w:val="both"/>
        <w:rPr>
          <w:rFonts w:ascii="Times New Roman" w:hAnsi="Times New Roman"/>
          <w:sz w:val="24"/>
          <w:szCs w:val="24"/>
        </w:rPr>
      </w:pPr>
      <w:r w:rsidRPr="00F8728A">
        <w:rPr>
          <w:rFonts w:ascii="Times New Roman" w:hAnsi="Times New Roman"/>
          <w:sz w:val="24"/>
          <w:szCs w:val="24"/>
        </w:rPr>
        <w:t xml:space="preserve">Изготвяне на многогодишни работни програми за определяне на тематичните приоритети за финансиране на проекти по LIFE в съответствие с общите цели и приоритетните области на Стратегията на ЕС за адаптиране към ИК; и </w:t>
      </w:r>
    </w:p>
    <w:p w:rsidR="00AA4661" w:rsidRPr="00F8728A" w:rsidRDefault="00AA4661" w:rsidP="00E21095">
      <w:pPr>
        <w:numPr>
          <w:ilvl w:val="0"/>
          <w:numId w:val="22"/>
        </w:numPr>
        <w:spacing w:after="120" w:line="276" w:lineRule="auto"/>
        <w:jc w:val="both"/>
        <w:rPr>
          <w:rFonts w:ascii="Times New Roman" w:hAnsi="Times New Roman"/>
          <w:sz w:val="24"/>
          <w:szCs w:val="24"/>
        </w:rPr>
      </w:pPr>
      <w:r w:rsidRPr="00F8728A">
        <w:rPr>
          <w:rFonts w:ascii="Times New Roman" w:hAnsi="Times New Roman"/>
          <w:sz w:val="24"/>
          <w:szCs w:val="24"/>
        </w:rPr>
        <w:t>Подготовка на инициатива за подкрепа на действията за адаптиране на градовете в контекста на рамката на Споразумението на кметовете.</w:t>
      </w:r>
    </w:p>
    <w:p w:rsidR="00AA4661" w:rsidRPr="00B73D7E" w:rsidRDefault="00AA4661" w:rsidP="00CF297A">
      <w:pPr>
        <w:pStyle w:val="BodyText"/>
        <w:numPr>
          <w:ilvl w:val="0"/>
          <w:numId w:val="41"/>
        </w:numPr>
        <w:ind w:left="0" w:firstLine="0"/>
        <w:rPr>
          <w:lang w:val="bg-BG"/>
        </w:rPr>
      </w:pPr>
      <w:r w:rsidRPr="00B73D7E">
        <w:rPr>
          <w:lang w:val="bg-BG"/>
        </w:rPr>
        <w:lastRenderedPageBreak/>
        <w:t>Един от приоритетите и отговорностите на ЕК е да включи мерките за адаптиране в политиките и програмите на ЕС, като начин за действие на ЕС в областта на изменението на климата. Адаптирането вече е включено в законодателството в такива сектори като морски води, горско стопанство и транспорт, както и във важни инструменти на политиката като вътрешни води, биоразнообразие, миграция и мобилност. Освен това ЕК внесе законодателни предложения за интегриране на адаптацията в селското и горското стопанство, морското пространствено планиране и интегрираното управление на крайбрежието, енергетиката, предотвратяването и управлението на риска от бедствия, транспорта, научните изследвания, здравеопазването и околната среда.</w:t>
      </w:r>
    </w:p>
    <w:p w:rsidR="00AA4661" w:rsidRPr="00B73D7E" w:rsidRDefault="00AA4661" w:rsidP="00CF297A">
      <w:pPr>
        <w:pStyle w:val="BodyText"/>
        <w:numPr>
          <w:ilvl w:val="0"/>
          <w:numId w:val="41"/>
        </w:numPr>
        <w:ind w:left="0" w:firstLine="0"/>
        <w:rPr>
          <w:lang w:val="bg-BG"/>
        </w:rPr>
      </w:pPr>
      <w:r w:rsidRPr="00B73D7E">
        <w:rPr>
          <w:lang w:val="bg-BG"/>
        </w:rPr>
        <w:t>Генералната дирекция по регионална и градска политика (ГД "Регионална политика") подкрепя усилията за превенция на риска чрез адаптиране към въздействията от изменението на климата, насърчава екологичните подходи и допринася за разработването на нови инфраструктури или реконструирането на съществуващите, и за развитието на устойчивост при бедствия на регионално и местно равнище. Насоките, предоставени на длъжностните лица, дават подробна информация относно приоритетите за финансиране, включително академични изследвания, разработване на стратегии, подкрепа за ИКТ, образование и повишаване на информираността чрез ЕФРР, Кохезионния фонд и Регламентите за европейско териториално сътрудничество</w:t>
      </w:r>
      <w:r w:rsidRPr="00B73D7E">
        <w:rPr>
          <w:rStyle w:val="FootnoteReference"/>
          <w:rFonts w:eastAsia="Times New Roman"/>
          <w:lang w:val="bg-BG"/>
        </w:rPr>
        <w:footnoteReference w:id="72"/>
      </w:r>
      <w:r w:rsidRPr="00B73D7E">
        <w:rPr>
          <w:lang w:val="bg-BG"/>
        </w:rPr>
        <w:t>.</w:t>
      </w:r>
    </w:p>
    <w:p w:rsidR="00AA4661" w:rsidRPr="00B73D7E" w:rsidRDefault="00AA4661" w:rsidP="00E21095">
      <w:pPr>
        <w:pStyle w:val="Heading3"/>
        <w:numPr>
          <w:ilvl w:val="2"/>
          <w:numId w:val="25"/>
        </w:numPr>
        <w:autoSpaceDE/>
        <w:autoSpaceDN/>
        <w:adjustRightInd/>
        <w:spacing w:before="160"/>
        <w:ind w:left="0" w:firstLine="0"/>
        <w:rPr>
          <w:rFonts w:eastAsia="Times New Roman"/>
          <w:lang w:val="bg-BG"/>
        </w:rPr>
      </w:pPr>
      <w:bookmarkStart w:id="200" w:name="_Toc486259771"/>
      <w:bookmarkStart w:id="201" w:name="_Toc486942179"/>
      <w:bookmarkStart w:id="202" w:name="_Toc501454856"/>
      <w:bookmarkStart w:id="203" w:name="_Toc522030558"/>
      <w:bookmarkStart w:id="204" w:name="_Toc529285543"/>
      <w:r w:rsidRPr="00B73D7E">
        <w:rPr>
          <w:lang w:val="bg-BG"/>
        </w:rPr>
        <w:t>Законодателство и подзаконови актове, отнасящи се до АИК за градски контекс</w:t>
      </w:r>
      <w:bookmarkEnd w:id="200"/>
      <w:bookmarkEnd w:id="201"/>
      <w:r w:rsidRPr="00B73D7E">
        <w:rPr>
          <w:lang w:val="bg-BG"/>
        </w:rPr>
        <w:t>т</w:t>
      </w:r>
      <w:bookmarkEnd w:id="202"/>
      <w:bookmarkEnd w:id="203"/>
      <w:bookmarkEnd w:id="204"/>
    </w:p>
    <w:p w:rsidR="00AA4661" w:rsidRPr="00B73D7E" w:rsidRDefault="00AA4661" w:rsidP="00CF297A">
      <w:pPr>
        <w:pStyle w:val="BodyText"/>
        <w:numPr>
          <w:ilvl w:val="0"/>
          <w:numId w:val="41"/>
        </w:numPr>
        <w:spacing w:after="60"/>
        <w:ind w:left="0" w:firstLine="0"/>
        <w:rPr>
          <w:lang w:val="bg-BG"/>
        </w:rPr>
      </w:pPr>
      <w:r w:rsidRPr="00B73D7E">
        <w:rPr>
          <w:lang w:val="bg-BG"/>
        </w:rPr>
        <w:t>Сред общите регламенти няма директива за АИК в градската среда или в градския сектор</w:t>
      </w:r>
      <w:r w:rsidRPr="00B73D7E">
        <w:rPr>
          <w:rStyle w:val="FootnoteReference"/>
          <w:rFonts w:eastAsia="Times New Roman"/>
          <w:lang w:val="bg-BG"/>
        </w:rPr>
        <w:footnoteReference w:id="73"/>
      </w:r>
      <w:r w:rsidRPr="00B73D7E">
        <w:rPr>
          <w:lang w:val="bg-BG"/>
        </w:rPr>
        <w:t xml:space="preserve">. По-долу са дадени някои от Директивите, съдържащи мерки за  адаптация към климатичните промени, приложими към пространственото и градско планиране: </w:t>
      </w:r>
    </w:p>
    <w:p w:rsidR="00AA4661" w:rsidRPr="00F8728A" w:rsidRDefault="00AA4661" w:rsidP="00E21095">
      <w:pPr>
        <w:numPr>
          <w:ilvl w:val="0"/>
          <w:numId w:val="23"/>
        </w:numPr>
        <w:spacing w:after="60" w:line="276" w:lineRule="auto"/>
        <w:jc w:val="both"/>
        <w:rPr>
          <w:rFonts w:ascii="Times New Roman" w:hAnsi="Times New Roman"/>
          <w:sz w:val="24"/>
          <w:szCs w:val="24"/>
        </w:rPr>
      </w:pPr>
      <w:r w:rsidRPr="00F8728A">
        <w:rPr>
          <w:rFonts w:ascii="Times New Roman" w:hAnsi="Times New Roman"/>
          <w:sz w:val="24"/>
          <w:szCs w:val="24"/>
        </w:rPr>
        <w:t>Директива 2001/42/ЕО на Европейския парламент и на Съвета от 27 юни 2001 г. относно оценката на въздействието на някои планове и програми върху околната среда (SEA);</w:t>
      </w:r>
    </w:p>
    <w:p w:rsidR="00AA4661" w:rsidRPr="00F8728A" w:rsidRDefault="00AA4661" w:rsidP="00E21095">
      <w:pPr>
        <w:numPr>
          <w:ilvl w:val="0"/>
          <w:numId w:val="23"/>
        </w:numPr>
        <w:spacing w:after="60" w:line="276" w:lineRule="auto"/>
        <w:jc w:val="both"/>
        <w:rPr>
          <w:rFonts w:ascii="Times New Roman" w:hAnsi="Times New Roman"/>
          <w:sz w:val="24"/>
          <w:szCs w:val="24"/>
        </w:rPr>
      </w:pPr>
      <w:r w:rsidRPr="00F8728A">
        <w:rPr>
          <w:rFonts w:ascii="Times New Roman" w:hAnsi="Times New Roman"/>
          <w:sz w:val="24"/>
          <w:szCs w:val="24"/>
        </w:rPr>
        <w:t>Директива 2011/92/ЕС на Европейския парламент и на Съвета от 13 декември 2011 г. относно оценката на въздействието на някои публични и частни проекти върху околната среда [Оценка на въздействието върху околната среда (ОВОС)];</w:t>
      </w:r>
    </w:p>
    <w:p w:rsidR="00AA4661" w:rsidRPr="00F8728A" w:rsidRDefault="00AA4661" w:rsidP="00E21095">
      <w:pPr>
        <w:numPr>
          <w:ilvl w:val="0"/>
          <w:numId w:val="23"/>
        </w:numPr>
        <w:spacing w:after="60" w:line="276" w:lineRule="auto"/>
        <w:jc w:val="both"/>
        <w:rPr>
          <w:rFonts w:ascii="Times New Roman" w:hAnsi="Times New Roman"/>
          <w:sz w:val="24"/>
          <w:szCs w:val="24"/>
        </w:rPr>
      </w:pPr>
      <w:r w:rsidRPr="00F8728A">
        <w:rPr>
          <w:rFonts w:ascii="Times New Roman" w:hAnsi="Times New Roman"/>
          <w:sz w:val="24"/>
          <w:szCs w:val="24"/>
        </w:rPr>
        <w:t>Директива 2008/1/ЕО на Европейския парламент и на Съвета от 15 януари 2008 г. относно интегрирано предотвратяване и контрол на замърсяването;</w:t>
      </w:r>
    </w:p>
    <w:p w:rsidR="00AA4661" w:rsidRPr="00F8728A" w:rsidRDefault="00AA4661" w:rsidP="00E21095">
      <w:pPr>
        <w:numPr>
          <w:ilvl w:val="0"/>
          <w:numId w:val="23"/>
        </w:numPr>
        <w:spacing w:after="60" w:line="276" w:lineRule="auto"/>
        <w:jc w:val="both"/>
        <w:rPr>
          <w:rFonts w:ascii="Times New Roman" w:hAnsi="Times New Roman"/>
          <w:sz w:val="24"/>
          <w:szCs w:val="24"/>
        </w:rPr>
      </w:pPr>
      <w:r w:rsidRPr="00F8728A">
        <w:rPr>
          <w:rFonts w:ascii="Times New Roman" w:hAnsi="Times New Roman"/>
          <w:sz w:val="24"/>
          <w:szCs w:val="24"/>
        </w:rPr>
        <w:t>Директива 92/43/ЕИО на Съвета от 21 май 1992 г. за опазване на естествените местообитания и на дивата флора и фауна - Директива за местообитанията;</w:t>
      </w:r>
    </w:p>
    <w:p w:rsidR="00AA4661" w:rsidRPr="00F8728A" w:rsidRDefault="00AA4661" w:rsidP="00E21095">
      <w:pPr>
        <w:numPr>
          <w:ilvl w:val="0"/>
          <w:numId w:val="24"/>
        </w:numPr>
        <w:spacing w:after="60" w:line="276" w:lineRule="auto"/>
        <w:jc w:val="both"/>
        <w:rPr>
          <w:rFonts w:ascii="Times New Roman" w:hAnsi="Times New Roman"/>
          <w:sz w:val="24"/>
          <w:szCs w:val="24"/>
        </w:rPr>
      </w:pPr>
      <w:r w:rsidRPr="00F8728A">
        <w:rPr>
          <w:rFonts w:ascii="Times New Roman" w:hAnsi="Times New Roman"/>
          <w:sz w:val="24"/>
          <w:szCs w:val="24"/>
        </w:rPr>
        <w:t>Директива 2008/50/ЕО на Европейския парламент и на Съвета от 21 май 2008 г. за качеството на атмосферния въздух и за по-чист въздух за Европа;</w:t>
      </w:r>
    </w:p>
    <w:p w:rsidR="00AA4661" w:rsidRPr="00F8728A" w:rsidRDefault="00AA4661" w:rsidP="00E21095">
      <w:pPr>
        <w:numPr>
          <w:ilvl w:val="0"/>
          <w:numId w:val="24"/>
        </w:numPr>
        <w:spacing w:after="60" w:line="276" w:lineRule="auto"/>
        <w:jc w:val="both"/>
        <w:rPr>
          <w:rFonts w:ascii="Times New Roman" w:hAnsi="Times New Roman"/>
          <w:sz w:val="24"/>
          <w:szCs w:val="24"/>
        </w:rPr>
      </w:pPr>
      <w:r w:rsidRPr="00F8728A">
        <w:rPr>
          <w:rFonts w:ascii="Times New Roman" w:hAnsi="Times New Roman"/>
          <w:sz w:val="24"/>
          <w:szCs w:val="24"/>
        </w:rPr>
        <w:lastRenderedPageBreak/>
        <w:t>Директива 2000/60/ЕО на Европейския парламент и на Съвета от 23 октомври 2000 г. за създаване на рамка за действие на Общността в областта на политиката за водите - Рамкова директива за водите;</w:t>
      </w:r>
    </w:p>
    <w:p w:rsidR="00AA4661" w:rsidRPr="00F8728A" w:rsidRDefault="00AA4661" w:rsidP="00E21095">
      <w:pPr>
        <w:numPr>
          <w:ilvl w:val="0"/>
          <w:numId w:val="24"/>
        </w:numPr>
        <w:spacing w:after="60" w:line="276" w:lineRule="auto"/>
        <w:jc w:val="both"/>
        <w:rPr>
          <w:rFonts w:ascii="Times New Roman" w:hAnsi="Times New Roman"/>
          <w:sz w:val="24"/>
          <w:szCs w:val="24"/>
        </w:rPr>
      </w:pPr>
      <w:r w:rsidRPr="00F8728A">
        <w:rPr>
          <w:rFonts w:ascii="Times New Roman" w:hAnsi="Times New Roman"/>
          <w:sz w:val="24"/>
          <w:szCs w:val="24"/>
        </w:rPr>
        <w:t xml:space="preserve">Директива 91/271/ЕИО на Съвета от 21 май 1991 г. относно събирането и пречистването на градските отпадъчни води - Директива за градските отпадъчни води;  </w:t>
      </w:r>
    </w:p>
    <w:p w:rsidR="00AA4661" w:rsidRPr="00F8728A" w:rsidRDefault="00AA4661" w:rsidP="00E21095">
      <w:pPr>
        <w:numPr>
          <w:ilvl w:val="0"/>
          <w:numId w:val="24"/>
        </w:numPr>
        <w:spacing w:after="120" w:line="276" w:lineRule="auto"/>
        <w:jc w:val="both"/>
        <w:rPr>
          <w:rFonts w:ascii="Times New Roman" w:hAnsi="Times New Roman"/>
          <w:sz w:val="24"/>
          <w:szCs w:val="24"/>
        </w:rPr>
      </w:pPr>
      <w:r w:rsidRPr="00F8728A">
        <w:rPr>
          <w:rFonts w:ascii="Times New Roman" w:hAnsi="Times New Roman"/>
          <w:sz w:val="24"/>
          <w:szCs w:val="24"/>
        </w:rPr>
        <w:t>Директива 2012/27/ЕС на Европейския парламент и на Съвета от 25 октомври 2012 г. относно енергийната ефективност, за изменение на Директиви 2009/125/ЕО и 2010/30/ЕС и за отмяна на Директиви 2004/8/ЕО и 2006/32/ЕС.</w:t>
      </w:r>
    </w:p>
    <w:p w:rsidR="00AA4661" w:rsidRPr="00B73D7E" w:rsidRDefault="00AA4661" w:rsidP="00B73D7E">
      <w:pPr>
        <w:pStyle w:val="BodyText"/>
        <w:numPr>
          <w:ilvl w:val="0"/>
          <w:numId w:val="41"/>
        </w:numPr>
        <w:ind w:left="0" w:firstLine="0"/>
        <w:rPr>
          <w:lang w:val="bg-BG"/>
        </w:rPr>
      </w:pPr>
      <w:r w:rsidRPr="00B73D7E">
        <w:rPr>
          <w:lang w:val="bg-BG"/>
        </w:rPr>
        <w:t>Намаляването на риска в строителния сектор се регулира с набор от Еврокодове за производство на строителни материали, проектиране на сгради, инфраструктура и други строителни съоръжения. Те са приети в почти всички държави-членки на ЕС, включително България</w:t>
      </w:r>
      <w:r w:rsidRPr="00B73D7E">
        <w:rPr>
          <w:rStyle w:val="FootnoteReference"/>
          <w:rFonts w:eastAsia="Times New Roman"/>
          <w:lang w:val="bg-BG"/>
        </w:rPr>
        <w:footnoteReference w:id="74"/>
      </w:r>
      <w:r w:rsidRPr="00B73D7E">
        <w:rPr>
          <w:lang w:val="bg-BG"/>
        </w:rPr>
        <w:t>, и покриват разнообразието от климатични въздействия върху строителството и строителните материали.</w:t>
      </w:r>
    </w:p>
    <w:p w:rsidR="00AA4661" w:rsidRPr="00B73D7E" w:rsidRDefault="00AA4661" w:rsidP="00CF297A">
      <w:pPr>
        <w:pStyle w:val="BodyText"/>
        <w:numPr>
          <w:ilvl w:val="0"/>
          <w:numId w:val="41"/>
        </w:numPr>
        <w:ind w:left="0" w:firstLine="0"/>
        <w:rPr>
          <w:lang w:val="bg-BG"/>
        </w:rPr>
      </w:pPr>
      <w:r w:rsidRPr="00B73D7E">
        <w:rPr>
          <w:lang w:val="bg-BG"/>
        </w:rPr>
        <w:t>От всички законодателни документи на ЕС, свързани с градската среда, само Директива 2001/42/ЕО и Директива 2011/92/ЕС се отнасят до взаимосвързани въпроси, тъй като предлагат набор от методи за оценка на всички видове въздействия върху околната среда, човешкото здраве, културното наследство, ландшафта и биологичното разнообразие за всяко едно устройствено или инвестиционно предложение и правят връзка с качеството на климата, въздуха и водата. Стратегическите оценки на въздействието върху околната среда (ЕО) отчитат и социалните и икономически въздействия в по-дълги и кратки срокове, очакваните кумулативни ефекти и връзките с градската структура чрез анализ на предложените нормативи за устройствено планиране и система от показатели.</w:t>
      </w:r>
    </w:p>
    <w:p w:rsidR="00AA4661" w:rsidRPr="00B73D7E" w:rsidRDefault="00AA4661" w:rsidP="00CF297A">
      <w:pPr>
        <w:pStyle w:val="BodyText"/>
        <w:numPr>
          <w:ilvl w:val="0"/>
          <w:numId w:val="41"/>
        </w:numPr>
        <w:ind w:left="0" w:firstLine="0"/>
        <w:rPr>
          <w:spacing w:val="-2"/>
          <w:lang w:val="bg-BG"/>
        </w:rPr>
      </w:pPr>
      <w:r w:rsidRPr="00B73D7E">
        <w:rPr>
          <w:spacing w:val="-2"/>
          <w:lang w:val="bg-BG"/>
        </w:rPr>
        <w:t>Като взаимосвързан въпрос, адаптирането към изменението на климата ще засегне ключови области на политиката на ЕС за сближаване, селско стопанство, УРБ и околна среда. Основен приоритет и отговорност на ЕК е да "интегрира" адаптацията чрез включване на мерките за адаптиране в политиките и програмите на ЕС, за да направи секторите устойчиви на неблагоприятните последици от изменението на климата.</w:t>
      </w:r>
    </w:p>
    <w:p w:rsidR="00AA4661" w:rsidRPr="00B73D7E" w:rsidRDefault="00AA4661" w:rsidP="00E21095">
      <w:pPr>
        <w:pStyle w:val="Heading2"/>
        <w:numPr>
          <w:ilvl w:val="1"/>
          <w:numId w:val="25"/>
        </w:numPr>
        <w:spacing w:line="240" w:lineRule="auto"/>
        <w:ind w:left="0" w:firstLine="0"/>
        <w:rPr>
          <w:szCs w:val="20"/>
          <w:lang w:val="bg-BG"/>
        </w:rPr>
      </w:pPr>
      <w:bookmarkStart w:id="205" w:name="_Toc486259772"/>
      <w:bookmarkStart w:id="206" w:name="_Toc486942180"/>
      <w:bookmarkStart w:id="207" w:name="_Toc501454857"/>
      <w:bookmarkStart w:id="208" w:name="_Toc522030559"/>
      <w:bookmarkStart w:id="209" w:name="_Toc529285544"/>
      <w:r w:rsidRPr="00B73D7E">
        <w:rPr>
          <w:lang w:val="bg-BG"/>
        </w:rPr>
        <w:t>Българска правна рамка за АИК и политики за градската среда</w:t>
      </w:r>
      <w:bookmarkEnd w:id="205"/>
      <w:bookmarkEnd w:id="206"/>
      <w:bookmarkEnd w:id="207"/>
      <w:bookmarkEnd w:id="208"/>
      <w:bookmarkEnd w:id="209"/>
    </w:p>
    <w:p w:rsidR="00AA4661" w:rsidRPr="00B73D7E" w:rsidRDefault="00AA4661" w:rsidP="00CF297A">
      <w:pPr>
        <w:pStyle w:val="BodyText"/>
        <w:numPr>
          <w:ilvl w:val="0"/>
          <w:numId w:val="41"/>
        </w:numPr>
        <w:ind w:left="0" w:firstLine="0"/>
        <w:rPr>
          <w:lang w:val="bg-BG"/>
        </w:rPr>
      </w:pPr>
      <w:r w:rsidRPr="00B73D7E">
        <w:rPr>
          <w:lang w:val="bg-BG"/>
        </w:rPr>
        <w:t>Законодателството за АИК, доколкото съществува, както и общото законодателство в България, попада в компетенциите на законодателния орган - Народното събрание. Законодателната инициатива е право на членовете на Парламента и на Министерския съвет, чрез които секторните министерства и агенции упражняват своята законодателна инициатива в различните сектори.</w:t>
      </w:r>
    </w:p>
    <w:p w:rsidR="00AA4661" w:rsidRPr="00F8728A" w:rsidRDefault="00AA4661" w:rsidP="00B73D7E">
      <w:pPr>
        <w:pStyle w:val="FiguresTablesCaption"/>
      </w:pPr>
      <w:bookmarkStart w:id="210" w:name="_Toc506143763"/>
      <w:bookmarkStart w:id="211" w:name="_Toc529286486"/>
      <w:bookmarkStart w:id="212" w:name="_Toc529286561"/>
      <w:r w:rsidRPr="00F8728A">
        <w:lastRenderedPageBreak/>
        <w:t xml:space="preserve">Фигура </w:t>
      </w:r>
      <w:r w:rsidRPr="00F8728A">
        <w:fldChar w:fldCharType="begin"/>
      </w:r>
      <w:r w:rsidRPr="00F8728A">
        <w:instrText xml:space="preserve"> SEQ Figure \* ARABIC </w:instrText>
      </w:r>
      <w:r w:rsidRPr="00F8728A">
        <w:fldChar w:fldCharType="separate"/>
      </w:r>
      <w:r w:rsidRPr="00F8728A">
        <w:t>11</w:t>
      </w:r>
      <w:r w:rsidRPr="00F8728A">
        <w:fldChar w:fldCharType="end"/>
      </w:r>
      <w:r w:rsidRPr="00F8728A">
        <w:t>. Структура и основни участници в прилагането на българската политика за градската среда</w:t>
      </w:r>
      <w:bookmarkEnd w:id="210"/>
      <w:bookmarkEnd w:id="211"/>
      <w:bookmarkEnd w:id="212"/>
    </w:p>
    <w:p w:rsidR="00AA4661" w:rsidRPr="00B73D7E" w:rsidRDefault="00084198" w:rsidP="007D24AA">
      <w:pPr>
        <w:pStyle w:val="BodyText"/>
        <w:numPr>
          <w:ilvl w:val="0"/>
          <w:numId w:val="0"/>
        </w:numPr>
        <w:spacing w:after="0" w:line="240" w:lineRule="auto"/>
        <w:jc w:val="center"/>
        <w:rPr>
          <w:rFonts w:ascii="Calibri" w:hAnsi="Calibri"/>
          <w:b/>
          <w:i/>
          <w:sz w:val="22"/>
          <w:szCs w:val="22"/>
          <w:lang w:val="bg-BG"/>
        </w:rPr>
      </w:pPr>
      <w:r w:rsidRPr="00B73D7E">
        <w:rPr>
          <w:rFonts w:ascii="Calibri" w:hAnsi="Calibri"/>
          <w:b/>
          <w:i/>
          <w:noProof/>
          <w:sz w:val="22"/>
          <w:szCs w:val="22"/>
          <w:lang w:val="en-US" w:eastAsia="en-US"/>
        </w:rPr>
        <w:drawing>
          <wp:inline distT="0" distB="0" distL="0" distR="0" wp14:anchorId="1FB2B795" wp14:editId="26399EA1">
            <wp:extent cx="5486400" cy="3680460"/>
            <wp:effectExtent l="0" t="0" r="0" b="0"/>
            <wp:docPr id="1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4">
                      <a:extLst>
                        <a:ext uri="{28A0092B-C50C-407E-A947-70E740481C1C}">
                          <a14:useLocalDpi xmlns:a14="http://schemas.microsoft.com/office/drawing/2010/main" val="0"/>
                        </a:ext>
                      </a:extLst>
                    </a:blip>
                    <a:srcRect l="493" t="491" b="1297"/>
                    <a:stretch>
                      <a:fillRect/>
                    </a:stretch>
                  </pic:blipFill>
                  <pic:spPr bwMode="auto">
                    <a:xfrm>
                      <a:off x="0" y="0"/>
                      <a:ext cx="5486400" cy="3680460"/>
                    </a:xfrm>
                    <a:prstGeom prst="rect">
                      <a:avLst/>
                    </a:prstGeom>
                    <a:noFill/>
                    <a:ln>
                      <a:noFill/>
                    </a:ln>
                  </pic:spPr>
                </pic:pic>
              </a:graphicData>
            </a:graphic>
          </wp:inline>
        </w:drawing>
      </w:r>
    </w:p>
    <w:p w:rsidR="00AA4661" w:rsidRPr="00F8728A" w:rsidRDefault="00AA4661" w:rsidP="001E0411">
      <w:pPr>
        <w:pStyle w:val="Source"/>
        <w:jc w:val="center"/>
      </w:pPr>
      <w:r w:rsidRPr="00F8728A">
        <w:t>Източник: Дизайн на Световната банка.</w:t>
      </w:r>
    </w:p>
    <w:p w:rsidR="00AA4661" w:rsidRPr="00B73D7E" w:rsidRDefault="00AA4661" w:rsidP="00E21095">
      <w:pPr>
        <w:pStyle w:val="Heading3"/>
        <w:numPr>
          <w:ilvl w:val="2"/>
          <w:numId w:val="25"/>
        </w:numPr>
        <w:autoSpaceDE/>
        <w:autoSpaceDN/>
        <w:adjustRightInd/>
        <w:spacing w:before="160"/>
        <w:ind w:left="0" w:firstLine="0"/>
        <w:rPr>
          <w:lang w:val="bg-BG"/>
        </w:rPr>
      </w:pPr>
      <w:bookmarkStart w:id="213" w:name="_Toc486259773"/>
      <w:bookmarkStart w:id="214" w:name="_Toc486942181"/>
      <w:bookmarkStart w:id="215" w:name="_Toc501454858"/>
      <w:bookmarkStart w:id="216" w:name="_Toc522030560"/>
      <w:bookmarkStart w:id="217" w:name="_Toc529285545"/>
      <w:r w:rsidRPr="00B73D7E">
        <w:rPr>
          <w:lang w:val="bg-BG"/>
        </w:rPr>
        <w:t>Законодателство и подзаконови актове, отнасящи се до АИК за градската среда</w:t>
      </w:r>
      <w:bookmarkEnd w:id="213"/>
      <w:bookmarkEnd w:id="214"/>
      <w:bookmarkEnd w:id="215"/>
      <w:bookmarkEnd w:id="216"/>
      <w:bookmarkEnd w:id="217"/>
    </w:p>
    <w:p w:rsidR="00AA4661" w:rsidRPr="00B73D7E" w:rsidRDefault="00AA4661" w:rsidP="00CF297A">
      <w:pPr>
        <w:pStyle w:val="BodyText"/>
        <w:numPr>
          <w:ilvl w:val="0"/>
          <w:numId w:val="41"/>
        </w:numPr>
        <w:ind w:left="0" w:firstLine="0"/>
        <w:rPr>
          <w:lang w:val="bg-BG"/>
        </w:rPr>
      </w:pPr>
      <w:r w:rsidRPr="00B73D7E">
        <w:rPr>
          <w:lang w:val="bg-BG"/>
        </w:rPr>
        <w:t>Счита се, че градовете са отговорни за борбата с изменението на климата, тъй като те са места с концентрация на функции и дейности, потребление на ресурси, производство на отпадъци и емисии (включително ПГ). Следователно всички секторни политики и регламенти са свързани с тях и имат пряко или непряко въздействие върху околната среда, както и върху обитателите. Няма законодателни актове, свързани директно с времето или с екстремни събития. В съответствие с това българската правна рамка се фокусира върху три групи законодателни документи: (а) актове и разпоредби, пряко свързани с изменението на климата; (б) закони и подзаконови актове за пространствено и устройствено планиране и проектиране и (в) актове и регламенти в други сектори, косвено свързани с градската среда.</w:t>
      </w:r>
    </w:p>
    <w:p w:rsidR="00AA4661" w:rsidRPr="00B73D7E" w:rsidRDefault="00AA4661" w:rsidP="00491557">
      <w:pPr>
        <w:pStyle w:val="Heading4"/>
        <w:rPr>
          <w:lang w:val="bg-BG"/>
        </w:rPr>
      </w:pPr>
      <w:r w:rsidRPr="00B73D7E">
        <w:rPr>
          <w:lang w:val="bg-BG"/>
        </w:rPr>
        <w:t>Законодателство, свързано с изменението на климата</w:t>
      </w:r>
    </w:p>
    <w:p w:rsidR="00AA4661" w:rsidRPr="00B73D7E" w:rsidRDefault="00AA4661" w:rsidP="00CF297A">
      <w:pPr>
        <w:pStyle w:val="BodyText"/>
        <w:numPr>
          <w:ilvl w:val="0"/>
          <w:numId w:val="41"/>
        </w:numPr>
        <w:ind w:left="0" w:firstLine="0"/>
        <w:rPr>
          <w:lang w:val="bg-BG"/>
        </w:rPr>
      </w:pPr>
      <w:r w:rsidRPr="00B73D7E">
        <w:rPr>
          <w:lang w:val="bg-BG"/>
        </w:rPr>
        <w:t>Законът за ограничаване изменението на климата</w:t>
      </w:r>
      <w:r w:rsidRPr="00B73D7E">
        <w:rPr>
          <w:rStyle w:val="FootnoteReference"/>
          <w:i/>
          <w:lang w:val="bg-BG"/>
        </w:rPr>
        <w:footnoteReference w:id="75"/>
      </w:r>
      <w:r w:rsidRPr="00B73D7E">
        <w:rPr>
          <w:i/>
          <w:lang w:val="bg-BG"/>
        </w:rPr>
        <w:t xml:space="preserve"> </w:t>
      </w:r>
      <w:r w:rsidRPr="00B73D7E">
        <w:rPr>
          <w:lang w:val="bg-BG"/>
        </w:rPr>
        <w:t xml:space="preserve">не разглежда различни климатични елементи като екстремни температури, валежи, бури и др., а по-скоро дава цялостната рамка на политиката на страната за ограничаване на изменението на климата. Той определя правила за прилагане на правителствената политика за ограничаване на изменението на климата и за изпълнение на задълженията на страната по Рамковата конвенция на Обединените нации по изменение на климата (РКООНИК) и Протокола от Киото към РКООНИК. Правителствената политика за ограничаване на </w:t>
      </w:r>
      <w:r w:rsidRPr="00B73D7E">
        <w:rPr>
          <w:lang w:val="bg-BG"/>
        </w:rPr>
        <w:lastRenderedPageBreak/>
        <w:t xml:space="preserve">изменението на климата се определя от Народното събрание и се изпълнява от Министерския съвет чрез подзаконови нормативни актове, планове и стратегии. Националният план за действие по изменение на климата (НПДИК) определя рамката на политиката по изменение на климата в съответствие с политиката на ЕС и посочените по-горе международни споразумения. Министърът на околната среда и водите, отговарящ за изпълнението на цялостната политика за ограничаване на изменението на климата съвместно с компетентните министри, отговаря и за изготвянето на национален проект за стратегия, съдържащ основните мерки за АИК най-малко за период от 20 години. </w:t>
      </w:r>
    </w:p>
    <w:p w:rsidR="00AA4661" w:rsidRPr="00B73D7E" w:rsidRDefault="00AA4661" w:rsidP="00CF297A">
      <w:pPr>
        <w:pStyle w:val="BodyText"/>
        <w:numPr>
          <w:ilvl w:val="0"/>
          <w:numId w:val="41"/>
        </w:numPr>
        <w:ind w:left="0" w:firstLine="0"/>
        <w:rPr>
          <w:lang w:val="bg-BG"/>
        </w:rPr>
      </w:pPr>
      <w:r w:rsidRPr="00B73D7E">
        <w:rPr>
          <w:lang w:val="bg-BG"/>
        </w:rPr>
        <w:t xml:space="preserve">Министърът на регионалното развитие и благоустройството участва в Националния съвет по изменение на климата чрез свои представители и подкрепя всички действия за смекчаване на последиците. Единствената пряка връзка на този акт с градската среда е посочена в член 57, който определя правилата за използване на процент от приходите от търгове за квоти за емисии на ПГ от инсталации за адаптиране към изменението на климата, за финансиране на научноизследователска и развойна дейност в тази област, за демонстрационни проекти за намаляване на емисиите или за енергийна ефективност в различни сектори. </w:t>
      </w:r>
    </w:p>
    <w:p w:rsidR="00AA4661" w:rsidRPr="00B73D7E" w:rsidRDefault="00AA4661" w:rsidP="00CF297A">
      <w:pPr>
        <w:pStyle w:val="BodyText"/>
        <w:numPr>
          <w:ilvl w:val="0"/>
          <w:numId w:val="41"/>
        </w:numPr>
        <w:ind w:left="0" w:firstLine="0"/>
        <w:rPr>
          <w:lang w:val="bg-BG"/>
        </w:rPr>
      </w:pPr>
      <w:r w:rsidRPr="00B73D7E">
        <w:rPr>
          <w:lang w:val="bg-BG"/>
        </w:rPr>
        <w:t xml:space="preserve">За да се приложи правилно този закон е необходима по-добра интеграция на политиката за ограничаване на изменението на климата в съответните секторни политики, включително тези в областта на регионалното и градското развитие, строителството и защитата на културното наследство. </w:t>
      </w:r>
    </w:p>
    <w:p w:rsidR="00AA4661" w:rsidRPr="00B73D7E" w:rsidRDefault="00AA4661" w:rsidP="00CF297A">
      <w:pPr>
        <w:pStyle w:val="BodyText"/>
        <w:numPr>
          <w:ilvl w:val="0"/>
          <w:numId w:val="41"/>
        </w:numPr>
        <w:ind w:left="0" w:firstLine="0"/>
        <w:rPr>
          <w:rFonts w:eastAsia="Times New Roman"/>
          <w:lang w:val="bg-BG" w:eastAsia="en-GB"/>
        </w:rPr>
      </w:pPr>
      <w:r w:rsidRPr="00B73D7E">
        <w:rPr>
          <w:lang w:val="bg-BG" w:eastAsia="en-GB"/>
        </w:rPr>
        <w:t>Законът за защита при бедствия</w:t>
      </w:r>
      <w:r w:rsidRPr="00B73D7E">
        <w:rPr>
          <w:rStyle w:val="FootnoteReference"/>
          <w:rFonts w:eastAsia="Times New Roman"/>
          <w:lang w:val="bg-BG" w:eastAsia="en-GB"/>
        </w:rPr>
        <w:footnoteReference w:id="76"/>
      </w:r>
      <w:r w:rsidRPr="00B73D7E">
        <w:rPr>
          <w:rFonts w:eastAsia="Times New Roman"/>
          <w:i/>
          <w:lang w:val="bg-BG" w:eastAsia="en-GB"/>
        </w:rPr>
        <w:t xml:space="preserve"> </w:t>
      </w:r>
      <w:r w:rsidRPr="00B73D7E">
        <w:rPr>
          <w:lang w:val="bg-BG" w:eastAsia="en-GB"/>
        </w:rPr>
        <w:t>не се отнася</w:t>
      </w:r>
      <w:r w:rsidRPr="00B73D7E">
        <w:rPr>
          <w:rFonts w:eastAsia="Times New Roman"/>
          <w:i/>
          <w:lang w:val="bg-BG" w:eastAsia="en-GB"/>
        </w:rPr>
        <w:t xml:space="preserve"> </w:t>
      </w:r>
      <w:r w:rsidRPr="00B73D7E">
        <w:rPr>
          <w:lang w:val="bg-BG" w:eastAsia="en-GB"/>
        </w:rPr>
        <w:t>до екстремни метеорологични явления, а определя общата рамка на дейностите за защита от бедствия, включително превенция, планиране, организация, възстановяване, финансиране и контрол. Той определя правилата и отговорностите за защита от бедствия на здравето и живота на населението, околната среда и имуществото. Списъкът с предписаните превантивни мерки по чл. 6, включва няколко много важни мерки за устройството на територията и градското планиране. Най-важните са картографирането на рисковете от бедствия, категоризирането на населените места според населението, което може да бъде засегнато, както и стандартите за планиране и проектиране на зони, пострадали от бедствия. Съгласно закона, ключовите градове в първата категория са най-големите градове София, Пловдив, Варна, Бургас и Русе, следвани от група градове с население над 80</w:t>
      </w:r>
      <w:r w:rsidR="008D2580">
        <w:rPr>
          <w:rFonts w:eastAsia="Times New Roman"/>
          <w:lang w:val="bg-BG" w:eastAsia="en-GB"/>
        </w:rPr>
        <w:t xml:space="preserve"> </w:t>
      </w:r>
      <w:r w:rsidRPr="00B73D7E">
        <w:rPr>
          <w:lang w:val="bg-BG" w:eastAsia="en-GB"/>
        </w:rPr>
        <w:t xml:space="preserve">000 (чл. 8). Има още две категории за по-малките градове, но няма ясна индикация как тези категории засягат изпълнението на превантивните мерки и/или процеса на оценка, картографиране и планиране. </w:t>
      </w:r>
    </w:p>
    <w:p w:rsidR="00AA4661" w:rsidRPr="00B73D7E" w:rsidRDefault="00AA4661" w:rsidP="00CF297A">
      <w:pPr>
        <w:pStyle w:val="BodyText"/>
        <w:numPr>
          <w:ilvl w:val="0"/>
          <w:numId w:val="41"/>
        </w:numPr>
        <w:ind w:left="0" w:firstLine="0"/>
        <w:rPr>
          <w:rFonts w:eastAsia="Times New Roman"/>
          <w:lang w:val="bg-BG" w:eastAsia="en-GB"/>
        </w:rPr>
      </w:pPr>
      <w:r w:rsidRPr="00B73D7E">
        <w:rPr>
          <w:lang w:val="bg-BG" w:eastAsia="en-GB"/>
        </w:rPr>
        <w:t>Законът дава пълно описание на системата за планиране намаляването на риска от бедствия с обхват, съдържание и задължителни характеристики на документите на национално, регионално и местно ниво</w:t>
      </w:r>
      <w:r w:rsidRPr="00B73D7E">
        <w:rPr>
          <w:rStyle w:val="FootnoteReference"/>
          <w:rFonts w:eastAsia="Times New Roman"/>
          <w:lang w:val="bg-BG" w:eastAsia="en-GB"/>
        </w:rPr>
        <w:footnoteReference w:id="77"/>
      </w:r>
      <w:r w:rsidRPr="00B73D7E">
        <w:rPr>
          <w:lang w:val="bg-BG" w:eastAsia="en-GB"/>
        </w:rPr>
        <w:t>. Задължението за отразяване на зоните с опасност от бедствия от разработените карти и планове по този закон в Общите</w:t>
      </w:r>
      <w:r w:rsidRPr="00B73D7E">
        <w:rPr>
          <w:rFonts w:eastAsia="Times New Roman"/>
          <w:lang w:val="bg-BG" w:eastAsia="en-GB"/>
        </w:rPr>
        <w:t xml:space="preserve"> </w:t>
      </w:r>
      <w:r w:rsidRPr="00B73D7E">
        <w:rPr>
          <w:lang w:val="bg-BG" w:eastAsia="en-GB"/>
        </w:rPr>
        <w:lastRenderedPageBreak/>
        <w:t xml:space="preserve">устройствени планове се нуждае от допълнително изясняване. Досега има изготвени само карти на микросеизмичното райониране  на страната и карти за рисковете от наводнения на речните басейни. Последните са достъпни чрез порталите на МОСВ, но няма свободен достъп до информацията за земетресения, свлачища и културно наследство, поради неясните регулации.   </w:t>
      </w:r>
    </w:p>
    <w:p w:rsidR="00AA4661" w:rsidRPr="00B73D7E" w:rsidRDefault="00AA4661" w:rsidP="00CF297A">
      <w:pPr>
        <w:pStyle w:val="BodyText"/>
        <w:numPr>
          <w:ilvl w:val="0"/>
          <w:numId w:val="41"/>
        </w:numPr>
        <w:ind w:left="0" w:firstLine="0"/>
        <w:rPr>
          <w:lang w:val="bg-BG"/>
        </w:rPr>
      </w:pPr>
      <w:r w:rsidRPr="00B73D7E">
        <w:rPr>
          <w:lang w:val="bg-BG" w:eastAsia="en-GB"/>
        </w:rPr>
        <w:t xml:space="preserve">Наредбата за условията, </w:t>
      </w:r>
      <w:r w:rsidR="005D0949" w:rsidRPr="00F8728A">
        <w:rPr>
          <w:lang w:val="bg-BG" w:eastAsia="en-GB"/>
        </w:rPr>
        <w:t>реда</w:t>
      </w:r>
      <w:r w:rsidR="005D0949" w:rsidRPr="00B73D7E">
        <w:rPr>
          <w:lang w:val="bg-BG" w:eastAsia="en-GB"/>
        </w:rPr>
        <w:t xml:space="preserve"> </w:t>
      </w:r>
      <w:r w:rsidRPr="00B73D7E">
        <w:rPr>
          <w:lang w:val="bg-BG" w:eastAsia="en-GB"/>
        </w:rPr>
        <w:t xml:space="preserve">и органите за </w:t>
      </w:r>
      <w:r w:rsidR="005D0949" w:rsidRPr="00B73D7E">
        <w:rPr>
          <w:lang w:val="bg-BG" w:eastAsia="en-GB"/>
        </w:rPr>
        <w:t>из</w:t>
      </w:r>
      <w:r w:rsidR="005D0949" w:rsidRPr="00F8728A">
        <w:rPr>
          <w:lang w:val="bg-BG" w:eastAsia="en-GB"/>
        </w:rPr>
        <w:t>вършван</w:t>
      </w:r>
      <w:r w:rsidR="005D0949" w:rsidRPr="00B73D7E">
        <w:rPr>
          <w:lang w:val="bg-BG" w:eastAsia="en-GB"/>
        </w:rPr>
        <w:t xml:space="preserve">е </w:t>
      </w:r>
      <w:r w:rsidRPr="00B73D7E">
        <w:rPr>
          <w:lang w:val="bg-BG" w:eastAsia="en-GB"/>
        </w:rPr>
        <w:t>на анализ, оценка и картографиране на риск</w:t>
      </w:r>
      <w:r w:rsidR="005D0949" w:rsidRPr="00F8728A">
        <w:rPr>
          <w:lang w:val="bg-BG" w:eastAsia="en-GB"/>
        </w:rPr>
        <w:t>овете</w:t>
      </w:r>
      <w:r w:rsidRPr="00B73D7E">
        <w:rPr>
          <w:lang w:val="bg-BG" w:eastAsia="en-GB"/>
        </w:rPr>
        <w:t xml:space="preserve"> </w:t>
      </w:r>
      <w:r w:rsidR="005D0949" w:rsidRPr="00F8728A">
        <w:rPr>
          <w:lang w:val="bg-BG" w:eastAsia="en-GB"/>
        </w:rPr>
        <w:t>от</w:t>
      </w:r>
      <w:r w:rsidR="005D0949" w:rsidRPr="00B73D7E">
        <w:rPr>
          <w:lang w:val="bg-BG" w:eastAsia="en-GB"/>
        </w:rPr>
        <w:t xml:space="preserve"> </w:t>
      </w:r>
      <w:r w:rsidRPr="00B73D7E">
        <w:rPr>
          <w:lang w:val="bg-BG" w:eastAsia="en-GB"/>
        </w:rPr>
        <w:t>бедствия</w:t>
      </w:r>
      <w:r w:rsidRPr="00B73D7E">
        <w:rPr>
          <w:rStyle w:val="FootnoteReference"/>
          <w:rFonts w:eastAsia="Times New Roman"/>
          <w:lang w:val="bg-BG" w:eastAsia="en-GB"/>
        </w:rPr>
        <w:footnoteReference w:id="78"/>
      </w:r>
      <w:r w:rsidRPr="00B73D7E">
        <w:rPr>
          <w:rFonts w:eastAsia="Times New Roman"/>
          <w:lang w:val="bg-BG" w:eastAsia="en-GB"/>
        </w:rPr>
        <w:t xml:space="preserve"> </w:t>
      </w:r>
      <w:r w:rsidRPr="00B73D7E">
        <w:rPr>
          <w:lang w:val="bg-BG" w:eastAsia="en-GB"/>
        </w:rPr>
        <w:t>определя правилата</w:t>
      </w:r>
      <w:r w:rsidR="005D0949" w:rsidRPr="00F8728A">
        <w:rPr>
          <w:lang w:val="bg-BG" w:eastAsia="en-GB"/>
        </w:rPr>
        <w:t xml:space="preserve">, процедурите и </w:t>
      </w:r>
      <w:r w:rsidRPr="00B73D7E">
        <w:rPr>
          <w:lang w:val="bg-BG" w:eastAsia="en-GB"/>
        </w:rPr>
        <w:t xml:space="preserve"> </w:t>
      </w:r>
      <w:r w:rsidR="00EA2EA7" w:rsidRPr="00F8728A">
        <w:rPr>
          <w:lang w:val="bg-BG" w:eastAsia="en-GB"/>
        </w:rPr>
        <w:t xml:space="preserve">отговорностите </w:t>
      </w:r>
      <w:r w:rsidR="00860D44" w:rsidRPr="00F8728A">
        <w:rPr>
          <w:lang w:val="bg-BG" w:eastAsia="en-GB"/>
        </w:rPr>
        <w:t xml:space="preserve">при идентифицирането и оценката </w:t>
      </w:r>
      <w:r w:rsidR="00EA2EA7" w:rsidRPr="00F8728A">
        <w:rPr>
          <w:lang w:val="bg-BG" w:eastAsia="en-GB"/>
        </w:rPr>
        <w:t>на рискове</w:t>
      </w:r>
      <w:r w:rsidR="00BB2DAB" w:rsidRPr="00F8728A">
        <w:rPr>
          <w:lang w:val="bg-BG" w:eastAsia="en-GB"/>
        </w:rPr>
        <w:t>те</w:t>
      </w:r>
      <w:r w:rsidR="00860D44" w:rsidRPr="00F8728A">
        <w:rPr>
          <w:lang w:val="bg-BG" w:eastAsia="en-GB"/>
        </w:rPr>
        <w:t xml:space="preserve"> и</w:t>
      </w:r>
      <w:r w:rsidR="00EA565C" w:rsidRPr="00F8728A">
        <w:rPr>
          <w:lang w:val="bg-BG" w:eastAsia="en-GB"/>
        </w:rPr>
        <w:t xml:space="preserve"> опасностите</w:t>
      </w:r>
      <w:r w:rsidR="00860D44" w:rsidRPr="00F8728A">
        <w:rPr>
          <w:lang w:val="bg-BG" w:eastAsia="en-GB"/>
        </w:rPr>
        <w:t xml:space="preserve">, както и правилата за </w:t>
      </w:r>
      <w:r w:rsidR="00EA565C" w:rsidRPr="00F8728A">
        <w:rPr>
          <w:lang w:val="bg-BG" w:eastAsia="en-GB"/>
        </w:rPr>
        <w:t>картографиране</w:t>
      </w:r>
      <w:r w:rsidR="007B6DA4" w:rsidRPr="00F8728A">
        <w:rPr>
          <w:lang w:val="bg-BG" w:eastAsia="en-GB"/>
        </w:rPr>
        <w:t>то</w:t>
      </w:r>
      <w:r w:rsidR="00EA565C" w:rsidRPr="00F8728A">
        <w:rPr>
          <w:lang w:val="bg-BG" w:eastAsia="en-GB"/>
        </w:rPr>
        <w:t xml:space="preserve">, приемането и поддържането на картите и </w:t>
      </w:r>
      <w:r w:rsidR="00860D44" w:rsidRPr="00F8728A">
        <w:rPr>
          <w:lang w:val="bg-BG" w:eastAsia="en-GB"/>
        </w:rPr>
        <w:t>контрола</w:t>
      </w:r>
      <w:r w:rsidRPr="00B73D7E">
        <w:rPr>
          <w:lang w:val="bg-BG" w:eastAsia="en-GB"/>
        </w:rPr>
        <w:t xml:space="preserve">. Сред </w:t>
      </w:r>
      <w:r w:rsidR="00860D44" w:rsidRPr="00F8728A">
        <w:rPr>
          <w:lang w:val="bg-BG" w:eastAsia="en-GB"/>
        </w:rPr>
        <w:t>тези рискове</w:t>
      </w:r>
      <w:r w:rsidR="00860D44" w:rsidRPr="00B73D7E">
        <w:rPr>
          <w:lang w:val="bg-BG" w:eastAsia="en-GB"/>
        </w:rPr>
        <w:t xml:space="preserve"> </w:t>
      </w:r>
      <w:r w:rsidRPr="00B73D7E">
        <w:rPr>
          <w:lang w:val="bg-BG" w:eastAsia="en-GB"/>
        </w:rPr>
        <w:t>са и сеизмичните рискове, наводненията и свлачищата. Тези обособени територии са придружени от специализирана база данни. Информацията в нея трябва да включва средните стойности на потенциално засегнатото население, инфраструктура, съоръжения и икономически дейности и всички зони за опазване на водите, културното наследство и биоразнообразието в случай на бедствие. Пространствената информация с базата данни и базата метаданни трябва да бъде представена във формати, съвместими с директива</w:t>
      </w:r>
      <w:r w:rsidRPr="00B73D7E">
        <w:rPr>
          <w:rFonts w:eastAsia="Times New Roman"/>
          <w:lang w:val="bg-BG" w:eastAsia="en-GB"/>
        </w:rPr>
        <w:t xml:space="preserve">  INSPIRE</w:t>
      </w:r>
      <w:r w:rsidRPr="00B73D7E">
        <w:rPr>
          <w:rStyle w:val="FootnoteReference"/>
          <w:rFonts w:eastAsia="Times New Roman"/>
          <w:lang w:val="bg-BG" w:eastAsia="en-GB"/>
        </w:rPr>
        <w:footnoteReference w:id="79"/>
      </w:r>
      <w:r w:rsidRPr="00B73D7E">
        <w:rPr>
          <w:lang w:val="bg-BG" w:eastAsia="en-GB"/>
        </w:rPr>
        <w:t xml:space="preserve"> и Стандарта за езика за описание на географски данни (GML) и стандартите на геопространствения консорциум OGC. Това е важно условие за по-лесното въвеждане на данните за изменението на климата и бедствията в устройствените планове и за преодоляване на основните бариери за съвместимост, точност, достъпност и цена на данните във всички дейности по пространствено планиране.</w:t>
      </w:r>
    </w:p>
    <w:p w:rsidR="00AA4661" w:rsidRPr="00B73D7E" w:rsidRDefault="00AA4661" w:rsidP="00491557">
      <w:pPr>
        <w:pStyle w:val="Heading4"/>
        <w:rPr>
          <w:lang w:val="bg-BG"/>
        </w:rPr>
      </w:pPr>
      <w:r w:rsidRPr="00B73D7E">
        <w:rPr>
          <w:lang w:val="bg-BG"/>
        </w:rPr>
        <w:t>Законодателство за устройствено планиране и регионално развитие</w:t>
      </w:r>
    </w:p>
    <w:p w:rsidR="00AA4661" w:rsidRPr="00B73D7E" w:rsidRDefault="00AA4661" w:rsidP="00CF297A">
      <w:pPr>
        <w:pStyle w:val="BodyText"/>
        <w:numPr>
          <w:ilvl w:val="0"/>
          <w:numId w:val="41"/>
        </w:numPr>
        <w:ind w:left="0" w:firstLine="0"/>
        <w:rPr>
          <w:lang w:val="bg-BG"/>
        </w:rPr>
      </w:pPr>
      <w:r w:rsidRPr="00B73D7E">
        <w:rPr>
          <w:lang w:val="bg-BG"/>
        </w:rPr>
        <w:t>Законодателството за устройственото планиране няма пряка връзка с крайни метеорологични явления като екстремни високи или ниски температури, интензивни валежи, бури и техните последици, но играе важна роля за намаляване уязвимостта на териториите и защита срещу риска чрез норми за зониране и устройство. За да се демонстрира по-добре връзката между градската среда и изменението на климата, са разгледани основните законови и подзаконови акто</w:t>
      </w:r>
      <w:r w:rsidR="00572859" w:rsidRPr="00B73D7E">
        <w:rPr>
          <w:lang w:val="bg-BG"/>
        </w:rPr>
        <w:t>ве за устройство на територията</w:t>
      </w:r>
      <w:r w:rsidRPr="00B73D7E">
        <w:rPr>
          <w:lang w:val="bg-BG"/>
        </w:rPr>
        <w:t xml:space="preserve">.  </w:t>
      </w:r>
    </w:p>
    <w:p w:rsidR="00AA4661" w:rsidRPr="00B73D7E" w:rsidRDefault="00AA4661" w:rsidP="00CF297A">
      <w:pPr>
        <w:pStyle w:val="BodyText"/>
        <w:numPr>
          <w:ilvl w:val="0"/>
          <w:numId w:val="41"/>
        </w:numPr>
        <w:ind w:left="0" w:firstLine="0"/>
        <w:rPr>
          <w:color w:val="FF0000"/>
          <w:lang w:val="bg-BG"/>
        </w:rPr>
      </w:pPr>
      <w:r w:rsidRPr="00B73D7E">
        <w:rPr>
          <w:lang w:val="bg-BG"/>
        </w:rPr>
        <w:t>Законът за устройство на територията</w:t>
      </w:r>
      <w:r w:rsidRPr="00B73D7E">
        <w:rPr>
          <w:vertAlign w:val="superscript"/>
          <w:lang w:val="bg-BG"/>
        </w:rPr>
        <w:footnoteReference w:id="80"/>
      </w:r>
      <w:r w:rsidRPr="00B73D7E">
        <w:rPr>
          <w:i/>
          <w:lang w:val="bg-BG"/>
        </w:rPr>
        <w:t xml:space="preserve"> </w:t>
      </w:r>
      <w:r w:rsidRPr="00B73D7E">
        <w:rPr>
          <w:lang w:val="bg-BG"/>
        </w:rPr>
        <w:t xml:space="preserve">е основният акт, който регламентира развитието на градската среда и гарантира качеството и устойчивостта ѝ по отношение на климатичните предизвикателства. Общият устройствен план на град (Генералният план) или на община е основен инструмент на Закона за устройство на територията. В него зонирането и земеползването определят различните устройствени правила и нормативи за проектиране и строителство, за да се осигури устойчива, здравословна и естетически приемлива градска среда. Инициирането, възлагането, разработването, обществените консултации и обсъждания, приемането на плана от Експертния съвет по устройство на територията и задължителното изготвяне на ЕО са дълга и сложна процедура. </w:t>
      </w:r>
      <w:r w:rsidR="00C8559C" w:rsidRPr="00F8728A">
        <w:rPr>
          <w:lang w:val="bg-BG"/>
        </w:rPr>
        <w:t>Съгласно чл. 124 ал. 2 на ЗУТ м</w:t>
      </w:r>
      <w:r w:rsidRPr="00B73D7E">
        <w:rPr>
          <w:lang w:val="bg-BG"/>
        </w:rPr>
        <w:t xml:space="preserve">инистърът на регионалното развитие и благоустройството </w:t>
      </w:r>
      <w:r w:rsidR="00C8559C" w:rsidRPr="00F8728A">
        <w:rPr>
          <w:lang w:val="bg-BG"/>
        </w:rPr>
        <w:t xml:space="preserve">дава разрешение за изработване на </w:t>
      </w:r>
      <w:r w:rsidRPr="00B73D7E">
        <w:rPr>
          <w:lang w:val="bg-BG"/>
        </w:rPr>
        <w:t xml:space="preserve">общи устройствени планове на </w:t>
      </w:r>
      <w:r w:rsidR="00CE7D94" w:rsidRPr="00F8728A">
        <w:rPr>
          <w:lang w:val="bg-BG"/>
        </w:rPr>
        <w:lastRenderedPageBreak/>
        <w:t>селищ</w:t>
      </w:r>
      <w:r w:rsidR="00C8559C" w:rsidRPr="00F8728A">
        <w:rPr>
          <w:lang w:val="bg-BG"/>
        </w:rPr>
        <w:t xml:space="preserve">ни образувания с национално значение, </w:t>
      </w:r>
      <w:r w:rsidR="007B6DA4" w:rsidRPr="00F8728A">
        <w:rPr>
          <w:lang w:val="bg-BG"/>
        </w:rPr>
        <w:t>между които</w:t>
      </w:r>
      <w:r w:rsidR="00C8559C" w:rsidRPr="00F8728A">
        <w:rPr>
          <w:lang w:val="bg-BG"/>
        </w:rPr>
        <w:t xml:space="preserve"> и</w:t>
      </w:r>
      <w:r w:rsidRPr="00B73D7E">
        <w:rPr>
          <w:lang w:val="bg-BG"/>
        </w:rPr>
        <w:t xml:space="preserve"> националните курорти</w:t>
      </w:r>
      <w:r w:rsidR="000E55B2" w:rsidRPr="00F8728A">
        <w:rPr>
          <w:lang w:val="bg-BG"/>
        </w:rPr>
        <w:t>,</w:t>
      </w:r>
      <w:r w:rsidR="002F43BA" w:rsidRPr="00F8728A">
        <w:rPr>
          <w:lang w:val="bg-BG"/>
        </w:rPr>
        <w:t xml:space="preserve"> и на общините</w:t>
      </w:r>
      <w:r w:rsidR="00CE7D94" w:rsidRPr="00F8728A">
        <w:rPr>
          <w:lang w:val="bg-BG"/>
        </w:rPr>
        <w:t xml:space="preserve"> по </w:t>
      </w:r>
      <w:r w:rsidR="0085474E" w:rsidRPr="00F8728A">
        <w:rPr>
          <w:lang w:val="bg-BG"/>
        </w:rPr>
        <w:t xml:space="preserve">Закона </w:t>
      </w:r>
      <w:r w:rsidR="00CE7D94" w:rsidRPr="00F8728A">
        <w:rPr>
          <w:lang w:val="bg-BG"/>
        </w:rPr>
        <w:t xml:space="preserve">за устройството на Черноморското крайбрежие (ЗУЧК). </w:t>
      </w:r>
      <w:r w:rsidR="00C8559C" w:rsidRPr="00F8728A">
        <w:rPr>
          <w:lang w:val="bg-BG"/>
        </w:rPr>
        <w:t xml:space="preserve">Съгласно чл. 19 ал. 2 на </w:t>
      </w:r>
      <w:r w:rsidR="007B6DA4" w:rsidRPr="00F8728A">
        <w:rPr>
          <w:lang w:val="bg-BG"/>
        </w:rPr>
        <w:t>ЗУЧК</w:t>
      </w:r>
      <w:r w:rsidR="00C8559C" w:rsidRPr="00F8728A">
        <w:rPr>
          <w:lang w:val="bg-BG"/>
        </w:rPr>
        <w:t xml:space="preserve"> възлагането на изработването на общите устройствени планове по чл. 18 ал. 1 т. 2 на ЗУЧК, както и на техните изменения </w:t>
      </w:r>
      <w:r w:rsidR="00B2132E" w:rsidRPr="00F8728A">
        <w:rPr>
          <w:lang w:val="bg-BG"/>
        </w:rPr>
        <w:t>се извършва от министъра на регионалното развитие и благоустройството или от кмета на общината, след съгласуване с министъра на регионалното развитие и благоустройството.</w:t>
      </w:r>
      <w:r w:rsidR="00CE7D94" w:rsidRPr="00F8728A">
        <w:rPr>
          <w:lang w:val="bg-BG"/>
        </w:rPr>
        <w:t xml:space="preserve"> Тези планове се разглеждат и приемат от Национален експерт</w:t>
      </w:r>
      <w:r w:rsidR="0085474E" w:rsidRPr="00F8728A">
        <w:rPr>
          <w:lang w:val="bg-BG"/>
        </w:rPr>
        <w:t>ен</w:t>
      </w:r>
      <w:r w:rsidR="00CE7D94" w:rsidRPr="00F8728A">
        <w:rPr>
          <w:lang w:val="bg-BG"/>
        </w:rPr>
        <w:t xml:space="preserve"> съвет по устройство на територията и регионалната политика.</w:t>
      </w:r>
      <w:r w:rsidR="00B2132E" w:rsidRPr="00F8728A">
        <w:rPr>
          <w:lang w:val="bg-BG"/>
        </w:rPr>
        <w:t xml:space="preserve"> </w:t>
      </w:r>
      <w:r w:rsidRPr="00B73D7E">
        <w:rPr>
          <w:lang w:val="bg-BG"/>
        </w:rPr>
        <w:t>Общият устройствен план на Столична община</w:t>
      </w:r>
      <w:r w:rsidR="00E160E4" w:rsidRPr="00F8728A">
        <w:rPr>
          <w:lang w:val="bg-BG"/>
        </w:rPr>
        <w:t>, както и неговите изменения влизат в сила след</w:t>
      </w:r>
      <w:r w:rsidRPr="00B73D7E">
        <w:rPr>
          <w:lang w:val="bg-BG"/>
        </w:rPr>
        <w:t xml:space="preserve"> приема</w:t>
      </w:r>
      <w:r w:rsidR="00E160E4" w:rsidRPr="00F8728A">
        <w:rPr>
          <w:lang w:val="bg-BG"/>
        </w:rPr>
        <w:t>не</w:t>
      </w:r>
      <w:r w:rsidRPr="00B73D7E">
        <w:rPr>
          <w:lang w:val="bg-BG"/>
        </w:rPr>
        <w:t xml:space="preserve"> от Министерски съвет</w:t>
      </w:r>
      <w:r w:rsidR="00E160E4" w:rsidRPr="00F8728A">
        <w:rPr>
          <w:lang w:val="bg-BG"/>
        </w:rPr>
        <w:t>, съгласно чл. 127 ал. 8 на ЗУТ и чл. 4 от Закона за устройството и застрояването на Столична община</w:t>
      </w:r>
      <w:r w:rsidRPr="00B73D7E">
        <w:rPr>
          <w:lang w:val="bg-BG"/>
        </w:rPr>
        <w:t xml:space="preserve">.  Останалите планове са отговорност на местните кметове и експертни съвети. </w:t>
      </w:r>
    </w:p>
    <w:p w:rsidR="00AA4661" w:rsidRPr="00B73D7E" w:rsidRDefault="00AA4661" w:rsidP="00CF297A">
      <w:pPr>
        <w:pStyle w:val="BodyText"/>
        <w:numPr>
          <w:ilvl w:val="0"/>
          <w:numId w:val="41"/>
        </w:numPr>
        <w:ind w:left="0" w:firstLine="0"/>
        <w:rPr>
          <w:lang w:val="bg-BG"/>
        </w:rPr>
      </w:pPr>
      <w:r w:rsidRPr="00B73D7E">
        <w:rPr>
          <w:lang w:val="bg-BG"/>
        </w:rPr>
        <w:t>Подробните устройствени планове регулират допълнително собствеността върху земята и промяната на предназначението, както и прилагането на устройствените и строителните  норми. Разпоредбите на подробните планове са задължителни за разрешителните за строеж и за инвестиционните проекти.</w:t>
      </w:r>
    </w:p>
    <w:p w:rsidR="00AA4661" w:rsidRPr="00B73D7E" w:rsidRDefault="00AA4661" w:rsidP="00CF297A">
      <w:pPr>
        <w:pStyle w:val="BodyText"/>
        <w:numPr>
          <w:ilvl w:val="0"/>
          <w:numId w:val="41"/>
        </w:numPr>
        <w:ind w:left="0" w:firstLine="0"/>
        <w:rPr>
          <w:lang w:val="bg-BG"/>
        </w:rPr>
      </w:pPr>
      <w:r w:rsidRPr="00B73D7E">
        <w:rPr>
          <w:lang w:val="bg-BG"/>
        </w:rPr>
        <w:t>Съгласно разпоредбите на чл. 106 т. 5 и чл. 107 т. 6 от Закона за устройство на територията всички разработени и одобрени устройствени планове и техните изменения трябва да определят териториите, застрашени при бедствия. Тези рискови зони са определени в картите, изготвени съгласно Наредбата по чл. 6 ал. 2 и в общинските планове, съгласно чл. 9 ал. 1 от Закона за защита при бедствия.  Плановете определят и необходимите превантивни мерки и начина на строителство и защита. Аналогично изискване има и за изработването на Подробните устройствени планове и техните изменения, съгласно чл. 112, ал. 2, т 12 от ЗУТ. Намаляването на рисковете от природни бедствия в плановете за устройство на територията се осигурява чрез анализи на състоянието на околната среда в определени рискови зони и на мерките, предложени както в плана, така и в екологичната оценка. Тези мерки трябва да са в съответствие с мерките на плановете за намаляване на риска от наводнения. Основните проблеми са свързани с формалното изпълнение на разработените схеми и системата от мерки, както и с лошия контрол върху тяхното приложение.</w:t>
      </w:r>
    </w:p>
    <w:p w:rsidR="00AA4661" w:rsidRPr="00B73D7E" w:rsidRDefault="00AA4661" w:rsidP="00CF297A">
      <w:pPr>
        <w:pStyle w:val="BodyText"/>
        <w:numPr>
          <w:ilvl w:val="0"/>
          <w:numId w:val="41"/>
        </w:numPr>
        <w:ind w:left="0" w:firstLine="0"/>
        <w:rPr>
          <w:lang w:val="bg-BG"/>
        </w:rPr>
      </w:pPr>
      <w:r w:rsidRPr="00B73D7E">
        <w:rPr>
          <w:lang w:val="bg-BG"/>
        </w:rPr>
        <w:t xml:space="preserve">Тъй като ЗУТ включва инвестиционно проектиране и планиране и проектиране на техническа инфраструктура, съществуват определени изисквания за изграждането на тези елементи на територията, заедно с общите норми за проектиране и строителство на сгради. Те се отнасят до противопожарната безопасност, хигиената, здравето, шума, енергоспестяването и консервацията на топлина, устойчивото използване на природните ресурси и защитата при бедствия. </w:t>
      </w:r>
      <w:r w:rsidR="000E55B2" w:rsidRPr="00B73D7E">
        <w:rPr>
          <w:lang w:val="bg-BG"/>
        </w:rPr>
        <w:t xml:space="preserve">В специален раздел VІІ </w:t>
      </w:r>
      <w:r w:rsidR="000E55B2" w:rsidRPr="00F8728A">
        <w:rPr>
          <w:lang w:val="bg-BG"/>
        </w:rPr>
        <w:t xml:space="preserve">на </w:t>
      </w:r>
      <w:r w:rsidR="000E55B2" w:rsidRPr="00B73D7E">
        <w:rPr>
          <w:lang w:val="bg-BG"/>
        </w:rPr>
        <w:t xml:space="preserve">Глава Четвърта </w:t>
      </w:r>
      <w:r w:rsidR="000E55B2" w:rsidRPr="00F8728A">
        <w:rPr>
          <w:lang w:val="bg-BG"/>
        </w:rPr>
        <w:t>от</w:t>
      </w:r>
      <w:r w:rsidR="000E55B2" w:rsidRPr="00B73D7E">
        <w:rPr>
          <w:lang w:val="bg-BG"/>
        </w:rPr>
        <w:t xml:space="preserve"> ЗУТ се регламентира</w:t>
      </w:r>
      <w:r w:rsidR="00E1635F" w:rsidRPr="00F8728A">
        <w:rPr>
          <w:lang w:val="bg-BG"/>
        </w:rPr>
        <w:t>т</w:t>
      </w:r>
      <w:r w:rsidR="000E55B2" w:rsidRPr="00B73D7E">
        <w:rPr>
          <w:lang w:val="bg-BG"/>
        </w:rPr>
        <w:t xml:space="preserve"> осъществяването на мониторинга на свлачищните процеси и поддържането на регистър на свлачищата. В същата част  на закона се въвеждат изисквания за издаване на предварителни съгласия по чл. 96 ал. 3 и ал. 4 за осъществяване на укрепителни/отводнителни дейности и за строителство в свлачищни райони за получаване на разрешене за строеж. Отговорността за укрепването е на собственика на имота</w:t>
      </w:r>
      <w:r w:rsidR="000E55B2" w:rsidRPr="00F8728A">
        <w:rPr>
          <w:lang w:val="bg-BG"/>
        </w:rPr>
        <w:t xml:space="preserve">. </w:t>
      </w:r>
      <w:r w:rsidRPr="00B73D7E">
        <w:rPr>
          <w:lang w:val="bg-BG"/>
        </w:rPr>
        <w:t xml:space="preserve">Правилниците и наредбите (издадени съвместно с други секторни отдели) определят изисквания за устойчивост и безопасност на </w:t>
      </w:r>
      <w:r w:rsidRPr="00B73D7E">
        <w:rPr>
          <w:lang w:val="bg-BG"/>
        </w:rPr>
        <w:lastRenderedPageBreak/>
        <w:t>строителството.</w:t>
      </w:r>
      <w:r w:rsidR="00CB76EB" w:rsidRPr="00F8728A">
        <w:rPr>
          <w:lang w:val="bg-BG"/>
        </w:rPr>
        <w:t xml:space="preserve"> </w:t>
      </w:r>
    </w:p>
    <w:p w:rsidR="001E0411" w:rsidRPr="00B73D7E" w:rsidRDefault="001E0411">
      <w:pPr>
        <w:spacing w:after="0"/>
        <w:rPr>
          <w:rFonts w:ascii="Times New Roman" w:eastAsia="MS Mincho" w:hAnsi="Times New Roman"/>
          <w:sz w:val="24"/>
          <w:szCs w:val="24"/>
          <w:lang w:eastAsia="x-none"/>
        </w:rPr>
      </w:pPr>
      <w:r w:rsidRPr="00F8728A">
        <w:br w:type="page"/>
      </w:r>
    </w:p>
    <w:p w:rsidR="00AA4661" w:rsidRPr="00B73D7E" w:rsidRDefault="00AA4661" w:rsidP="00CF297A">
      <w:pPr>
        <w:pStyle w:val="BodyText"/>
        <w:numPr>
          <w:ilvl w:val="0"/>
          <w:numId w:val="41"/>
        </w:numPr>
        <w:ind w:left="0" w:firstLine="0"/>
        <w:rPr>
          <w:lang w:val="bg-BG"/>
        </w:rPr>
      </w:pPr>
      <w:r w:rsidRPr="00B73D7E">
        <w:rPr>
          <w:lang w:val="bg-BG"/>
        </w:rPr>
        <w:lastRenderedPageBreak/>
        <w:t>Законът за устройство</w:t>
      </w:r>
      <w:r w:rsidR="00467822" w:rsidRPr="00F8728A">
        <w:rPr>
          <w:lang w:val="bg-BG"/>
        </w:rPr>
        <w:t>то</w:t>
      </w:r>
      <w:r w:rsidRPr="00B73D7E">
        <w:rPr>
          <w:lang w:val="bg-BG"/>
        </w:rPr>
        <w:t xml:space="preserve"> на черноморското крайбрежие</w:t>
      </w:r>
      <w:r w:rsidRPr="00B73D7E">
        <w:rPr>
          <w:rStyle w:val="FootnoteReference"/>
          <w:lang w:val="bg-BG"/>
        </w:rPr>
        <w:footnoteReference w:id="81"/>
      </w:r>
      <w:r w:rsidRPr="00B73D7E">
        <w:rPr>
          <w:i/>
          <w:lang w:val="bg-BG"/>
        </w:rPr>
        <w:t xml:space="preserve"> </w:t>
      </w:r>
      <w:r w:rsidRPr="00B73D7E">
        <w:rPr>
          <w:lang w:val="bg-BG"/>
        </w:rPr>
        <w:t>определя специализираните правила и нормативи за пространствено развитие и строителство по крайбрежието. Той също така регулира отговорностите и координацията на дейността на централните и териториалните изпълнителни органи и на органите на местното самоуправление. С някои от последните изменения, законът предвижда правила за предоставяне на концесии. Той определя различни защитни зони извън урбанизираните територии: (а) зона "А" (100 метра) с режим на особена териториалноустройствена защита; (б) зона "Б" (2 км от зона "А") със специфични характеристики на територията и специален режим за опазване на териториалните и акваториалните ресурси. Зона "А" включва и част от черноморската територия с ширина 100 метра, измерена от крайбрежната линия извън населените места. Законът съдържа много подробна информация за правилата и процедурите за подготовка и приемане на планове и схеми, но почти няма препратки към защита на крайбрежието от свлачища и абразия, които са най-опустошителните процеси на брега. Критичната инфраструктура за крайбрежна защита, изградена основно в територията, е предмет на подзаконови актове.</w:t>
      </w:r>
    </w:p>
    <w:p w:rsidR="00AA4661" w:rsidRPr="00B73D7E" w:rsidRDefault="00AA4661" w:rsidP="00CF297A">
      <w:pPr>
        <w:pStyle w:val="BodyText"/>
        <w:numPr>
          <w:ilvl w:val="0"/>
          <w:numId w:val="41"/>
        </w:numPr>
        <w:ind w:left="0" w:firstLine="0"/>
        <w:rPr>
          <w:lang w:val="bg-BG"/>
        </w:rPr>
      </w:pPr>
      <w:r w:rsidRPr="00B73D7E">
        <w:rPr>
          <w:lang w:val="bg-BG"/>
        </w:rPr>
        <w:t>Последният акт за планиране, косвено свързан с темата за АИК на градската среда, е специализираният Закон за устройство</w:t>
      </w:r>
      <w:r w:rsidR="00467822" w:rsidRPr="00F8728A">
        <w:rPr>
          <w:lang w:val="bg-BG"/>
        </w:rPr>
        <w:t>то</w:t>
      </w:r>
      <w:r w:rsidRPr="00B73D7E">
        <w:rPr>
          <w:lang w:val="bg-BG"/>
        </w:rPr>
        <w:t xml:space="preserve"> и застрояване</w:t>
      </w:r>
      <w:r w:rsidR="00467822" w:rsidRPr="00F8728A">
        <w:rPr>
          <w:lang w:val="bg-BG"/>
        </w:rPr>
        <w:t>то</w:t>
      </w:r>
      <w:r w:rsidRPr="00B73D7E">
        <w:rPr>
          <w:lang w:val="bg-BG"/>
        </w:rPr>
        <w:t xml:space="preserve"> на Столична община</w:t>
      </w:r>
      <w:r w:rsidRPr="00B73D7E">
        <w:rPr>
          <w:rStyle w:val="FootnoteReference"/>
          <w:lang w:val="bg-BG"/>
        </w:rPr>
        <w:footnoteReference w:id="82"/>
      </w:r>
      <w:r w:rsidRPr="00B73D7E">
        <w:rPr>
          <w:lang w:val="bg-BG"/>
        </w:rPr>
        <w:t>. Той регламентира специалните правила и разпоредби за възлагане, разработване, приемане и изменение на Общия устройствен план на столицата, влиза в сила след решение на Общинския съвет и се приема от Министерски съвет (чл.127 ал. 8, ЗУТ</w:t>
      </w:r>
      <w:r w:rsidR="008509EE" w:rsidRPr="00B73D7E">
        <w:rPr>
          <w:lang w:val="bg-BG"/>
        </w:rPr>
        <w:t xml:space="preserve"> </w:t>
      </w:r>
      <w:r w:rsidR="003B7DBD" w:rsidRPr="00F8728A">
        <w:rPr>
          <w:lang w:val="bg-BG"/>
        </w:rPr>
        <w:t>и чл. 4 на ЗУЗСО</w:t>
      </w:r>
      <w:r w:rsidRPr="00B73D7E">
        <w:rPr>
          <w:lang w:val="bg-BG"/>
        </w:rPr>
        <w:t xml:space="preserve">)  Кметът трябва да докладва ежегодно на Общинския съвет за напредъка по прилагането на приетия план. Има две групи от правила за функционално зониране - за градското ядро и за градската периферия, но те са общи и подробните параметри са дадени като допълнителен документ. </w:t>
      </w:r>
    </w:p>
    <w:p w:rsidR="00AA4661" w:rsidRPr="00B73D7E" w:rsidRDefault="00AA4661" w:rsidP="00CF297A">
      <w:pPr>
        <w:pStyle w:val="BodyText"/>
        <w:numPr>
          <w:ilvl w:val="0"/>
          <w:numId w:val="41"/>
        </w:numPr>
        <w:ind w:left="0" w:firstLine="0"/>
        <w:rPr>
          <w:lang w:val="bg-BG"/>
        </w:rPr>
      </w:pPr>
      <w:r w:rsidRPr="00B73D7E">
        <w:rPr>
          <w:lang w:val="bg-BG"/>
        </w:rPr>
        <w:t xml:space="preserve">Всички тези три закона се прилагат заедно със следните две наредби за по-подробно прилагане на нормативите за устройственото зониране. </w:t>
      </w:r>
    </w:p>
    <w:p w:rsidR="00AA4661" w:rsidRPr="00B73D7E" w:rsidRDefault="00AA4661" w:rsidP="00CF297A">
      <w:pPr>
        <w:pStyle w:val="BodyText"/>
        <w:numPr>
          <w:ilvl w:val="0"/>
          <w:numId w:val="41"/>
        </w:numPr>
        <w:ind w:left="0" w:firstLine="0"/>
        <w:rPr>
          <w:lang w:val="bg-BG"/>
        </w:rPr>
      </w:pPr>
      <w:r w:rsidRPr="00B73D7E">
        <w:rPr>
          <w:lang w:val="bg-BG"/>
        </w:rPr>
        <w:t>Наредба №7 за правила и нормативи за устройство на отделните видове територии и устройствени зони</w:t>
      </w:r>
      <w:r w:rsidRPr="00B73D7E">
        <w:rPr>
          <w:vertAlign w:val="superscript"/>
          <w:lang w:val="bg-BG"/>
        </w:rPr>
        <w:footnoteReference w:id="83"/>
      </w:r>
      <w:r w:rsidRPr="00B73D7E">
        <w:rPr>
          <w:lang w:val="bg-BG"/>
        </w:rPr>
        <w:t xml:space="preserve"> определя параметрите на градското развитие в зависимост от предназначението на земята, съответните функции и размера на града в зависимост от населението. За територията на Столична община се прилагат правилата и нормативите, определени съгласно Закона за устройство</w:t>
      </w:r>
      <w:r w:rsidR="00F21D7A" w:rsidRPr="00F8728A">
        <w:rPr>
          <w:lang w:val="bg-BG"/>
        </w:rPr>
        <w:t>то</w:t>
      </w:r>
      <w:r w:rsidRPr="00B73D7E">
        <w:rPr>
          <w:lang w:val="bg-BG"/>
        </w:rPr>
        <w:t xml:space="preserve"> и застрояване</w:t>
      </w:r>
      <w:r w:rsidR="00F21D7A" w:rsidRPr="00F8728A">
        <w:rPr>
          <w:lang w:val="bg-BG"/>
        </w:rPr>
        <w:t>то</w:t>
      </w:r>
      <w:r w:rsidRPr="00B73D7E">
        <w:rPr>
          <w:lang w:val="bg-BG"/>
        </w:rPr>
        <w:t xml:space="preserve"> на Столична община. Съответно за териториите в зона "A" и зона "Б" по Черноморското крайбрежие се прилагат правилата и нормативите, определени в Закона за устройство на Черноморското крайбрежие.  </w:t>
      </w:r>
    </w:p>
    <w:p w:rsidR="00AA4661" w:rsidRPr="00B73D7E" w:rsidRDefault="00AA4661" w:rsidP="00CF297A">
      <w:pPr>
        <w:pStyle w:val="BodyText"/>
        <w:numPr>
          <w:ilvl w:val="0"/>
          <w:numId w:val="41"/>
        </w:numPr>
        <w:ind w:left="0" w:firstLine="0"/>
        <w:rPr>
          <w:lang w:val="bg-BG"/>
        </w:rPr>
      </w:pPr>
      <w:r w:rsidRPr="00B73D7E">
        <w:rPr>
          <w:lang w:val="bg-BG"/>
        </w:rPr>
        <w:t>Наредба № 8 за обхвата и съдържанието на устройствените планове</w:t>
      </w:r>
      <w:r w:rsidRPr="00B73D7E">
        <w:rPr>
          <w:vertAlign w:val="superscript"/>
          <w:lang w:val="bg-BG"/>
        </w:rPr>
        <w:footnoteReference w:id="84"/>
      </w:r>
      <w:r w:rsidRPr="00B73D7E">
        <w:rPr>
          <w:lang w:val="bg-BG"/>
        </w:rPr>
        <w:t xml:space="preserve"> </w:t>
      </w:r>
      <w:r w:rsidRPr="00B73D7E">
        <w:rPr>
          <w:i/>
          <w:lang w:val="bg-BG"/>
        </w:rPr>
        <w:t xml:space="preserve"> </w:t>
      </w:r>
      <w:r w:rsidRPr="00B73D7E">
        <w:rPr>
          <w:lang w:val="bg-BG"/>
        </w:rPr>
        <w:t xml:space="preserve">определя основните текстови и графични материали и техните задължителни части. Елемент от аналитичната и стратегическа част е анализът на състоянието на околната среда, нейната уязвимост към изменението на климата, а последната част трябва да предложи мерки за намаляване на вредните въздействия от предложенията на плана. Графичната </w:t>
      </w:r>
      <w:r w:rsidRPr="00B73D7E">
        <w:rPr>
          <w:lang w:val="bg-BG"/>
        </w:rPr>
        <w:lastRenderedPageBreak/>
        <w:t>част, придружаваща обяснителната записка, включва и схема на рискови зони и на територии, предназначени за рекултивация, но често се представя формално.</w:t>
      </w:r>
    </w:p>
    <w:p w:rsidR="00AA4661" w:rsidRPr="00B73D7E" w:rsidRDefault="00AA4661" w:rsidP="00CF297A">
      <w:pPr>
        <w:pStyle w:val="BodyText"/>
        <w:numPr>
          <w:ilvl w:val="0"/>
          <w:numId w:val="41"/>
        </w:numPr>
        <w:ind w:left="0" w:firstLine="0"/>
        <w:rPr>
          <w:lang w:val="bg-BG"/>
        </w:rPr>
      </w:pPr>
      <w:r w:rsidRPr="00B73D7E">
        <w:rPr>
          <w:lang w:val="bg-BG"/>
        </w:rPr>
        <w:t>Законът за опазване на околната среда</w:t>
      </w:r>
      <w:r w:rsidRPr="00B73D7E">
        <w:rPr>
          <w:vertAlign w:val="superscript"/>
          <w:lang w:val="bg-BG"/>
        </w:rPr>
        <w:footnoteReference w:id="85"/>
      </w:r>
      <w:r w:rsidRPr="00B73D7E">
        <w:rPr>
          <w:i/>
          <w:lang w:val="bg-BG"/>
        </w:rPr>
        <w:t xml:space="preserve"> </w:t>
      </w:r>
      <w:r w:rsidRPr="00B73D7E">
        <w:rPr>
          <w:lang w:val="bg-BG"/>
        </w:rPr>
        <w:t>изисква задължителна стратегическа ЕО на Общите устройствени планове, обсъдени по-горе, както и Екологична оценка на Подробните устройствени планове, които включват всички компоненти и фактори, свързани с климатичните промени - климат, качество на въздуха, човешко здраве и др. Правилата и процедурите за извършване на ЕО на планове и програми се определят от специална наредба, която по същество транспонира Директива 2001/42/ЕО. При подготовката на ЕО се спазва и свързаното  с различните компоненти на околната среда законодателство.</w:t>
      </w:r>
    </w:p>
    <w:p w:rsidR="00AA4661" w:rsidRPr="00F8728A" w:rsidRDefault="00AA4661" w:rsidP="00B73D7E">
      <w:pPr>
        <w:pStyle w:val="FiguresTablesCaption"/>
      </w:pPr>
      <w:bookmarkStart w:id="218" w:name="_Toc506143764"/>
      <w:bookmarkStart w:id="219" w:name="_Toc529286487"/>
      <w:bookmarkStart w:id="220" w:name="_Toc529286562"/>
      <w:r w:rsidRPr="00F8728A">
        <w:t xml:space="preserve">Фигура </w:t>
      </w:r>
      <w:r w:rsidRPr="00F8728A">
        <w:fldChar w:fldCharType="begin"/>
      </w:r>
      <w:r w:rsidRPr="00F8728A">
        <w:instrText xml:space="preserve"> SEQ Figure \* ARABIC </w:instrText>
      </w:r>
      <w:r w:rsidRPr="00F8728A">
        <w:fldChar w:fldCharType="separate"/>
      </w:r>
      <w:r w:rsidRPr="00F8728A">
        <w:t>12</w:t>
      </w:r>
      <w:r w:rsidRPr="00F8728A">
        <w:fldChar w:fldCharType="end"/>
      </w:r>
      <w:r w:rsidRPr="00F8728A">
        <w:t>. ОВОС на Общия устройствен план на град София и Столична община (2002)</w:t>
      </w:r>
      <w:bookmarkEnd w:id="218"/>
      <w:bookmarkEnd w:id="219"/>
      <w:bookmarkEnd w:id="220"/>
    </w:p>
    <w:tbl>
      <w:tblPr>
        <w:tblW w:w="9606" w:type="dxa"/>
        <w:jc w:val="center"/>
        <w:tblLayout w:type="fixed"/>
        <w:tblLook w:val="00A0" w:firstRow="1" w:lastRow="0" w:firstColumn="1" w:lastColumn="0" w:noHBand="0" w:noVBand="0"/>
      </w:tblPr>
      <w:tblGrid>
        <w:gridCol w:w="4786"/>
        <w:gridCol w:w="4820"/>
      </w:tblGrid>
      <w:tr w:rsidR="00AA4661" w:rsidRPr="00F8728A" w:rsidTr="00CD3687">
        <w:trPr>
          <w:trHeight w:val="562"/>
          <w:jc w:val="center"/>
        </w:trPr>
        <w:tc>
          <w:tcPr>
            <w:tcW w:w="4786" w:type="dxa"/>
            <w:vAlign w:val="bottom"/>
          </w:tcPr>
          <w:p w:rsidR="00AA4661" w:rsidRPr="00F8728A" w:rsidRDefault="00AA4661" w:rsidP="00B14675">
            <w:pPr>
              <w:spacing w:before="60" w:after="60"/>
              <w:jc w:val="center"/>
            </w:pPr>
            <w:r w:rsidRPr="00F8728A">
              <w:rPr>
                <w:rFonts w:ascii="Calibri" w:hAnsi="Calibri"/>
                <w:i/>
                <w:iCs/>
                <w:color w:val="44546A"/>
                <w:szCs w:val="20"/>
                <w:lang w:eastAsia="bg-BG"/>
              </w:rPr>
              <w:t>Замърсяване и човешко здраве. Оценка на рисковите зони</w:t>
            </w:r>
          </w:p>
        </w:tc>
        <w:tc>
          <w:tcPr>
            <w:tcW w:w="4820" w:type="dxa"/>
            <w:vAlign w:val="bottom"/>
          </w:tcPr>
          <w:p w:rsidR="00AA4661" w:rsidRPr="00F8728A" w:rsidRDefault="00AA4661" w:rsidP="00B14675">
            <w:pPr>
              <w:spacing w:before="60" w:after="60"/>
              <w:jc w:val="center"/>
            </w:pPr>
            <w:r w:rsidRPr="00F8728A">
              <w:rPr>
                <w:rFonts w:ascii="Calibri" w:hAnsi="Calibri"/>
                <w:i/>
                <w:iCs/>
                <w:color w:val="44546A"/>
                <w:szCs w:val="20"/>
                <w:lang w:eastAsia="bg-BG"/>
              </w:rPr>
              <w:t>Зелена система и визуален анализ, GIS Spatial Analyst, DEM 10 m, Landsat 7TM, октомври 2001 г.</w:t>
            </w:r>
          </w:p>
        </w:tc>
      </w:tr>
      <w:tr w:rsidR="00AA4661" w:rsidRPr="00F8728A" w:rsidTr="00CD3687">
        <w:trPr>
          <w:jc w:val="center"/>
        </w:trPr>
        <w:tc>
          <w:tcPr>
            <w:tcW w:w="4786" w:type="dxa"/>
          </w:tcPr>
          <w:p w:rsidR="00AA4661" w:rsidRPr="00F8728A" w:rsidRDefault="00084198" w:rsidP="00B73D7E">
            <w:pPr>
              <w:spacing w:after="0"/>
              <w:jc w:val="center"/>
              <w:rPr>
                <w:rFonts w:ascii="Calibri" w:hAnsi="Calibri"/>
                <w:szCs w:val="20"/>
              </w:rPr>
            </w:pPr>
            <w:r w:rsidRPr="00B73D7E">
              <w:rPr>
                <w:noProof/>
                <w:lang w:val="en-US"/>
              </w:rPr>
              <w:drawing>
                <wp:inline distT="0" distB="0" distL="0" distR="0" wp14:anchorId="50F18731" wp14:editId="5CDC43C2">
                  <wp:extent cx="2893695" cy="2002068"/>
                  <wp:effectExtent l="19050" t="19050" r="20955" b="17780"/>
                  <wp:docPr id="1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5">
                            <a:extLst>
                              <a:ext uri="{28A0092B-C50C-407E-A947-70E740481C1C}">
                                <a14:useLocalDpi xmlns:a14="http://schemas.microsoft.com/office/drawing/2010/main" val="0"/>
                              </a:ext>
                            </a:extLst>
                          </a:blip>
                          <a:srcRect l="4374" t="5196" r="2163" b="4872"/>
                          <a:stretch/>
                        </pic:blipFill>
                        <pic:spPr bwMode="auto">
                          <a:xfrm>
                            <a:off x="0" y="0"/>
                            <a:ext cx="2894076" cy="2002331"/>
                          </a:xfrm>
                          <a:prstGeom prst="rect">
                            <a:avLst/>
                          </a:prstGeom>
                          <a:noFill/>
                          <a:ln>
                            <a:solidFill>
                              <a:srgbClr val="5B9BD5"/>
                            </a:solidFill>
                          </a:ln>
                          <a:extLst>
                            <a:ext uri="{53640926-AAD7-44D8-BBD7-CCE9431645EC}">
                              <a14:shadowObscured xmlns:a14="http://schemas.microsoft.com/office/drawing/2010/main"/>
                            </a:ext>
                          </a:extLst>
                        </pic:spPr>
                      </pic:pic>
                    </a:graphicData>
                  </a:graphic>
                </wp:inline>
              </w:drawing>
            </w:r>
          </w:p>
        </w:tc>
        <w:tc>
          <w:tcPr>
            <w:tcW w:w="4820" w:type="dxa"/>
          </w:tcPr>
          <w:p w:rsidR="00AA4661" w:rsidRPr="00F8728A" w:rsidRDefault="00084198" w:rsidP="00B73D7E">
            <w:pPr>
              <w:spacing w:after="0"/>
              <w:jc w:val="center"/>
              <w:rPr>
                <w:rFonts w:ascii="Calibri" w:hAnsi="Calibri"/>
                <w:szCs w:val="20"/>
              </w:rPr>
            </w:pPr>
            <w:r w:rsidRPr="00B73D7E">
              <w:rPr>
                <w:noProof/>
                <w:lang w:val="en-US"/>
              </w:rPr>
              <w:drawing>
                <wp:inline distT="0" distB="0" distL="0" distR="0" wp14:anchorId="1A584E12" wp14:editId="48B7B8A5">
                  <wp:extent cx="2870835" cy="2002155"/>
                  <wp:effectExtent l="19050" t="19050" r="24765" b="17145"/>
                  <wp:docPr id="1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a:extLst>
                              <a:ext uri="{28A0092B-C50C-407E-A947-70E740481C1C}">
                                <a14:useLocalDpi xmlns:a14="http://schemas.microsoft.com/office/drawing/2010/main" val="0"/>
                              </a:ext>
                            </a:extLst>
                          </a:blip>
                          <a:srcRect t="6351"/>
                          <a:stretch>
                            <a:fillRect/>
                          </a:stretch>
                        </pic:blipFill>
                        <pic:spPr bwMode="auto">
                          <a:xfrm>
                            <a:off x="0" y="0"/>
                            <a:ext cx="2870835" cy="2002155"/>
                          </a:xfrm>
                          <a:prstGeom prst="rect">
                            <a:avLst/>
                          </a:prstGeom>
                          <a:noFill/>
                          <a:ln>
                            <a:solidFill>
                              <a:srgbClr val="5B9BD5"/>
                            </a:solidFill>
                          </a:ln>
                        </pic:spPr>
                      </pic:pic>
                    </a:graphicData>
                  </a:graphic>
                </wp:inline>
              </w:drawing>
            </w:r>
          </w:p>
        </w:tc>
      </w:tr>
    </w:tbl>
    <w:p w:rsidR="00AA4661" w:rsidRPr="00F8728A" w:rsidRDefault="00AA4661" w:rsidP="00BD57F3">
      <w:pPr>
        <w:pStyle w:val="Source"/>
        <w:spacing w:after="240"/>
        <w:jc w:val="center"/>
      </w:pPr>
      <w:r w:rsidRPr="00F8728A">
        <w:t xml:space="preserve">Източници: ОВОС на Общ устройствен план на </w:t>
      </w:r>
      <w:r w:rsidR="00F21D7A" w:rsidRPr="00F8728A">
        <w:t xml:space="preserve">град </w:t>
      </w:r>
      <w:r w:rsidRPr="00F8728A">
        <w:t>София и Столична община, 2002 г. „Троева Консулт” ЕООД.</w:t>
      </w:r>
    </w:p>
    <w:p w:rsidR="00AA4661" w:rsidRPr="00F8728A" w:rsidRDefault="00AA4661" w:rsidP="00B73D7E">
      <w:pPr>
        <w:pStyle w:val="FiguresTablesCaption"/>
        <w:spacing w:after="0"/>
      </w:pPr>
      <w:bookmarkStart w:id="221" w:name="_Toc506143765"/>
      <w:bookmarkStart w:id="222" w:name="_Toc529286488"/>
      <w:bookmarkStart w:id="223" w:name="_Toc529286563"/>
      <w:r w:rsidRPr="00F8728A">
        <w:t xml:space="preserve">Фигура </w:t>
      </w:r>
      <w:r w:rsidRPr="00F8728A">
        <w:fldChar w:fldCharType="begin"/>
      </w:r>
      <w:r w:rsidRPr="00F8728A">
        <w:instrText xml:space="preserve"> SEQ Figure \* ARABIC </w:instrText>
      </w:r>
      <w:r w:rsidRPr="00F8728A">
        <w:fldChar w:fldCharType="separate"/>
      </w:r>
      <w:r w:rsidRPr="00F8728A">
        <w:t>13</w:t>
      </w:r>
      <w:r w:rsidRPr="00F8728A">
        <w:fldChar w:fldCharType="end"/>
      </w:r>
      <w:r w:rsidRPr="00F8728A">
        <w:t>. ЕО на Измененията на Общия устройствен план на град София и Столична община (приети през 2009 г.)</w:t>
      </w:r>
      <w:bookmarkEnd w:id="221"/>
      <w:bookmarkEnd w:id="222"/>
      <w:bookmarkEnd w:id="223"/>
    </w:p>
    <w:tbl>
      <w:tblPr>
        <w:tblW w:w="9606" w:type="dxa"/>
        <w:jc w:val="center"/>
        <w:tblLayout w:type="fixed"/>
        <w:tblLook w:val="00A0" w:firstRow="1" w:lastRow="0" w:firstColumn="1" w:lastColumn="0" w:noHBand="0" w:noVBand="0"/>
      </w:tblPr>
      <w:tblGrid>
        <w:gridCol w:w="4786"/>
        <w:gridCol w:w="4820"/>
      </w:tblGrid>
      <w:tr w:rsidR="00AA4661" w:rsidRPr="00F8728A" w:rsidTr="00CD3687">
        <w:trPr>
          <w:trHeight w:val="562"/>
          <w:jc w:val="center"/>
        </w:trPr>
        <w:tc>
          <w:tcPr>
            <w:tcW w:w="4786" w:type="dxa"/>
            <w:vAlign w:val="bottom"/>
          </w:tcPr>
          <w:p w:rsidR="00AA4661" w:rsidRPr="00F8728A" w:rsidRDefault="00AA4661" w:rsidP="00BD57F3">
            <w:pPr>
              <w:spacing w:before="60" w:after="0"/>
              <w:jc w:val="center"/>
            </w:pPr>
            <w:r w:rsidRPr="00F8728A">
              <w:rPr>
                <w:rFonts w:ascii="Calibri" w:hAnsi="Calibri"/>
                <w:i/>
                <w:iCs/>
                <w:color w:val="44546A"/>
                <w:szCs w:val="20"/>
                <w:lang w:eastAsia="bg-BG"/>
              </w:rPr>
              <w:t>Оценка на водните ресурси. Качество на водите и горещи точки</w:t>
            </w:r>
          </w:p>
        </w:tc>
        <w:tc>
          <w:tcPr>
            <w:tcW w:w="4820" w:type="dxa"/>
            <w:vAlign w:val="bottom"/>
          </w:tcPr>
          <w:p w:rsidR="00AA4661" w:rsidRPr="00F8728A" w:rsidRDefault="00AA4661" w:rsidP="00BD57F3">
            <w:pPr>
              <w:spacing w:before="60" w:after="0"/>
              <w:jc w:val="center"/>
            </w:pPr>
            <w:r w:rsidRPr="00F8728A">
              <w:rPr>
                <w:rFonts w:ascii="Calibri" w:hAnsi="Calibri"/>
                <w:i/>
                <w:iCs/>
                <w:color w:val="44546A"/>
                <w:szCs w:val="20"/>
                <w:lang w:eastAsia="bg-BG"/>
              </w:rPr>
              <w:t>Сравнителен анализ на промените в земеползването между  2002 и 2008</w:t>
            </w:r>
          </w:p>
        </w:tc>
      </w:tr>
      <w:tr w:rsidR="00AA4661" w:rsidRPr="00F8728A" w:rsidTr="00CD3687">
        <w:trPr>
          <w:jc w:val="center"/>
        </w:trPr>
        <w:tc>
          <w:tcPr>
            <w:tcW w:w="4786" w:type="dxa"/>
          </w:tcPr>
          <w:p w:rsidR="00AA4661" w:rsidRPr="00F8728A" w:rsidRDefault="00084198" w:rsidP="00676435">
            <w:pPr>
              <w:spacing w:after="0"/>
              <w:jc w:val="both"/>
              <w:rPr>
                <w:rFonts w:ascii="Calibri" w:hAnsi="Calibri"/>
                <w:szCs w:val="20"/>
              </w:rPr>
            </w:pPr>
            <w:r w:rsidRPr="00B73D7E">
              <w:rPr>
                <w:noProof/>
                <w:lang w:val="en-US"/>
              </w:rPr>
              <w:drawing>
                <wp:inline distT="0" distB="0" distL="0" distR="0" wp14:anchorId="75009162" wp14:editId="31D64EF1">
                  <wp:extent cx="2877743" cy="2037080"/>
                  <wp:effectExtent l="19050" t="19050" r="18415" b="20320"/>
                  <wp:docPr id="1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r="551"/>
                          <a:stretch/>
                        </pic:blipFill>
                        <pic:spPr bwMode="auto">
                          <a:xfrm>
                            <a:off x="0" y="0"/>
                            <a:ext cx="2877743" cy="2037080"/>
                          </a:xfrm>
                          <a:prstGeom prst="rect">
                            <a:avLst/>
                          </a:prstGeom>
                          <a:noFill/>
                          <a:ln>
                            <a:solidFill>
                              <a:srgbClr val="5B9BD5"/>
                            </a:solidFill>
                          </a:ln>
                          <a:extLst>
                            <a:ext uri="{53640926-AAD7-44D8-BBD7-CCE9431645EC}">
                              <a14:shadowObscured xmlns:a14="http://schemas.microsoft.com/office/drawing/2010/main"/>
                            </a:ext>
                          </a:extLst>
                        </pic:spPr>
                      </pic:pic>
                    </a:graphicData>
                  </a:graphic>
                </wp:inline>
              </w:drawing>
            </w:r>
          </w:p>
        </w:tc>
        <w:tc>
          <w:tcPr>
            <w:tcW w:w="4820" w:type="dxa"/>
          </w:tcPr>
          <w:p w:rsidR="00AA4661" w:rsidRPr="00F8728A" w:rsidRDefault="00084198" w:rsidP="00676435">
            <w:pPr>
              <w:spacing w:after="0"/>
              <w:jc w:val="both"/>
              <w:rPr>
                <w:rFonts w:ascii="Calibri" w:hAnsi="Calibri"/>
                <w:szCs w:val="20"/>
              </w:rPr>
            </w:pPr>
            <w:r w:rsidRPr="00B73D7E">
              <w:rPr>
                <w:noProof/>
                <w:lang w:val="en-US"/>
              </w:rPr>
              <w:drawing>
                <wp:inline distT="0" distB="0" distL="0" distR="0" wp14:anchorId="680ED9E4" wp14:editId="1CC9F205">
                  <wp:extent cx="2858770" cy="2037080"/>
                  <wp:effectExtent l="19050" t="19050" r="17780" b="20320"/>
                  <wp:docPr id="1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8">
                            <a:extLst>
                              <a:ext uri="{28A0092B-C50C-407E-A947-70E740481C1C}">
                                <a14:useLocalDpi xmlns:a14="http://schemas.microsoft.com/office/drawing/2010/main" val="0"/>
                              </a:ext>
                            </a:extLst>
                          </a:blip>
                          <a:srcRect b="1685"/>
                          <a:stretch/>
                        </pic:blipFill>
                        <pic:spPr bwMode="auto">
                          <a:xfrm>
                            <a:off x="0" y="0"/>
                            <a:ext cx="2858770" cy="2037080"/>
                          </a:xfrm>
                          <a:prstGeom prst="rect">
                            <a:avLst/>
                          </a:prstGeom>
                          <a:noFill/>
                          <a:ln>
                            <a:solidFill>
                              <a:srgbClr val="5B9BD5"/>
                            </a:solidFill>
                          </a:ln>
                          <a:extLst>
                            <a:ext uri="{53640926-AAD7-44D8-BBD7-CCE9431645EC}">
                              <a14:shadowObscured xmlns:a14="http://schemas.microsoft.com/office/drawing/2010/main"/>
                            </a:ext>
                          </a:extLst>
                        </pic:spPr>
                      </pic:pic>
                    </a:graphicData>
                  </a:graphic>
                </wp:inline>
              </w:drawing>
            </w:r>
          </w:p>
        </w:tc>
      </w:tr>
    </w:tbl>
    <w:p w:rsidR="00AA4661" w:rsidRPr="00F8728A" w:rsidRDefault="00AA4661" w:rsidP="001E0411">
      <w:pPr>
        <w:pStyle w:val="Source"/>
        <w:spacing w:after="0"/>
        <w:jc w:val="center"/>
      </w:pPr>
      <w:r w:rsidRPr="00F8728A">
        <w:t>Източници: ЕО на Изменение на Общ устройствен план на град София и Столична община, 2009 г. "Троева Консулт" ЕООД</w:t>
      </w:r>
      <w:r w:rsidR="00EC4EB3">
        <w:t>.</w:t>
      </w:r>
    </w:p>
    <w:p w:rsidR="00AA4661" w:rsidRPr="00B73D7E" w:rsidRDefault="00AA4661" w:rsidP="00CF297A">
      <w:pPr>
        <w:pStyle w:val="BodyText"/>
        <w:numPr>
          <w:ilvl w:val="0"/>
          <w:numId w:val="41"/>
        </w:numPr>
        <w:ind w:left="0" w:firstLine="0"/>
        <w:rPr>
          <w:lang w:val="bg-BG"/>
        </w:rPr>
      </w:pPr>
      <w:r w:rsidRPr="00B73D7E">
        <w:rPr>
          <w:lang w:val="bg-BG"/>
        </w:rPr>
        <w:lastRenderedPageBreak/>
        <w:t>Практиката за планиране в страната показва много различни стандарти при разработването и одобряването на устройствените планове и техните екологични оценки (ЕО), което говори за изключително ограничен административен и експертен капацитет. Ако съществуващото законодателство трябва да включва допълнителни текстове, изискващи включването на интегрирани схеми за оценка на риска на територията и по този начин да се мотивират по-добре предложенията за проекти, въпросът за наличните професионалисти, притежаващи необходимите знания и умения за извършване на такава оценка, остава открит. Това поставя редица въпроси не само пред законодателите, но и пред академичните институции, пред професионалните организации и пред одобряващите звена в общинските администрации и специализираните органи.</w:t>
      </w:r>
    </w:p>
    <w:p w:rsidR="00AA4661" w:rsidRPr="00B73D7E" w:rsidRDefault="00AA4661" w:rsidP="00CF297A">
      <w:pPr>
        <w:pStyle w:val="BodyText"/>
        <w:numPr>
          <w:ilvl w:val="0"/>
          <w:numId w:val="41"/>
        </w:numPr>
        <w:ind w:left="0" w:firstLine="0"/>
        <w:rPr>
          <w:lang w:val="bg-BG"/>
        </w:rPr>
      </w:pPr>
      <w:r w:rsidRPr="00B73D7E">
        <w:rPr>
          <w:lang w:val="bg-BG"/>
        </w:rPr>
        <w:t>Законът за регионално</w:t>
      </w:r>
      <w:r w:rsidR="0077487C" w:rsidRPr="00F8728A">
        <w:rPr>
          <w:lang w:val="bg-BG"/>
        </w:rPr>
        <w:t>то</w:t>
      </w:r>
      <w:r w:rsidRPr="00B73D7E">
        <w:rPr>
          <w:lang w:val="bg-BG"/>
        </w:rPr>
        <w:t xml:space="preserve"> развитие</w:t>
      </w:r>
      <w:r w:rsidRPr="00B73D7E">
        <w:rPr>
          <w:vertAlign w:val="superscript"/>
          <w:lang w:val="bg-BG"/>
        </w:rPr>
        <w:footnoteReference w:id="86"/>
      </w:r>
      <w:r w:rsidRPr="00B73D7E">
        <w:rPr>
          <w:i/>
          <w:lang w:val="bg-BG"/>
        </w:rPr>
        <w:t xml:space="preserve"> </w:t>
      </w:r>
      <w:r w:rsidRPr="00B73D7E">
        <w:rPr>
          <w:lang w:val="bg-BG"/>
        </w:rPr>
        <w:t>определя системата от йерархично свързани документи за регионално и пространствено развитие на национално, регионално, областно, общинско и градско административно ниво, описани в Глава 1. Тези документи не разглеждат пряко въпросите, свързани с промените в температурата и валежите, но включват раздели, които определят мерки, насочени към ограничаване на последиците от изменението на климата.</w:t>
      </w:r>
    </w:p>
    <w:p w:rsidR="00AA4661" w:rsidRPr="00B73D7E" w:rsidRDefault="00AA4661" w:rsidP="00CF297A">
      <w:pPr>
        <w:pStyle w:val="BodyText"/>
        <w:numPr>
          <w:ilvl w:val="0"/>
          <w:numId w:val="41"/>
        </w:numPr>
        <w:ind w:left="0" w:firstLine="0"/>
        <w:rPr>
          <w:lang w:val="bg-BG"/>
        </w:rPr>
      </w:pPr>
      <w:r w:rsidRPr="00B73D7E">
        <w:rPr>
          <w:lang w:val="bg-BG"/>
        </w:rPr>
        <w:t>И двете групи документи имат подобни аналитични части и се различават предимно в стратегическите си части. Първата група стратегии и планове за регионално развитие има и финансова рамка, и програма за изпълнение. Втората група от документи за пространствено развитие определя териториите и областите за реализиране на тези проектни предложения за развитие с техните пространствени параметри. Те трябва да включват и зоните, застрашени от различни природни бедствия. Обхватът и съдържанието на тези документи, както и правилата и процедурите за тяхното изготвяне се определят чрез наредби и методически указания. Задължителна част от тях са идентифицирането на рискови зони за бедствия и уязвими групи, подходящи мерки и проекти, насочени към намаляване на риска и разработване на инвестиционна програма с ясни етапи на изпълнение, отговорности и източници на финансиране.</w:t>
      </w:r>
    </w:p>
    <w:p w:rsidR="00AA4661" w:rsidRPr="00F8728A" w:rsidRDefault="00AA4661" w:rsidP="00B73D7E">
      <w:pPr>
        <w:pStyle w:val="FiguresTablesCaption"/>
        <w:spacing w:before="160" w:after="80"/>
      </w:pPr>
      <w:bookmarkStart w:id="224" w:name="_Toc506143766"/>
      <w:bookmarkStart w:id="225" w:name="_Toc529286489"/>
      <w:bookmarkStart w:id="226" w:name="_Toc529286564"/>
      <w:r w:rsidRPr="00F8728A">
        <w:lastRenderedPageBreak/>
        <w:t xml:space="preserve">Фигура </w:t>
      </w:r>
      <w:r w:rsidRPr="00F8728A">
        <w:fldChar w:fldCharType="begin"/>
      </w:r>
      <w:r w:rsidRPr="00F8728A">
        <w:instrText xml:space="preserve"> SEQ Figure \* ARABIC </w:instrText>
      </w:r>
      <w:r w:rsidRPr="00F8728A">
        <w:fldChar w:fldCharType="separate"/>
      </w:r>
      <w:r w:rsidRPr="00F8728A">
        <w:t>14</w:t>
      </w:r>
      <w:r w:rsidRPr="00F8728A">
        <w:fldChar w:fldCharType="end"/>
      </w:r>
      <w:r w:rsidRPr="00F8728A">
        <w:t>. Йерархична система за регионално и пространствено планиране в България</w:t>
      </w:r>
      <w:bookmarkEnd w:id="224"/>
      <w:bookmarkEnd w:id="225"/>
      <w:bookmarkEnd w:id="226"/>
      <w:r w:rsidRPr="00F8728A">
        <w:t xml:space="preserve"> </w:t>
      </w:r>
    </w:p>
    <w:p w:rsidR="00AA4661" w:rsidRPr="00F8728A" w:rsidRDefault="00084198" w:rsidP="001E0411">
      <w:pPr>
        <w:spacing w:after="40"/>
        <w:jc w:val="center"/>
        <w:rPr>
          <w:b/>
        </w:rPr>
      </w:pPr>
      <w:r w:rsidRPr="00B73D7E">
        <w:rPr>
          <w:b/>
          <w:noProof/>
          <w:lang w:val="en-US"/>
        </w:rPr>
        <w:drawing>
          <wp:inline distT="0" distB="0" distL="0" distR="0" wp14:anchorId="1931135D" wp14:editId="0AC099ED">
            <wp:extent cx="3879861" cy="2514600"/>
            <wp:effectExtent l="0" t="0" r="6350" b="0"/>
            <wp:docPr id="1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22260" cy="2542080"/>
                    </a:xfrm>
                    <a:prstGeom prst="rect">
                      <a:avLst/>
                    </a:prstGeom>
                    <a:noFill/>
                    <a:ln>
                      <a:noFill/>
                    </a:ln>
                  </pic:spPr>
                </pic:pic>
              </a:graphicData>
            </a:graphic>
          </wp:inline>
        </w:drawing>
      </w:r>
    </w:p>
    <w:p w:rsidR="00AA4661" w:rsidRPr="00F8728A" w:rsidRDefault="00AA4661" w:rsidP="001E0411">
      <w:pPr>
        <w:pStyle w:val="Source"/>
        <w:spacing w:before="40" w:after="0"/>
        <w:jc w:val="center"/>
      </w:pPr>
      <w:r w:rsidRPr="00F8728A">
        <w:t>Източник: НКПР за периода 2013–2025 г.</w:t>
      </w:r>
    </w:p>
    <w:p w:rsidR="00AA4661" w:rsidRPr="00B73D7E" w:rsidRDefault="00AA4661" w:rsidP="00E21095">
      <w:pPr>
        <w:pStyle w:val="Heading3"/>
        <w:numPr>
          <w:ilvl w:val="2"/>
          <w:numId w:val="25"/>
        </w:numPr>
        <w:autoSpaceDE/>
        <w:autoSpaceDN/>
        <w:adjustRightInd/>
        <w:ind w:left="0" w:firstLine="0"/>
        <w:rPr>
          <w:lang w:val="bg-BG"/>
        </w:rPr>
      </w:pPr>
      <w:bookmarkStart w:id="227" w:name="_Toc486259774"/>
      <w:bookmarkStart w:id="228" w:name="_Toc486942182"/>
      <w:bookmarkStart w:id="229" w:name="_Toc501454859"/>
      <w:bookmarkStart w:id="230" w:name="_Toc522030561"/>
      <w:bookmarkStart w:id="231" w:name="_Toc529285546"/>
      <w:r w:rsidRPr="00B73D7E">
        <w:rPr>
          <w:lang w:val="bg-BG"/>
        </w:rPr>
        <w:t>Взаимосвързано законодателство</w:t>
      </w:r>
      <w:bookmarkEnd w:id="227"/>
      <w:bookmarkEnd w:id="228"/>
      <w:bookmarkEnd w:id="229"/>
      <w:bookmarkEnd w:id="230"/>
      <w:bookmarkEnd w:id="231"/>
    </w:p>
    <w:p w:rsidR="00AA4661" w:rsidRPr="00B73D7E" w:rsidRDefault="00AA4661" w:rsidP="00CF297A">
      <w:pPr>
        <w:pStyle w:val="BodyText"/>
        <w:numPr>
          <w:ilvl w:val="0"/>
          <w:numId w:val="41"/>
        </w:numPr>
        <w:ind w:left="0" w:firstLine="0"/>
        <w:rPr>
          <w:lang w:val="bg-BG"/>
        </w:rPr>
      </w:pPr>
      <w:r w:rsidRPr="00B73D7E">
        <w:rPr>
          <w:lang w:val="bg-BG"/>
        </w:rPr>
        <w:t>Законът за регионалното развитие и Законът за устройство на територията се свързват с много други закони, които пряко или косвено засягат градската среда и гарантират нейното качество.</w:t>
      </w:r>
    </w:p>
    <w:p w:rsidR="00AA4661" w:rsidRPr="00B73D7E" w:rsidRDefault="00AA4661" w:rsidP="00491557">
      <w:pPr>
        <w:pStyle w:val="Heading4"/>
        <w:rPr>
          <w:rFonts w:ascii="Times New Roman" w:hAnsi="Times New Roman"/>
          <w:sz w:val="32"/>
          <w:lang w:val="bg-BG"/>
        </w:rPr>
      </w:pPr>
      <w:r w:rsidRPr="00B73D7E">
        <w:rPr>
          <w:rStyle w:val="Heading4Char"/>
          <w:i/>
          <w:lang w:val="bg-BG"/>
        </w:rPr>
        <w:t>Законодателство в областта на околната среда</w:t>
      </w:r>
      <w:r w:rsidRPr="00B73D7E">
        <w:rPr>
          <w:rFonts w:ascii="Times New Roman" w:hAnsi="Times New Roman"/>
          <w:sz w:val="32"/>
          <w:lang w:val="bg-BG"/>
        </w:rPr>
        <w:t xml:space="preserve"> </w:t>
      </w:r>
    </w:p>
    <w:p w:rsidR="00AA4661" w:rsidRPr="00B73D7E" w:rsidRDefault="00AA4661" w:rsidP="00CF297A">
      <w:pPr>
        <w:pStyle w:val="BodyText"/>
        <w:numPr>
          <w:ilvl w:val="0"/>
          <w:numId w:val="41"/>
        </w:numPr>
        <w:ind w:left="0" w:firstLine="0"/>
        <w:rPr>
          <w:lang w:val="bg-BG"/>
        </w:rPr>
      </w:pPr>
      <w:r w:rsidRPr="00B73D7E">
        <w:rPr>
          <w:lang w:val="bg-BG"/>
        </w:rPr>
        <w:t>Законът за защитените територии</w:t>
      </w:r>
      <w:r w:rsidRPr="00B73D7E">
        <w:rPr>
          <w:vertAlign w:val="superscript"/>
          <w:lang w:val="bg-BG"/>
        </w:rPr>
        <w:footnoteReference w:id="87"/>
      </w:r>
      <w:r w:rsidRPr="00B73D7E">
        <w:rPr>
          <w:lang w:val="bg-BG"/>
        </w:rPr>
        <w:t xml:space="preserve"> регламентира категоризацията на различните защитени територии и обекти, тяхното предназначение, опазване, използване, поддръжка и управление, независимо от тяхната собственост, статут и местоположение, като по този начин играят важна роля за подобряване на градския климат. Разпоредбите на</w:t>
      </w:r>
      <w:r w:rsidRPr="00B73D7E">
        <w:rPr>
          <w:i/>
          <w:lang w:val="bg-BG"/>
        </w:rPr>
        <w:t xml:space="preserve"> </w:t>
      </w:r>
      <w:r w:rsidRPr="00B73D7E">
        <w:rPr>
          <w:lang w:val="bg-BG"/>
        </w:rPr>
        <w:t>Закона за биологичното разнообразие</w:t>
      </w:r>
      <w:r w:rsidRPr="00B73D7E">
        <w:rPr>
          <w:vertAlign w:val="superscript"/>
          <w:lang w:val="bg-BG"/>
        </w:rPr>
        <w:footnoteReference w:id="88"/>
      </w:r>
      <w:r w:rsidRPr="00B73D7E">
        <w:rPr>
          <w:i/>
          <w:lang w:val="bg-BG"/>
        </w:rPr>
        <w:t xml:space="preserve"> </w:t>
      </w:r>
      <w:r w:rsidRPr="00B73D7E">
        <w:rPr>
          <w:lang w:val="bg-BG"/>
        </w:rPr>
        <w:t xml:space="preserve">играят важна роля в пространственото и градското планиране за интегрирано управление на териториите по "Натура 2000", по-специално на онези, в рамките на градските регулационни граници, както и за опазване на градското биологично разнообразие. Специфичните за сектора закони за опазване на въздуха, водите, земите и почвите се разглеждат при изготвянето на плановете и техните ЕО. Екологичната оценка на плановете и програмите (ЕО), на инвестиционните проекти (ОВОС) и на съвместимостта на плановете, програмите, проектите и инвестиционните предложения с целите на защитените територии се изготвя съгласно приетите наредби. ЕО и ОВОС имат отделен раздел за климата и за качеството на въздуха. </w:t>
      </w:r>
    </w:p>
    <w:p w:rsidR="00AA4661" w:rsidRPr="00B73D7E" w:rsidRDefault="00AA4661" w:rsidP="00491557">
      <w:pPr>
        <w:pStyle w:val="Heading4"/>
        <w:rPr>
          <w:lang w:val="bg-BG"/>
        </w:rPr>
      </w:pPr>
      <w:r w:rsidRPr="00B73D7E">
        <w:rPr>
          <w:lang w:val="bg-BG"/>
        </w:rPr>
        <w:t xml:space="preserve">Енергийно законодателство </w:t>
      </w:r>
    </w:p>
    <w:p w:rsidR="00AA4661" w:rsidRPr="00B73D7E" w:rsidRDefault="00AA4661" w:rsidP="00CF297A">
      <w:pPr>
        <w:pStyle w:val="BodyText"/>
        <w:numPr>
          <w:ilvl w:val="0"/>
          <w:numId w:val="41"/>
        </w:numPr>
        <w:ind w:left="0" w:firstLine="0"/>
        <w:rPr>
          <w:lang w:val="bg-BG"/>
        </w:rPr>
      </w:pPr>
      <w:r w:rsidRPr="00B73D7E">
        <w:rPr>
          <w:lang w:val="bg-BG"/>
        </w:rPr>
        <w:t>Законът за енергетиката</w:t>
      </w:r>
      <w:r w:rsidRPr="00B73D7E">
        <w:rPr>
          <w:vertAlign w:val="superscript"/>
          <w:lang w:val="bg-BG"/>
        </w:rPr>
        <w:footnoteReference w:id="89"/>
      </w:r>
      <w:r w:rsidRPr="00B73D7E">
        <w:rPr>
          <w:lang w:val="bg-BG"/>
        </w:rPr>
        <w:t xml:space="preserve"> гарантира доставката и разпределението на енергията в градската среда, </w:t>
      </w:r>
      <w:r w:rsidR="00362A5F" w:rsidRPr="00B73D7E">
        <w:rPr>
          <w:lang w:val="bg-BG"/>
        </w:rPr>
        <w:t xml:space="preserve">нейното </w:t>
      </w:r>
      <w:r w:rsidRPr="00B73D7E">
        <w:rPr>
          <w:lang w:val="bg-BG"/>
        </w:rPr>
        <w:t>ефективно и безопасно</w:t>
      </w:r>
      <w:r w:rsidR="00362A5F" w:rsidRPr="00B73D7E">
        <w:rPr>
          <w:lang w:val="bg-BG"/>
        </w:rPr>
        <w:t xml:space="preserve"> използване</w:t>
      </w:r>
      <w:r w:rsidRPr="00B73D7E">
        <w:rPr>
          <w:lang w:val="bg-BG"/>
        </w:rPr>
        <w:t>. Най-важните за градската среда, особено за по-големите градове, са неговите разпоредби за когенерация.</w:t>
      </w:r>
      <w:r w:rsidR="00362A5F" w:rsidRPr="00B73D7E">
        <w:rPr>
          <w:lang w:val="bg-BG"/>
        </w:rPr>
        <w:t xml:space="preserve"> В допълнение, Законът за енергията</w:t>
      </w:r>
      <w:r w:rsidR="001E0411" w:rsidRPr="00B73D7E">
        <w:rPr>
          <w:lang w:val="bg-BG"/>
        </w:rPr>
        <w:t xml:space="preserve"> от възобновяеми източниц</w:t>
      </w:r>
      <w:r w:rsidR="00362A5F" w:rsidRPr="00B73D7E">
        <w:rPr>
          <w:rStyle w:val="FootnoteReference"/>
          <w:lang w:val="bg-BG"/>
        </w:rPr>
        <w:footnoteReference w:id="90"/>
      </w:r>
      <w:r w:rsidR="00362A5F" w:rsidRPr="00B73D7E">
        <w:rPr>
          <w:lang w:val="bg-BG"/>
        </w:rPr>
        <w:t xml:space="preserve"> </w:t>
      </w:r>
      <w:r w:rsidR="00013C78" w:rsidRPr="00B73D7E">
        <w:rPr>
          <w:lang w:val="bg-BG"/>
        </w:rPr>
        <w:t xml:space="preserve">регулира производството и потреблението на енергия от възобновяеми източници и прилагането </w:t>
      </w:r>
      <w:r w:rsidR="00013C78" w:rsidRPr="00B73D7E">
        <w:rPr>
          <w:lang w:val="bg-BG"/>
        </w:rPr>
        <w:lastRenderedPageBreak/>
        <w:t xml:space="preserve">на мерки в жилищни, обществени и </w:t>
      </w:r>
      <w:r w:rsidR="00E1635F" w:rsidRPr="00B73D7E">
        <w:rPr>
          <w:lang w:val="bg-BG"/>
        </w:rPr>
        <w:t>търговски</w:t>
      </w:r>
      <w:r w:rsidR="00013C78" w:rsidRPr="00B73D7E">
        <w:rPr>
          <w:lang w:val="bg-BG"/>
        </w:rPr>
        <w:t xml:space="preserve"> сгради</w:t>
      </w:r>
      <w:r w:rsidR="00362A5F" w:rsidRPr="00B73D7E">
        <w:rPr>
          <w:lang w:val="bg-BG"/>
        </w:rPr>
        <w:t xml:space="preserve">, </w:t>
      </w:r>
      <w:r w:rsidR="00013C78" w:rsidRPr="00B73D7E">
        <w:rPr>
          <w:lang w:val="bg-BG"/>
        </w:rPr>
        <w:t xml:space="preserve">за да се намалят емисиите от парникови газове и да се ограничат отрицателните въздействия на климатичните промени. </w:t>
      </w:r>
      <w:r w:rsidRPr="00B73D7E">
        <w:rPr>
          <w:lang w:val="bg-BG"/>
        </w:rPr>
        <w:t>Законът за енергийната ефективност</w:t>
      </w:r>
      <w:r w:rsidRPr="00B73D7E">
        <w:rPr>
          <w:vertAlign w:val="superscript"/>
          <w:lang w:val="bg-BG"/>
        </w:rPr>
        <w:footnoteReference w:id="91"/>
      </w:r>
      <w:r w:rsidRPr="00B73D7E">
        <w:rPr>
          <w:i/>
          <w:lang w:val="bg-BG"/>
        </w:rPr>
        <w:t xml:space="preserve"> </w:t>
      </w:r>
      <w:r w:rsidRPr="00B73D7E">
        <w:rPr>
          <w:lang w:val="bg-BG"/>
        </w:rPr>
        <w:t xml:space="preserve">в </w:t>
      </w:r>
      <w:r w:rsidR="00013C78" w:rsidRPr="00B73D7E">
        <w:rPr>
          <w:lang w:val="bg-BG"/>
        </w:rPr>
        <w:t xml:space="preserve">Глава ІІІ, Раздел </w:t>
      </w:r>
      <w:r w:rsidRPr="00B73D7E">
        <w:rPr>
          <w:lang w:val="bg-BG"/>
        </w:rPr>
        <w:t xml:space="preserve">II определя изискванията за енергиен одит на всички видове сгради - жилищни и нежилищни, нови и съществуващи, които са обект на реконструкция. </w:t>
      </w:r>
      <w:r w:rsidR="00DD63A4" w:rsidRPr="00B73D7E">
        <w:rPr>
          <w:lang w:val="bg-BG"/>
        </w:rPr>
        <w:t>Изискванията за енергийните характеристики са обект на задължителна периодична проверка веднъж на всеки пет години, и при необходимост се актуализират, за да отразят технологичното развитие в строителния се</w:t>
      </w:r>
      <w:r w:rsidR="001E0411" w:rsidRPr="00B73D7E">
        <w:rPr>
          <w:lang w:val="bg-BG"/>
        </w:rPr>
        <w:t>ктор</w:t>
      </w:r>
      <w:r w:rsidR="00DD63A4" w:rsidRPr="00B73D7E">
        <w:rPr>
          <w:lang w:val="bg-BG"/>
        </w:rPr>
        <w:t xml:space="preserve"> (чл. 31, ал. 5). </w:t>
      </w:r>
      <w:r w:rsidRPr="00B73D7E">
        <w:rPr>
          <w:lang w:val="bg-BG"/>
        </w:rPr>
        <w:t xml:space="preserve">Прилагането на изискванията на този закон, свързани с проектирането и строителството, е предвидено в Закона за устройство на територията. </w:t>
      </w:r>
      <w:r w:rsidR="00DD63A4" w:rsidRPr="00B73D7E">
        <w:rPr>
          <w:lang w:val="bg-BG"/>
        </w:rPr>
        <w:t xml:space="preserve">Строителните норми за енергийните характеристики </w:t>
      </w:r>
      <w:r w:rsidRPr="00B73D7E">
        <w:rPr>
          <w:lang w:val="bg-BG"/>
        </w:rPr>
        <w:t>и изискванията за проектите се определят от</w:t>
      </w:r>
      <w:r w:rsidRPr="00B73D7E">
        <w:rPr>
          <w:i/>
          <w:lang w:val="bg-BG"/>
        </w:rPr>
        <w:t xml:space="preserve"> </w:t>
      </w:r>
      <w:r w:rsidRPr="00B73D7E">
        <w:rPr>
          <w:lang w:val="bg-BG"/>
        </w:rPr>
        <w:t>Наредба №7 за енергийна ефективност на сградите</w:t>
      </w:r>
      <w:r w:rsidR="001E0411" w:rsidRPr="00B73D7E">
        <w:rPr>
          <w:lang w:val="bg-BG"/>
        </w:rPr>
        <w:t xml:space="preserve"> и нейните последни изменения</w:t>
      </w:r>
      <w:r w:rsidRPr="00B73D7E">
        <w:rPr>
          <w:vertAlign w:val="superscript"/>
          <w:lang w:val="bg-BG"/>
        </w:rPr>
        <w:footnoteReference w:id="92"/>
      </w:r>
      <w:r w:rsidRPr="00B73D7E">
        <w:rPr>
          <w:lang w:val="bg-BG"/>
        </w:rPr>
        <w:t>.</w:t>
      </w:r>
      <w:r w:rsidR="00DD63A4" w:rsidRPr="00B73D7E">
        <w:rPr>
          <w:lang w:val="bg-BG"/>
        </w:rPr>
        <w:t xml:space="preserve">  </w:t>
      </w:r>
    </w:p>
    <w:p w:rsidR="004B1A4E" w:rsidRPr="00F8728A" w:rsidRDefault="004B1A4E">
      <w:pPr>
        <w:spacing w:after="0"/>
        <w:rPr>
          <w:rFonts w:ascii="Calibri" w:hAnsi="Calibri"/>
          <w:bCs/>
          <w:i/>
          <w:iCs/>
          <w:color w:val="2F5496"/>
          <w:sz w:val="24"/>
          <w:szCs w:val="24"/>
        </w:rPr>
      </w:pPr>
      <w:r w:rsidRPr="00F8728A">
        <w:br w:type="page"/>
      </w:r>
    </w:p>
    <w:p w:rsidR="00AA4661" w:rsidRPr="00F8728A" w:rsidRDefault="00AA4661" w:rsidP="00491557">
      <w:pPr>
        <w:pStyle w:val="Heading4"/>
        <w:rPr>
          <w:lang w:val="bg-BG"/>
        </w:rPr>
      </w:pPr>
      <w:r w:rsidRPr="00F8728A">
        <w:rPr>
          <w:lang w:val="bg-BG"/>
        </w:rPr>
        <w:lastRenderedPageBreak/>
        <w:t xml:space="preserve">Строителни </w:t>
      </w:r>
      <w:r w:rsidR="00A43231" w:rsidRPr="00F8728A">
        <w:rPr>
          <w:lang w:val="bg-BG"/>
        </w:rPr>
        <w:t>норми</w:t>
      </w:r>
      <w:r w:rsidRPr="00F8728A">
        <w:rPr>
          <w:lang w:val="bg-BG"/>
        </w:rPr>
        <w:t xml:space="preserve">, особено по отношение на екстремни температури </w:t>
      </w:r>
    </w:p>
    <w:p w:rsidR="00AA4661" w:rsidRPr="00B73D7E" w:rsidRDefault="00AA4661" w:rsidP="00CF297A">
      <w:pPr>
        <w:pStyle w:val="BodyText"/>
        <w:numPr>
          <w:ilvl w:val="0"/>
          <w:numId w:val="41"/>
        </w:numPr>
        <w:ind w:left="0" w:firstLine="0"/>
        <w:rPr>
          <w:i/>
          <w:color w:val="FF0000"/>
          <w:lang w:val="bg-BG"/>
        </w:rPr>
      </w:pPr>
      <w:r w:rsidRPr="00B73D7E">
        <w:rPr>
          <w:lang w:val="bg-BG"/>
        </w:rPr>
        <w:t xml:space="preserve">Строителните </w:t>
      </w:r>
      <w:r w:rsidR="00A43231" w:rsidRPr="00F8728A">
        <w:rPr>
          <w:lang w:val="bg-BG"/>
        </w:rPr>
        <w:t>норми</w:t>
      </w:r>
      <w:r w:rsidRPr="00B73D7E">
        <w:rPr>
          <w:lang w:val="bg-BG"/>
        </w:rPr>
        <w:t xml:space="preserve"> са включени в Закона за устройство на територията и в неговите подзаконови актове. Няма специални разпоредби за екстремни температури, с изключение на тези за конструкции и строителни материали. Транспонирането на</w:t>
      </w:r>
      <w:r w:rsidRPr="00B73D7E">
        <w:rPr>
          <w:i/>
          <w:lang w:val="bg-BG"/>
        </w:rPr>
        <w:t xml:space="preserve"> </w:t>
      </w:r>
      <w:r w:rsidRPr="00B73D7E">
        <w:rPr>
          <w:lang w:val="bg-BG"/>
        </w:rPr>
        <w:t>Еврокодовете</w:t>
      </w:r>
      <w:r w:rsidRPr="00B73D7E">
        <w:rPr>
          <w:vertAlign w:val="superscript"/>
          <w:lang w:val="bg-BG"/>
        </w:rPr>
        <w:footnoteReference w:id="93"/>
      </w:r>
      <w:r w:rsidRPr="00B73D7E">
        <w:rPr>
          <w:i/>
          <w:lang w:val="bg-BG"/>
        </w:rPr>
        <w:t xml:space="preserve"> </w:t>
      </w:r>
      <w:r w:rsidRPr="00B73D7E">
        <w:rPr>
          <w:lang w:val="bg-BG"/>
        </w:rPr>
        <w:t xml:space="preserve">и хармонизирането на съществуващите български държавни стандарти за строителни материали, технологии и конструкции гарантира тяхната сеизмична и огнеустойчивост, енергийна ефективност и други екологични изисквания. Неразделна част от Еврокодовете са националните приложения с национално дефинирани параметри, включително карти на хазарда и сеизмичното райониране на България и определени национални параметри и приложения за проектиране на  строителни конструкции за сеизмични въздействия в съответствие с Еврокод 8 и Климатични карти за въздействията на температурата, вятъра и снега в съответствие с климатичните зони в държавата и изискванията на Еврокодовете. </w:t>
      </w:r>
    </w:p>
    <w:p w:rsidR="00AA4661" w:rsidRPr="00B73D7E" w:rsidRDefault="00AA4661" w:rsidP="00491557">
      <w:pPr>
        <w:pStyle w:val="Heading4"/>
        <w:rPr>
          <w:lang w:val="bg-BG"/>
        </w:rPr>
      </w:pPr>
      <w:r w:rsidRPr="00B73D7E">
        <w:rPr>
          <w:lang w:val="bg-BG"/>
        </w:rPr>
        <w:t xml:space="preserve">Регламенти в областта на транспорта </w:t>
      </w:r>
    </w:p>
    <w:p w:rsidR="00AA4661" w:rsidRPr="00B73D7E" w:rsidRDefault="00AA4661" w:rsidP="00CF297A">
      <w:pPr>
        <w:pStyle w:val="BodyText"/>
        <w:numPr>
          <w:ilvl w:val="0"/>
          <w:numId w:val="41"/>
        </w:numPr>
        <w:ind w:left="0" w:firstLine="0"/>
        <w:rPr>
          <w:lang w:val="bg-BG"/>
        </w:rPr>
      </w:pPr>
      <w:r w:rsidRPr="00B73D7E">
        <w:rPr>
          <w:lang w:val="bg-BG"/>
        </w:rPr>
        <w:t>Планирането на градската мобилност е предмет на</w:t>
      </w:r>
      <w:r w:rsidRPr="00B73D7E">
        <w:rPr>
          <w:i/>
          <w:lang w:val="bg-BG"/>
        </w:rPr>
        <w:t xml:space="preserve"> </w:t>
      </w:r>
      <w:r w:rsidRPr="00B73D7E">
        <w:rPr>
          <w:lang w:val="bg-BG"/>
        </w:rPr>
        <w:t>Наредба № 2 за планиране и проектиране на транспортно-комуникационни системи в урбанизираните територии</w:t>
      </w:r>
      <w:r w:rsidRPr="00B73D7E">
        <w:rPr>
          <w:vertAlign w:val="superscript"/>
          <w:lang w:val="bg-BG"/>
        </w:rPr>
        <w:footnoteReference w:id="94"/>
      </w:r>
      <w:r w:rsidRPr="00B73D7E">
        <w:rPr>
          <w:lang w:val="bg-BG"/>
        </w:rPr>
        <w:t>.</w:t>
      </w:r>
      <w:r w:rsidRPr="00B73D7E">
        <w:rPr>
          <w:i/>
          <w:lang w:val="bg-BG"/>
        </w:rPr>
        <w:t xml:space="preserve"> </w:t>
      </w:r>
      <w:r w:rsidRPr="00B73D7E">
        <w:rPr>
          <w:lang w:val="bg-BG"/>
        </w:rPr>
        <w:t>Той няма пряка връзка с АИК. Неотдавнашните разширени разпоредби за планирането и проектирането на велосипедните мрежи отразяват цялостната политика на страната за по-интелигентна и екологична мобилност, като по този начин се засяга пряко качеството на въздуха и човешкото здраве.</w:t>
      </w:r>
    </w:p>
    <w:p w:rsidR="00AA4661" w:rsidRPr="00B73D7E" w:rsidRDefault="00AA4661" w:rsidP="00491557">
      <w:pPr>
        <w:pStyle w:val="Heading4"/>
        <w:rPr>
          <w:lang w:val="bg-BG"/>
        </w:rPr>
      </w:pPr>
      <w:r w:rsidRPr="00B73D7E">
        <w:rPr>
          <w:lang w:val="bg-BG"/>
        </w:rPr>
        <w:t xml:space="preserve">Закони за ползване и управление на земята </w:t>
      </w:r>
    </w:p>
    <w:p w:rsidR="00AA4661" w:rsidRPr="00B73D7E" w:rsidRDefault="00AA4661" w:rsidP="00CF297A">
      <w:pPr>
        <w:pStyle w:val="BodyText"/>
        <w:numPr>
          <w:ilvl w:val="0"/>
          <w:numId w:val="41"/>
        </w:numPr>
        <w:ind w:left="0" w:firstLine="0"/>
        <w:rPr>
          <w:lang w:val="bg-BG"/>
        </w:rPr>
      </w:pPr>
      <w:r w:rsidRPr="00B73D7E">
        <w:rPr>
          <w:lang w:val="bg-BG"/>
        </w:rPr>
        <w:t>Законът за опазване на земеделските земи</w:t>
      </w:r>
      <w:r w:rsidRPr="00B73D7E">
        <w:rPr>
          <w:rStyle w:val="FootnoteReference"/>
          <w:lang w:val="bg-BG"/>
        </w:rPr>
        <w:footnoteReference w:id="95"/>
      </w:r>
      <w:r w:rsidRPr="00B73D7E">
        <w:rPr>
          <w:lang w:val="bg-BG"/>
        </w:rPr>
        <w:t xml:space="preserve"> и Законът за горите</w:t>
      </w:r>
      <w:r w:rsidRPr="00B73D7E">
        <w:rPr>
          <w:vertAlign w:val="superscript"/>
          <w:lang w:val="bg-BG"/>
        </w:rPr>
        <w:footnoteReference w:id="96"/>
      </w:r>
      <w:r w:rsidRPr="00B73D7E">
        <w:rPr>
          <w:lang w:val="bg-BG"/>
        </w:rPr>
        <w:t xml:space="preserve"> са двата основни закона за ползване, поддържане и управление на тези територии извън урбанизираните. Хармонизирането на двата закона със Закона за устройство на територията се осъществява до известна степен с общи разпоредби и правилници, регламентиращи допустимото строителство. Трансформирането на земеделски и горски територии в урбанизирани е под юрисдикцията на няколко законодателни области, но въпреки сложните процедури има слаби резултати в ограничаването на разрастването на градовете и опазването на плодородната земя. Законът за горите определя и правилата за поддръжка на зоните за противопожарна защита. Въпросите по планирането на земеползването са свързани и със Закона за кадастъра и имотния регистър</w:t>
      </w:r>
      <w:r w:rsidRPr="00B73D7E">
        <w:rPr>
          <w:vertAlign w:val="superscript"/>
          <w:lang w:val="bg-BG"/>
        </w:rPr>
        <w:footnoteReference w:id="97"/>
      </w:r>
      <w:r w:rsidRPr="00B73D7E">
        <w:rPr>
          <w:lang w:val="bg-BG"/>
        </w:rPr>
        <w:t>, който определя, наред с други неща, границите на собствеността, водните ресурси и правилата за изготвяне на кадастралните карти.</w:t>
      </w:r>
    </w:p>
    <w:p w:rsidR="00AA4661" w:rsidRPr="00B73D7E" w:rsidRDefault="00AA4661" w:rsidP="00491557">
      <w:pPr>
        <w:pStyle w:val="Heading4"/>
        <w:rPr>
          <w:color w:val="FF0000"/>
          <w:lang w:val="bg-BG"/>
        </w:rPr>
      </w:pPr>
      <w:r w:rsidRPr="00B73D7E">
        <w:rPr>
          <w:lang w:val="bg-BG"/>
        </w:rPr>
        <w:t xml:space="preserve">Законодателство за водоснабдяване </w:t>
      </w:r>
    </w:p>
    <w:p w:rsidR="00AA4661" w:rsidRPr="00B73D7E" w:rsidRDefault="00AA4661" w:rsidP="00CF297A">
      <w:pPr>
        <w:pStyle w:val="BodyText"/>
        <w:numPr>
          <w:ilvl w:val="0"/>
          <w:numId w:val="41"/>
        </w:numPr>
        <w:ind w:left="0" w:firstLine="0"/>
        <w:rPr>
          <w:color w:val="FF0000"/>
          <w:lang w:val="bg-BG"/>
        </w:rPr>
      </w:pPr>
      <w:r w:rsidRPr="00B73D7E">
        <w:rPr>
          <w:lang w:val="bg-BG"/>
        </w:rPr>
        <w:t>Законът за водите</w:t>
      </w:r>
      <w:r w:rsidRPr="00B73D7E">
        <w:rPr>
          <w:vertAlign w:val="superscript"/>
          <w:lang w:val="bg-BG"/>
        </w:rPr>
        <w:footnoteReference w:id="98"/>
      </w:r>
      <w:r w:rsidRPr="00B73D7E">
        <w:rPr>
          <w:lang w:val="bg-BG"/>
        </w:rPr>
        <w:t xml:space="preserve"> транспонира Директивата на ЕС за водите (2000/60/ЕС) и урежда собствеността и управлението на водите и водните системи и съоръжения, насочени към интегрирано управление. Основните му цели са доставка на качествени </w:t>
      </w:r>
      <w:r w:rsidRPr="00B73D7E">
        <w:rPr>
          <w:lang w:val="bg-BG"/>
        </w:rPr>
        <w:lastRenderedPageBreak/>
        <w:t>повърхностни и подземни води, намаляване на замърсяването, опазване на повърхностните, подземните води и водите на Черно море, всички те свързани с градската среда и човешкото здраве. Водоснабдяването и канализацията в населените места се управляват като част от цялостната водна политика на страната и в съответствие с приетите национални стратегии. Планирането и проектирането на тези две системи се регулират от Закона за устройство на територията и от специалните нормативни актове по техническите правила и норми.</w:t>
      </w:r>
    </w:p>
    <w:p w:rsidR="00AA4661" w:rsidRPr="00B73D7E" w:rsidRDefault="00AA4661" w:rsidP="00491557">
      <w:pPr>
        <w:pStyle w:val="Heading3"/>
        <w:numPr>
          <w:ilvl w:val="2"/>
          <w:numId w:val="25"/>
        </w:numPr>
        <w:autoSpaceDE/>
        <w:autoSpaceDN/>
        <w:adjustRightInd/>
        <w:spacing w:before="160"/>
        <w:ind w:left="0" w:firstLine="0"/>
        <w:rPr>
          <w:lang w:val="bg-BG"/>
        </w:rPr>
      </w:pPr>
      <w:bookmarkStart w:id="232" w:name="_Toc486259775"/>
      <w:bookmarkStart w:id="233" w:name="_Toc486942183"/>
      <w:bookmarkStart w:id="234" w:name="_Toc501454860"/>
      <w:bookmarkStart w:id="235" w:name="_Toc522030562"/>
      <w:bookmarkStart w:id="236" w:name="_Toc529285547"/>
      <w:r w:rsidRPr="00B73D7E">
        <w:rPr>
          <w:lang w:val="bg-BG"/>
        </w:rPr>
        <w:t>Стратегии и планове, свързани с АИК за градската среда</w:t>
      </w:r>
      <w:bookmarkEnd w:id="232"/>
      <w:bookmarkEnd w:id="233"/>
      <w:bookmarkEnd w:id="234"/>
      <w:bookmarkEnd w:id="235"/>
      <w:bookmarkEnd w:id="236"/>
    </w:p>
    <w:p w:rsidR="00AA4661" w:rsidRPr="00B73D7E" w:rsidRDefault="00AA4661" w:rsidP="00CF297A">
      <w:pPr>
        <w:pStyle w:val="BodyText"/>
        <w:numPr>
          <w:ilvl w:val="0"/>
          <w:numId w:val="41"/>
        </w:numPr>
        <w:ind w:left="0" w:firstLine="0"/>
        <w:rPr>
          <w:lang w:val="bg-BG"/>
        </w:rPr>
      </w:pPr>
      <w:r w:rsidRPr="00B73D7E">
        <w:rPr>
          <w:color w:val="000000"/>
          <w:lang w:val="bg-BG"/>
        </w:rPr>
        <w:t>Единственият</w:t>
      </w:r>
      <w:r w:rsidRPr="00B73D7E">
        <w:rPr>
          <w:lang w:val="bg-BG"/>
        </w:rPr>
        <w:t xml:space="preserve"> национален документ, пряко свързан с АИК, е националн</w:t>
      </w:r>
      <w:r w:rsidR="00A43231" w:rsidRPr="00F8728A">
        <w:rPr>
          <w:lang w:val="bg-BG"/>
        </w:rPr>
        <w:t>ия</w:t>
      </w:r>
      <w:r w:rsidRPr="00B73D7E">
        <w:rPr>
          <w:b/>
          <w:lang w:val="bg-BG"/>
        </w:rPr>
        <w:t xml:space="preserve"> </w:t>
      </w:r>
      <w:r w:rsidR="00A43231" w:rsidRPr="00B73D7E">
        <w:rPr>
          <w:b/>
          <w:lang w:val="bg-BG"/>
        </w:rPr>
        <w:t>“Анализ и оценка на риска и уязвимостта на секторите в българската икономика от климатичните промени</w:t>
      </w:r>
      <w:r w:rsidR="00A43231" w:rsidRPr="00F8728A">
        <w:rPr>
          <w:b/>
          <w:lang w:val="bg-BG"/>
        </w:rPr>
        <w:t>“ от</w:t>
      </w:r>
      <w:r w:rsidR="00A43231" w:rsidRPr="00B73D7E">
        <w:rPr>
          <w:b/>
          <w:lang w:val="bg-BG"/>
        </w:rPr>
        <w:t xml:space="preserve"> </w:t>
      </w:r>
      <w:r w:rsidRPr="00B73D7E">
        <w:rPr>
          <w:b/>
          <w:lang w:val="bg-BG"/>
        </w:rPr>
        <w:t>2014 г.</w:t>
      </w:r>
      <w:r w:rsidRPr="00B73D7E">
        <w:rPr>
          <w:b/>
          <w:vertAlign w:val="superscript"/>
          <w:lang w:val="bg-BG"/>
        </w:rPr>
        <w:footnoteReference w:id="99"/>
      </w:r>
      <w:r w:rsidRPr="00B73D7E">
        <w:rPr>
          <w:lang w:val="bg-BG"/>
        </w:rPr>
        <w:t xml:space="preserve"> Тя включва задълбочен анализ на методологиите, прилагани в други страни, и ясно структурирана обща рамка за оценка на различните сектори.</w:t>
      </w:r>
      <w:r w:rsidR="004368A4" w:rsidRPr="00F8728A">
        <w:rPr>
          <w:lang w:val="bg-BG"/>
        </w:rPr>
        <w:t xml:space="preserve"> </w:t>
      </w:r>
      <w:r w:rsidRPr="00B73D7E">
        <w:rPr>
          <w:lang w:val="bg-BG"/>
        </w:rPr>
        <w:t xml:space="preserve"> Секторът на градската среда е отделен от сектора "Строителство и инфраструктура". Анализът обхваща историческото развитие на българските градове, процесите на урбанизация, жилищния модел и структура и някои норми за градските зелени площи. Класификацията на градовете се приема от съществуващите наредби с пет категории населени места.  Идентифицирани са шест вида градски територии - с високо, средно и нискоетажно жилищно строителство, територии за обществено обслужване, индустриални зони и зелени площи, отчитайки различен тип плътност на застрояване и средни устройствени показатели за оценка на въздействията при екстремни температури и валежи. Оценката на рисковете и уязвимостта на изменението на климата, аналогично на приетия подход за всички сектори, се основава на сценариите на IPCC и определя градската среда като ‘изключително устойчива</w:t>
      </w:r>
      <w:r w:rsidR="004368A4" w:rsidRPr="00F8728A">
        <w:rPr>
          <w:lang w:val="bg-BG"/>
        </w:rPr>
        <w:t xml:space="preserve"> на очакваните въздействия до 2035 г., докогато не се очакват дра</w:t>
      </w:r>
      <w:r w:rsidR="00C63EF8" w:rsidRPr="00F8728A">
        <w:rPr>
          <w:lang w:val="bg-BG"/>
        </w:rPr>
        <w:t>матични промени</w:t>
      </w:r>
      <w:r w:rsidRPr="00B73D7E">
        <w:rPr>
          <w:lang w:val="bg-BG"/>
        </w:rPr>
        <w:t>.</w:t>
      </w:r>
      <w:r w:rsidR="00A36B5E" w:rsidRPr="00B73D7E">
        <w:rPr>
          <w:lang w:val="bg-BG"/>
        </w:rPr>
        <w:t xml:space="preserve"> </w:t>
      </w:r>
      <w:r w:rsidR="00A36B5E" w:rsidRPr="00F8728A">
        <w:rPr>
          <w:lang w:val="bg-BG"/>
        </w:rPr>
        <w:t>Съгласно изводите и предвижданията, използвани в този анализ, секторът Градска среда ще бъде един от потенциално най-уязвимите на повишените средни температури, специално през лятото, както и на повишения интензитет на очакваните екстремни „горещи“ събития. Измененията в климата особено силно ще засегнат големите градове със значит</w:t>
      </w:r>
      <w:r w:rsidR="005645AE" w:rsidRPr="00F8728A">
        <w:rPr>
          <w:lang w:val="bg-BG"/>
        </w:rPr>
        <w:t>елни (по площ и брой сгради) пане</w:t>
      </w:r>
      <w:r w:rsidR="00A36B5E" w:rsidRPr="00F8728A">
        <w:rPr>
          <w:lang w:val="bg-BG"/>
        </w:rPr>
        <w:t xml:space="preserve">лни жилищни комплекси, повечето от които не са енергийно обновени. </w:t>
      </w:r>
    </w:p>
    <w:p w:rsidR="00AA4661" w:rsidRPr="00B73D7E" w:rsidRDefault="00AA4661" w:rsidP="00CF297A">
      <w:pPr>
        <w:pStyle w:val="BodyText"/>
        <w:numPr>
          <w:ilvl w:val="0"/>
          <w:numId w:val="41"/>
        </w:numPr>
        <w:ind w:left="0" w:firstLine="0"/>
        <w:rPr>
          <w:lang w:val="bg-BG"/>
        </w:rPr>
      </w:pPr>
      <w:r w:rsidRPr="00B73D7E">
        <w:rPr>
          <w:lang w:val="bg-BG"/>
        </w:rPr>
        <w:t>Плановете за адаптиране към изменението на климата на местно ниво се изготвят главно в рамките на инициативата "Споразумение на кметовете". Добри примери са тези за градовете София, Бургас и Димитровград</w:t>
      </w:r>
      <w:r w:rsidRPr="00B73D7E">
        <w:rPr>
          <w:vertAlign w:val="superscript"/>
          <w:lang w:val="bg-BG"/>
        </w:rPr>
        <w:footnoteReference w:id="100"/>
      </w:r>
      <w:r w:rsidRPr="00B73D7E">
        <w:rPr>
          <w:lang w:val="bg-BG"/>
        </w:rPr>
        <w:t>.</w:t>
      </w:r>
    </w:p>
    <w:p w:rsidR="00AA4661" w:rsidRPr="00B73D7E" w:rsidRDefault="00AA4661" w:rsidP="00CF297A">
      <w:pPr>
        <w:pStyle w:val="BodyText"/>
        <w:numPr>
          <w:ilvl w:val="0"/>
          <w:numId w:val="41"/>
        </w:numPr>
        <w:spacing w:after="60"/>
        <w:ind w:left="0" w:firstLine="0"/>
        <w:rPr>
          <w:lang w:val="bg-BG"/>
        </w:rPr>
      </w:pPr>
      <w:r w:rsidRPr="00B73D7E">
        <w:rPr>
          <w:lang w:val="bg-BG"/>
        </w:rPr>
        <w:t>Друга група документи е изготвена за предотвратяване на природни бедствия, намаляване на вредното въздействие върху градската среда, инфраструктурата и населението и възстановяване на щетите:</w:t>
      </w:r>
    </w:p>
    <w:p w:rsidR="00AA4661" w:rsidRPr="00FB4561" w:rsidRDefault="00FB4561" w:rsidP="00FB4561">
      <w:pPr>
        <w:pStyle w:val="ListParagraph1"/>
        <w:numPr>
          <w:ilvl w:val="0"/>
          <w:numId w:val="64"/>
        </w:numPr>
        <w:tabs>
          <w:tab w:val="left" w:pos="720"/>
        </w:tabs>
        <w:spacing w:before="60" w:after="60"/>
        <w:ind w:left="720"/>
        <w:contextualSpacing w:val="0"/>
        <w:jc w:val="both"/>
        <w:rPr>
          <w:rFonts w:ascii="Times New Roman" w:eastAsia="MS Mincho" w:hAnsi="Times New Roman"/>
          <w:sz w:val="24"/>
          <w:szCs w:val="24"/>
          <w:lang w:val="bg-BG"/>
        </w:rPr>
      </w:pPr>
      <w:r w:rsidRPr="00FB4561">
        <w:rPr>
          <w:rFonts w:ascii="Times New Roman" w:hAnsi="Times New Roman"/>
          <w:b/>
          <w:sz w:val="24"/>
          <w:szCs w:val="24"/>
          <w:lang w:val="bg-BG"/>
        </w:rPr>
        <w:t xml:space="preserve">Национална стратегия за намаляване на риска от бедствия (2018-2030 г.) </w:t>
      </w:r>
      <w:r w:rsidR="00AA4661" w:rsidRPr="00B73D7E">
        <w:rPr>
          <w:rStyle w:val="FootnoteReference"/>
          <w:rFonts w:ascii="Times New Roman" w:hAnsi="Times New Roman"/>
          <w:sz w:val="24"/>
          <w:szCs w:val="24"/>
          <w:lang w:val="bg-BG"/>
        </w:rPr>
        <w:footnoteReference w:id="101"/>
      </w:r>
      <w:r w:rsidR="00AA4661" w:rsidRPr="00FB4561">
        <w:rPr>
          <w:rFonts w:ascii="Times New Roman" w:hAnsi="Times New Roman"/>
          <w:sz w:val="24"/>
          <w:szCs w:val="24"/>
          <w:lang w:val="bg-BG"/>
        </w:rPr>
        <w:t xml:space="preserve"> идентифицира основните рискове за страната (земетресения, наводнения, </w:t>
      </w:r>
      <w:r w:rsidR="00AA4661" w:rsidRPr="00FB4561">
        <w:rPr>
          <w:rFonts w:ascii="Times New Roman" w:hAnsi="Times New Roman"/>
          <w:sz w:val="24"/>
          <w:szCs w:val="24"/>
          <w:lang w:val="bg-BG"/>
        </w:rPr>
        <w:lastRenderedPageBreak/>
        <w:t>свлачища, горски пожари, бури и градушки и др.), както и институции</w:t>
      </w:r>
      <w:r w:rsidR="00AA4661" w:rsidRPr="00A079EB">
        <w:rPr>
          <w:rFonts w:ascii="Times New Roman" w:hAnsi="Times New Roman"/>
          <w:sz w:val="24"/>
          <w:szCs w:val="24"/>
          <w:lang w:val="bg-BG"/>
        </w:rPr>
        <w:t>те, отговарящи за намаляването на риска от бедствия - всички министерства и ведомства, регионални администрации, общини, бърза помощ, здравни заведения, юридически лиц</w:t>
      </w:r>
      <w:r w:rsidR="00AA4661" w:rsidRPr="004D5E3F">
        <w:rPr>
          <w:rFonts w:ascii="Times New Roman" w:hAnsi="Times New Roman"/>
          <w:sz w:val="24"/>
          <w:szCs w:val="24"/>
          <w:lang w:val="bg-BG"/>
        </w:rPr>
        <w:t>а и еднолични търговци, доброволчески структури и звена на армията, Главна дирекция "Пожарна безопасност и защита на населението" на Министерството на вътрешните работи (МВР).</w:t>
      </w:r>
    </w:p>
    <w:p w:rsidR="00AA4661" w:rsidRPr="00B73D7E" w:rsidRDefault="00AA4661" w:rsidP="00CF297A">
      <w:pPr>
        <w:pStyle w:val="ListParagraph1"/>
        <w:numPr>
          <w:ilvl w:val="0"/>
          <w:numId w:val="64"/>
        </w:numPr>
        <w:tabs>
          <w:tab w:val="left" w:pos="679"/>
          <w:tab w:val="left" w:pos="810"/>
        </w:tabs>
        <w:spacing w:before="60"/>
        <w:ind w:left="720"/>
        <w:contextualSpacing w:val="0"/>
        <w:jc w:val="both"/>
        <w:rPr>
          <w:rFonts w:ascii="Times New Roman" w:eastAsia="MS Mincho" w:hAnsi="Times New Roman"/>
          <w:sz w:val="24"/>
          <w:szCs w:val="24"/>
          <w:lang w:val="bg-BG"/>
        </w:rPr>
      </w:pPr>
      <w:r w:rsidRPr="00B73D7E">
        <w:rPr>
          <w:rFonts w:ascii="Times New Roman" w:hAnsi="Times New Roman"/>
          <w:b/>
          <w:sz w:val="24"/>
          <w:szCs w:val="24"/>
          <w:lang w:val="bg-BG"/>
        </w:rPr>
        <w:t>Националната програма за защита при бедствия (2014–2018)</w:t>
      </w:r>
      <w:r w:rsidRPr="00B73D7E">
        <w:rPr>
          <w:rStyle w:val="FootnoteReference"/>
          <w:rFonts w:ascii="Times New Roman" w:hAnsi="Times New Roman"/>
          <w:sz w:val="24"/>
          <w:szCs w:val="24"/>
          <w:lang w:val="bg-BG"/>
        </w:rPr>
        <w:footnoteReference w:id="102"/>
      </w:r>
      <w:r w:rsidRPr="00B73D7E">
        <w:rPr>
          <w:rFonts w:ascii="Times New Roman" w:hAnsi="Times New Roman"/>
          <w:sz w:val="24"/>
          <w:szCs w:val="24"/>
          <w:lang w:val="bg-BG"/>
        </w:rPr>
        <w:t xml:space="preserve"> уточнява задълженията на министъра на регионалното развитие и благоустройството за мониторинг на свлачищните територии в страната и абразивните и ерозионните процеси по Черноморското и Дунавското крайбрежие. Чрез АПИ министърът управлява националните пътища и тяхната оперативна поддръжка, както и осигурява евакуационни пътища за населението. Чрез държавните ВиК дружества министърът осигурява опазването на водните ресурси и водоснабдителните системи, контролира разработването и изпълнението на аварийни планове за тези дружества, включително водоснабдяване за противопожарни цели в райони с бедствия. Той също така координира събирането на информация, свързана с водоснабдяването и канализацията, по време на отстраняване  на последствията от бедствия, аварии и катастрофи.</w:t>
      </w:r>
    </w:p>
    <w:p w:rsidR="00AA4661" w:rsidRPr="00B73D7E" w:rsidRDefault="00AA4661" w:rsidP="00CF297A">
      <w:pPr>
        <w:pStyle w:val="BodyText"/>
        <w:numPr>
          <w:ilvl w:val="0"/>
          <w:numId w:val="41"/>
        </w:numPr>
        <w:spacing w:after="60"/>
        <w:ind w:left="0" w:firstLine="0"/>
        <w:rPr>
          <w:lang w:val="bg-BG"/>
        </w:rPr>
      </w:pPr>
      <w:r w:rsidRPr="00B73D7E">
        <w:rPr>
          <w:lang w:val="bg-BG"/>
        </w:rPr>
        <w:t>Следните документи са непряко свързани с АИК, но са важни за цялостната градска среда, стандарта на живот и намаляване на уязвимостта.</w:t>
      </w:r>
    </w:p>
    <w:p w:rsidR="00AA4661" w:rsidRPr="00B73D7E" w:rsidRDefault="00AA4661" w:rsidP="00CF297A">
      <w:pPr>
        <w:pStyle w:val="BodyText"/>
        <w:numPr>
          <w:ilvl w:val="0"/>
          <w:numId w:val="65"/>
        </w:numPr>
        <w:spacing w:after="60"/>
        <w:ind w:left="720"/>
        <w:rPr>
          <w:lang w:val="bg-BG"/>
        </w:rPr>
      </w:pPr>
      <w:r w:rsidRPr="00B73D7E">
        <w:rPr>
          <w:b/>
          <w:lang w:val="bg-BG"/>
        </w:rPr>
        <w:t>Националната стратегия за управление и развитие на водния сектор в Република България,</w:t>
      </w:r>
      <w:r w:rsidRPr="00B73D7E">
        <w:rPr>
          <w:rStyle w:val="FootnoteReference"/>
          <w:lang w:val="bg-BG"/>
        </w:rPr>
        <w:footnoteReference w:id="103"/>
      </w:r>
      <w:r w:rsidRPr="00B73D7E">
        <w:rPr>
          <w:lang w:val="bg-BG"/>
        </w:rPr>
        <w:t xml:space="preserve"> придружена от План за действие за краткосрочните (2013-2015 г.), средносрочните (2016-2021 г.) и дългосрочните перспективи (2022-2037 г.), е приета от Министерски съвет през 2012 г. (ДВ, бр. 96 от 06.12.2012 г.). Основната дългосрочна цел на стратегията е "Устойчиво ползване на водните ресурси, осигуряващо в оптимална степен сегашните и бъдещите нужди на населението и икономиката на страната, както и на водните екосистеми". Документът предлага цялостен анализ и оценка на водния сектор, капацитета на основните институции и доставчици на услуги, и основните приоритети на националната политика за опазване на водните ресурси. Сред основните заплахи за населението и икономиката са глобалните климатични изменения и рисковете от засушаване.</w:t>
      </w:r>
    </w:p>
    <w:p w:rsidR="00AA4661" w:rsidRPr="00B73D7E" w:rsidRDefault="00AA4661" w:rsidP="00CF297A">
      <w:pPr>
        <w:pStyle w:val="BodyText"/>
        <w:numPr>
          <w:ilvl w:val="0"/>
          <w:numId w:val="65"/>
        </w:numPr>
        <w:spacing w:after="60"/>
        <w:ind w:left="720"/>
        <w:rPr>
          <w:lang w:val="bg-BG"/>
        </w:rPr>
      </w:pPr>
      <w:r w:rsidRPr="00B73D7E">
        <w:rPr>
          <w:b/>
          <w:lang w:val="bg-BG"/>
        </w:rPr>
        <w:t>Стратегията за развитие и управление на водоснабдяването и канализацията в Република България 2014–2023</w:t>
      </w:r>
      <w:r w:rsidRPr="00B73D7E">
        <w:rPr>
          <w:rStyle w:val="FootnoteReference"/>
          <w:lang w:val="bg-BG"/>
        </w:rPr>
        <w:footnoteReference w:id="104"/>
      </w:r>
      <w:r w:rsidRPr="00B73D7E">
        <w:rPr>
          <w:lang w:val="bg-BG"/>
        </w:rPr>
        <w:t xml:space="preserve"> се прилага. Недостигът на питейна вода се следи и контролира и се предвижда да бъде намален след изпълнението на интегрираните планове за водоснабдяване в някои големи и малки градове. Планирането на водоснабдителните системи и съоръженията се осъществява чрез (а) регионални  генерални планове за водоснабдяване и канализация и б) генерални планове за водоснабдителната и канализационната </w:t>
      </w:r>
      <w:r w:rsidRPr="00B73D7E">
        <w:rPr>
          <w:lang w:val="bg-BG"/>
        </w:rPr>
        <w:lastRenderedPageBreak/>
        <w:t>система в агломерации (населени места) над 10</w:t>
      </w:r>
      <w:r w:rsidR="00EC4EB3">
        <w:rPr>
          <w:lang w:val="bg-BG"/>
        </w:rPr>
        <w:t xml:space="preserve"> </w:t>
      </w:r>
      <w:r w:rsidRPr="00B73D7E">
        <w:rPr>
          <w:lang w:val="bg-BG"/>
        </w:rPr>
        <w:t>000 еквивалентни жители. Резултатите от мониторинга на Националния план за действие се предвижда да бъдат отчетени през 2017 г. и 2021 г.</w:t>
      </w:r>
    </w:p>
    <w:p w:rsidR="00AA4661" w:rsidRPr="00B73D7E" w:rsidRDefault="00AA4661" w:rsidP="00CF297A">
      <w:pPr>
        <w:pStyle w:val="BodyText"/>
        <w:numPr>
          <w:ilvl w:val="0"/>
          <w:numId w:val="65"/>
        </w:numPr>
        <w:spacing w:after="60"/>
        <w:ind w:left="720"/>
        <w:rPr>
          <w:lang w:val="bg-BG"/>
        </w:rPr>
      </w:pPr>
      <w:r w:rsidRPr="00B73D7E">
        <w:rPr>
          <w:lang w:val="bg-BG"/>
        </w:rPr>
        <w:t xml:space="preserve">Основните планови документи за интегрирано управление на водите на регионално ниво са </w:t>
      </w:r>
      <w:r w:rsidRPr="00B73D7E">
        <w:rPr>
          <w:b/>
          <w:lang w:val="bg-BG"/>
        </w:rPr>
        <w:t>Плановете за управление на речните басейни (2016–2021 г.),</w:t>
      </w:r>
      <w:r w:rsidRPr="00B73D7E">
        <w:rPr>
          <w:rStyle w:val="FootnoteReference"/>
          <w:lang w:val="bg-BG"/>
        </w:rPr>
        <w:footnoteReference w:id="105"/>
      </w:r>
      <w:r w:rsidRPr="00B73D7E">
        <w:rPr>
          <w:lang w:val="bg-BG"/>
        </w:rPr>
        <w:t xml:space="preserve"> които имат за задача да осигурят достатъчно вода с необходимите качество и количества за нуждите на населението, икономиката и екосистемите. </w:t>
      </w:r>
      <w:r w:rsidRPr="00B73D7E">
        <w:rPr>
          <w:b/>
          <w:lang w:val="bg-BG"/>
        </w:rPr>
        <w:t>Плановете за управление на риска от наводнения</w:t>
      </w:r>
      <w:r w:rsidRPr="00B73D7E">
        <w:rPr>
          <w:lang w:val="bg-BG"/>
        </w:rPr>
        <w:t xml:space="preserve"> </w:t>
      </w:r>
      <w:r w:rsidRPr="00B73D7E">
        <w:rPr>
          <w:b/>
          <w:lang w:val="bg-BG"/>
        </w:rPr>
        <w:t>(2016–2021)</w:t>
      </w:r>
      <w:r w:rsidRPr="00B73D7E">
        <w:rPr>
          <w:rStyle w:val="FootnoteReference"/>
          <w:lang w:val="bg-BG"/>
        </w:rPr>
        <w:footnoteReference w:id="106"/>
      </w:r>
      <w:r w:rsidRPr="00B73D7E">
        <w:rPr>
          <w:lang w:val="bg-BG"/>
        </w:rPr>
        <w:t xml:space="preserve">  определят зони с риск от наводнения, които следва да бъдат взети под внимание при изготвянето на общите устройствени планове на общините, като по този начин се защити населението и сградния фонд. Двата вида планове, разработени за четирите басейнови дирекции и техните екологични оценки, са приети от Министерски съвет през декември 2016 г. Те предлагат мерки за защита на речните води и екосистеми  и за управление на рисковете от изменението на климата на общинско ниво, и включват всички отговорности за основните участници.</w:t>
      </w:r>
    </w:p>
    <w:p w:rsidR="00AA4661" w:rsidRPr="00B73D7E" w:rsidRDefault="00AA4661" w:rsidP="00CF297A">
      <w:pPr>
        <w:pStyle w:val="BodyText"/>
        <w:numPr>
          <w:ilvl w:val="0"/>
          <w:numId w:val="65"/>
        </w:numPr>
        <w:spacing w:after="60"/>
        <w:ind w:left="720"/>
        <w:rPr>
          <w:lang w:val="bg-BG"/>
        </w:rPr>
      </w:pPr>
      <w:r w:rsidRPr="00B73D7E">
        <w:rPr>
          <w:b/>
          <w:lang w:val="bg-BG"/>
        </w:rPr>
        <w:t>Националната стратегия за намаляване на бедността и насърчаване на социалното приобщаване 2020</w:t>
      </w:r>
      <w:r w:rsidRPr="00B73D7E">
        <w:rPr>
          <w:rStyle w:val="FootnoteReference"/>
          <w:lang w:val="bg-BG"/>
        </w:rPr>
        <w:footnoteReference w:id="107"/>
      </w:r>
      <w:r w:rsidRPr="00B73D7E">
        <w:rPr>
          <w:lang w:val="bg-BG"/>
        </w:rPr>
        <w:t xml:space="preserve"> е насочена към най-уязвимите групи от населението - застаряващи, болни, инвалиди, бедни, роми и бездомни. Предвидените мерки имат за цел да подобрят възможностите за намиране на работа и завръщане на пазара на труда, образование и обучение, подобряване на социалните услуги и социалното подпомагане, осигуряване на подслон и достоен живот и осигуряване на достъпна градска среда. Партньорството и взаимодействието в областта на образованието, здравеопазването, заетостта и социалните услуги се считат за задължителни за постигането на общите цели за социално включване. Има няколко стратегии за интеграция на ромите, но резултатите са обезкуражаващи.</w:t>
      </w:r>
    </w:p>
    <w:p w:rsidR="00AA4661" w:rsidRPr="00B73D7E" w:rsidRDefault="00AA4661" w:rsidP="00CF297A">
      <w:pPr>
        <w:pStyle w:val="BodyText"/>
        <w:numPr>
          <w:ilvl w:val="0"/>
          <w:numId w:val="65"/>
        </w:numPr>
        <w:ind w:left="720"/>
        <w:rPr>
          <w:lang w:val="bg-BG"/>
        </w:rPr>
      </w:pPr>
      <w:r w:rsidRPr="00B73D7E">
        <w:rPr>
          <w:b/>
          <w:lang w:val="bg-BG"/>
        </w:rPr>
        <w:t xml:space="preserve">Методиката за анализ, оценка и картографиране на сеизмичния риск на България </w:t>
      </w:r>
      <w:r w:rsidRPr="00B73D7E">
        <w:rPr>
          <w:lang w:val="bg-BG"/>
        </w:rPr>
        <w:t>е в процес на разработване от Националния институт по геофизика, геодезия и география към БАН, възложена от МРРБ и трябва да е готова до ноември 2017 г.</w:t>
      </w:r>
    </w:p>
    <w:p w:rsidR="00AA4661" w:rsidRPr="00B73D7E" w:rsidRDefault="00AA4661" w:rsidP="00CF297A">
      <w:pPr>
        <w:pStyle w:val="BodyText"/>
        <w:numPr>
          <w:ilvl w:val="0"/>
          <w:numId w:val="41"/>
        </w:numPr>
        <w:ind w:left="0" w:firstLine="0"/>
        <w:rPr>
          <w:lang w:val="bg-BG"/>
        </w:rPr>
      </w:pPr>
      <w:r w:rsidRPr="00B73D7E">
        <w:rPr>
          <w:lang w:val="bg-BG"/>
        </w:rPr>
        <w:t>Всички тези документи обновяват информацията, генерират нови знания и допринасят за развитието на информираността за АИК.</w:t>
      </w:r>
    </w:p>
    <w:p w:rsidR="00AA4661" w:rsidRPr="00B73D7E" w:rsidRDefault="00AA4661" w:rsidP="00CF297A">
      <w:pPr>
        <w:pStyle w:val="BodyText"/>
        <w:numPr>
          <w:ilvl w:val="0"/>
          <w:numId w:val="41"/>
        </w:numPr>
        <w:ind w:left="0" w:firstLine="0"/>
        <w:rPr>
          <w:lang w:val="bg-BG"/>
        </w:rPr>
      </w:pPr>
      <w:r w:rsidRPr="00B73D7E">
        <w:rPr>
          <w:lang w:val="bg-BG"/>
        </w:rPr>
        <w:t xml:space="preserve">Следните документи (виж </w:t>
      </w:r>
      <w:r w:rsidRPr="00B73D7E">
        <w:rPr>
          <w:b/>
          <w:i/>
          <w:lang w:val="bg-BG"/>
        </w:rPr>
        <w:t>фигура 14</w:t>
      </w:r>
      <w:r w:rsidRPr="00B73D7E">
        <w:rPr>
          <w:lang w:val="bg-BG"/>
        </w:rPr>
        <w:t xml:space="preserve">) са основни инструменти на Закона за регионалното развитие и на Закона за устройство на територията. </w:t>
      </w:r>
    </w:p>
    <w:p w:rsidR="00AA4661" w:rsidRPr="00B73D7E" w:rsidRDefault="00AA4661" w:rsidP="00CF297A">
      <w:pPr>
        <w:pStyle w:val="BodyText"/>
        <w:numPr>
          <w:ilvl w:val="0"/>
          <w:numId w:val="41"/>
        </w:numPr>
        <w:ind w:left="0" w:firstLine="0"/>
        <w:rPr>
          <w:lang w:val="bg-BG"/>
        </w:rPr>
      </w:pPr>
      <w:r w:rsidRPr="00B73D7E">
        <w:rPr>
          <w:b/>
          <w:lang w:val="bg-BG"/>
        </w:rPr>
        <w:t>Националната стратегия за регионално развитие на Република България (2012–2022г.)</w:t>
      </w:r>
      <w:r w:rsidRPr="00B73D7E">
        <w:rPr>
          <w:rStyle w:val="FootnoteReference"/>
          <w:lang w:val="bg-BG"/>
        </w:rPr>
        <w:footnoteReference w:id="108"/>
      </w:r>
      <w:r w:rsidRPr="00B73D7E">
        <w:rPr>
          <w:lang w:val="bg-BG"/>
        </w:rPr>
        <w:t xml:space="preserve"> цели социално, икономическо и териториално сближаване и намаляване на различията между регионите. Тя разработва регионалните профили на шестте района от ниво 2 по Общата класификация на териториалните единици за </w:t>
      </w:r>
      <w:r w:rsidRPr="00B73D7E">
        <w:rPr>
          <w:lang w:val="bg-BG"/>
        </w:rPr>
        <w:lastRenderedPageBreak/>
        <w:t xml:space="preserve">статистически цели (NUTS II) и прави предложения за решаване на някои критични въпроси като концентрация на уязвими групи и групи в неравностойно положение, намаляване на зоните в риск от бедствия, развитие и реконструкция на техническата инфраструктура и развитие на градските и туристическите агломерации.  </w:t>
      </w:r>
    </w:p>
    <w:p w:rsidR="00AA4661" w:rsidRPr="00B73D7E" w:rsidRDefault="00AA4661" w:rsidP="00CF297A">
      <w:pPr>
        <w:pStyle w:val="BodyText"/>
        <w:numPr>
          <w:ilvl w:val="0"/>
          <w:numId w:val="41"/>
        </w:numPr>
        <w:ind w:left="0" w:firstLine="0"/>
        <w:rPr>
          <w:lang w:val="bg-BG"/>
        </w:rPr>
      </w:pPr>
      <w:r w:rsidRPr="00B73D7E">
        <w:rPr>
          <w:b/>
          <w:lang w:val="bg-BG"/>
        </w:rPr>
        <w:t>Националната концепция за пространствено развитие за периода 2013–2025 г.</w:t>
      </w:r>
      <w:r w:rsidRPr="00B73D7E">
        <w:rPr>
          <w:rStyle w:val="FootnoteReference"/>
          <w:lang w:val="bg-BG"/>
        </w:rPr>
        <w:footnoteReference w:id="109"/>
      </w:r>
      <w:r w:rsidRPr="00B73D7E">
        <w:rPr>
          <w:lang w:val="bg-BG"/>
        </w:rPr>
        <w:t xml:space="preserve"> е първият национален документ от този тип, който отразява държавната политика за опазване и ефективно използване на територията на страната и е първи опит за координиране на секторните политики. Въз основа на широко обсъден набор от критерии и показатели, е направена класификация на градовете и е определена тяхната допустимост за европейско финансиране. Документът е използван за целите на ОПРР (2014–2020 г.) и в някои други оперативни програми като източник на допълнителни критерии за избор на проекти. Амбицията за интегриране на всички рискови територии и зони не е изпълнена, поради недостатъчната налична информация, ограниченото време и задължението на МОСВ да подготви такава единна национална стратегия до края на 2016 г. Прогнозираната институционализация на документа, наблюдението и контрола върху изпълнението все още не са осъществени. Задължителната междинна оценка не е възложена. </w:t>
      </w:r>
    </w:p>
    <w:p w:rsidR="00AA4661" w:rsidRPr="00B73D7E" w:rsidRDefault="00AA4661" w:rsidP="00CF297A">
      <w:pPr>
        <w:pStyle w:val="BodyText"/>
        <w:numPr>
          <w:ilvl w:val="0"/>
          <w:numId w:val="41"/>
        </w:numPr>
        <w:ind w:left="0" w:firstLine="0"/>
        <w:rPr>
          <w:lang w:val="bg-BG"/>
        </w:rPr>
      </w:pPr>
      <w:r w:rsidRPr="00B73D7E">
        <w:rPr>
          <w:lang w:val="bg-BG"/>
        </w:rPr>
        <w:t xml:space="preserve"> Горепосочените национални стратегически документи определят рамката за по-нататъшно разработване на приоритетите на по-ниски йерархични нива, за интегриране на опазването на околната среда и управлението на риска от природни бедствия в регионални, областни и общински стратегии и планове.</w:t>
      </w:r>
    </w:p>
    <w:p w:rsidR="00AA4661" w:rsidRPr="00B73D7E" w:rsidRDefault="00AA4661" w:rsidP="00CF297A">
      <w:pPr>
        <w:pStyle w:val="BodyText"/>
        <w:numPr>
          <w:ilvl w:val="0"/>
          <w:numId w:val="41"/>
        </w:numPr>
        <w:ind w:left="0" w:firstLine="0"/>
        <w:rPr>
          <w:lang w:val="bg-BG"/>
        </w:rPr>
      </w:pPr>
      <w:r w:rsidRPr="00B73D7E">
        <w:rPr>
          <w:lang w:val="bg-BG"/>
        </w:rPr>
        <w:t>Управлението на урбанизирането и устройството на територията на Република България се осигурява чрез изработването на Общи устройствени планове (ОУП) / Генерални планове на градовете и общините. С цел стимулиране на разработването на ОУП за контролирано развитие на територии за бъдещи инвестиционни инициативи и проекти за общинска инфраструктура и други проекти, финансирани по Оперативната програма за регионално развитие и Програмата за развитие на селските райони, МРРБ направи промени в Закона за устройство на територията (2012 г.). Бяха определени срокове за подготовката/актуализирането на тези планове с финансовата подкрепа на министерството чрез ДБ. Съгласно подписаните споразумения през 2014 г. с бившето Министерство на инвестиционното проектиране към общините бенефициенти са направени трансфери за около 3,7 милиона лева. През 2015 г. и 2016 г. МРРБ подписа споразумения със 188 общини, прехвърляйки на общините бенефициенти 3,1 млн. лв. през 2015 г и 2,1 млн. лв. през 2016 г. Прехвърлените средства се оказаха значително по-малко от бюджетираните. Консултантските разходи намаляха, а процедурите за консултации и одобрение отнеха много време. Крайният срок за приключване на процедурите по сключените през 2015 и 2016 г. споразумения е до края на бюджетната 2018 г. Предвиденият бюджет за 2017 г. е 4,5 млн. лв.</w:t>
      </w:r>
      <w:r w:rsidRPr="00B73D7E">
        <w:rPr>
          <w:vertAlign w:val="superscript"/>
          <w:lang w:val="bg-BG"/>
        </w:rPr>
        <w:footnoteReference w:id="110"/>
      </w:r>
    </w:p>
    <w:p w:rsidR="00AA4661" w:rsidRPr="00B73D7E" w:rsidRDefault="00AA4661" w:rsidP="00CF297A">
      <w:pPr>
        <w:pStyle w:val="BodyText"/>
        <w:numPr>
          <w:ilvl w:val="0"/>
          <w:numId w:val="41"/>
        </w:numPr>
        <w:ind w:left="0" w:firstLine="0"/>
        <w:rPr>
          <w:lang w:val="bg-BG"/>
        </w:rPr>
      </w:pPr>
      <w:r w:rsidRPr="00B73D7E">
        <w:rPr>
          <w:lang w:val="bg-BG"/>
        </w:rPr>
        <w:t xml:space="preserve">Понастоящем градовете София, Пловдив, Варна, Бургас, Русе, Стара Загора, Шумен, Велинград, Асеновград, Добрич, Кърджали и Благоевград са актуализирали </w:t>
      </w:r>
      <w:r w:rsidRPr="00B73D7E">
        <w:rPr>
          <w:lang w:val="bg-BG"/>
        </w:rPr>
        <w:lastRenderedPageBreak/>
        <w:t xml:space="preserve">своите общи устройствени планове. </w:t>
      </w:r>
    </w:p>
    <w:p w:rsidR="00AA4661" w:rsidRPr="00B73D7E" w:rsidRDefault="00AA4661" w:rsidP="00CF297A">
      <w:pPr>
        <w:pStyle w:val="BodyText"/>
        <w:numPr>
          <w:ilvl w:val="0"/>
          <w:numId w:val="41"/>
        </w:numPr>
        <w:ind w:left="0" w:firstLine="0"/>
        <w:rPr>
          <w:lang w:val="bg-BG"/>
        </w:rPr>
      </w:pPr>
      <w:r w:rsidRPr="00B73D7E">
        <w:rPr>
          <w:lang w:val="bg-BG"/>
        </w:rPr>
        <w:t xml:space="preserve"> Стратегиите за мониторинг за гарантиране на изпълнението на законовите изисквания за екстремни температури, наводнения/бури, диви/горски пожари и градско водоснабдяване/недостиг на вода, се предвиждат чрез конкретни правно обвързващи документи, например за наблюдение и оценка на превенцията на наводненията към Закона за водите.</w:t>
      </w:r>
    </w:p>
    <w:p w:rsidR="00AA4661" w:rsidRPr="00B73D7E" w:rsidRDefault="00AA4661" w:rsidP="00CF297A">
      <w:pPr>
        <w:pStyle w:val="BodyText"/>
        <w:numPr>
          <w:ilvl w:val="0"/>
          <w:numId w:val="41"/>
        </w:numPr>
        <w:ind w:left="0" w:firstLine="0"/>
        <w:rPr>
          <w:lang w:val="bg-BG"/>
        </w:rPr>
      </w:pPr>
      <w:r w:rsidRPr="00B73D7E">
        <w:rPr>
          <w:lang w:val="bg-BG"/>
        </w:rPr>
        <w:t>През последните години комуникационни стратегии или планове с идентифицирани целеви групи и ясно представителство бяха подготвени на ранен етап за повечето програми и проекти, финансирани със средства от ЕС. Обществените обсъждания и консултации със заинтересованите страни са задължителни. Например НКПР е докладвана редовно на неформални заседания на Министерски съвет и пред 38 аудитории и форуми в различни формати. Интегрираният  план за градско възстановяване и развитие на София беше представен пред повече от 120 различни форума, кръгли маси, обществени обсъждания, тематични фокус групи, изложби, различни медии, във всички комисии на Столична община и на Общинския съвет. Всички устройствени планове и ЕО подлежат на задължителни публични обсъждания. Културата на диалога и изграждането на консенсус, както и практиката за докладване резултатите от консултациите, постепенно се развива, макар и бавно.</w:t>
      </w:r>
    </w:p>
    <w:p w:rsidR="00AA4661" w:rsidRPr="00B73D7E" w:rsidRDefault="00AA4661" w:rsidP="00CF297A">
      <w:pPr>
        <w:pStyle w:val="BodyText"/>
        <w:numPr>
          <w:ilvl w:val="0"/>
          <w:numId w:val="41"/>
        </w:numPr>
        <w:ind w:left="0" w:firstLine="0"/>
        <w:rPr>
          <w:lang w:val="bg-BG"/>
        </w:rPr>
      </w:pPr>
      <w:r w:rsidRPr="00B73D7E">
        <w:rPr>
          <w:lang w:val="bg-BG"/>
        </w:rPr>
        <w:t>Прегледът на националното законодателство за планиране и изграждане на градска среда и на практиката по планиране показва, че основните пропуски са в процеса на наблюдение и контрол върху изпълнението на приетите стратегии, планове и проекти. Основните недостатъци са резултат не само от ограничен административен капацитет на различни равнища, но и от капацитета и познанията на експертите за изготвяне на по-качествени стратегически документи за регионално и териториално развитие, включващи мерки за адаптация към изменението на климата.</w:t>
      </w:r>
    </w:p>
    <w:p w:rsidR="00AA4661" w:rsidRPr="00B73D7E" w:rsidRDefault="00AA4661" w:rsidP="00E21095">
      <w:pPr>
        <w:pStyle w:val="Heading2"/>
        <w:numPr>
          <w:ilvl w:val="1"/>
          <w:numId w:val="25"/>
        </w:numPr>
        <w:spacing w:line="240" w:lineRule="auto"/>
        <w:ind w:left="0" w:firstLine="0"/>
        <w:rPr>
          <w:sz w:val="26"/>
          <w:szCs w:val="20"/>
          <w:lang w:val="bg-BG"/>
        </w:rPr>
      </w:pPr>
      <w:bookmarkStart w:id="239" w:name="_Toc486259776"/>
      <w:bookmarkStart w:id="240" w:name="_Toc486942184"/>
      <w:bookmarkStart w:id="241" w:name="_Toc501454861"/>
      <w:bookmarkStart w:id="242" w:name="_Toc522030563"/>
      <w:bookmarkStart w:id="243" w:name="_Toc529285548"/>
      <w:r w:rsidRPr="00B73D7E">
        <w:rPr>
          <w:lang w:val="bg-BG"/>
        </w:rPr>
        <w:t>Институционална рамка и заинтересовани страни в България</w:t>
      </w:r>
      <w:bookmarkEnd w:id="239"/>
      <w:bookmarkEnd w:id="240"/>
      <w:bookmarkEnd w:id="241"/>
      <w:bookmarkEnd w:id="242"/>
      <w:bookmarkEnd w:id="243"/>
    </w:p>
    <w:p w:rsidR="00AA4661" w:rsidRPr="00B73D7E" w:rsidRDefault="00AA4661" w:rsidP="00E21095">
      <w:pPr>
        <w:pStyle w:val="Heading3"/>
        <w:numPr>
          <w:ilvl w:val="2"/>
          <w:numId w:val="25"/>
        </w:numPr>
        <w:autoSpaceDE/>
        <w:autoSpaceDN/>
        <w:adjustRightInd/>
        <w:ind w:left="0" w:firstLine="0"/>
        <w:rPr>
          <w:lang w:val="bg-BG"/>
        </w:rPr>
      </w:pPr>
      <w:bookmarkStart w:id="244" w:name="_Toc486259777"/>
      <w:bookmarkStart w:id="245" w:name="_Toc486942185"/>
      <w:bookmarkStart w:id="246" w:name="_Toc501454862"/>
      <w:bookmarkStart w:id="247" w:name="_Toc522030564"/>
      <w:bookmarkStart w:id="248" w:name="_Toc529285549"/>
      <w:r w:rsidRPr="00B73D7E">
        <w:rPr>
          <w:lang w:val="bg-BG"/>
        </w:rPr>
        <w:t>Институционална рамка в сектора на градска среда</w:t>
      </w:r>
      <w:bookmarkEnd w:id="244"/>
      <w:bookmarkEnd w:id="245"/>
      <w:bookmarkEnd w:id="246"/>
      <w:bookmarkEnd w:id="247"/>
      <w:bookmarkEnd w:id="248"/>
    </w:p>
    <w:p w:rsidR="00AA4661" w:rsidRPr="00B73D7E" w:rsidRDefault="00AA4661" w:rsidP="00CF297A">
      <w:pPr>
        <w:pStyle w:val="BodyText"/>
        <w:numPr>
          <w:ilvl w:val="0"/>
          <w:numId w:val="41"/>
        </w:numPr>
        <w:ind w:left="0" w:firstLine="0"/>
        <w:rPr>
          <w:lang w:val="bg-BG"/>
        </w:rPr>
      </w:pPr>
      <w:r w:rsidRPr="00B73D7E">
        <w:rPr>
          <w:lang w:val="bg-BG"/>
        </w:rPr>
        <w:t>Регионалната политика в България, част от която е политиката за градско развитие, се управлява от МРРБ. То определя правната рамка за регионално развитие, пространствено планиране, инвестиционно проектиране, строителство и строителен надзор. Министърът на регионалното развитие и благоустройството заедно с Министъра на транспорта, информационните технологии и съобщенията носи цялостна отговорност за развитието на пътната инфраструктура, като се подпомага от Агенция „Пътна инфраструктура“ (АПИ).</w:t>
      </w:r>
    </w:p>
    <w:p w:rsidR="00AA4661" w:rsidRPr="00B73D7E" w:rsidRDefault="00AA4661" w:rsidP="00CF297A">
      <w:pPr>
        <w:pStyle w:val="BodyText"/>
        <w:numPr>
          <w:ilvl w:val="0"/>
          <w:numId w:val="41"/>
        </w:numPr>
        <w:ind w:left="0" w:firstLine="0"/>
        <w:rPr>
          <w:lang w:val="bg-BG"/>
        </w:rPr>
      </w:pPr>
      <w:r w:rsidRPr="00B73D7E">
        <w:rPr>
          <w:lang w:val="bg-BG"/>
        </w:rPr>
        <w:t>Развитието и управлението на ВиК сектора и дейностите за предотвратяване на вредните въздействия на водите в населените места се осъществява с помощта на Дирекция "Водоснабдяване и канализация", която планира и координира ВиК сектора на национално ниво.</w:t>
      </w:r>
    </w:p>
    <w:p w:rsidR="004B1A4E" w:rsidRPr="00B73D7E" w:rsidRDefault="004B1A4E">
      <w:pPr>
        <w:spacing w:after="0"/>
        <w:rPr>
          <w:rFonts w:ascii="Calibri" w:eastAsia="MS Mincho" w:hAnsi="Calibri"/>
          <w:b/>
          <w:i/>
          <w:iCs/>
          <w:color w:val="44546A"/>
          <w:sz w:val="22"/>
          <w:szCs w:val="18"/>
          <w:lang w:eastAsia="x-none"/>
        </w:rPr>
      </w:pPr>
      <w:bookmarkStart w:id="249" w:name="_Toc506143767"/>
      <w:r w:rsidRPr="00F8728A">
        <w:rPr>
          <w:rFonts w:ascii="Calibri" w:hAnsi="Calibri"/>
          <w:b/>
          <w:i/>
          <w:iCs/>
          <w:color w:val="44546A"/>
          <w:sz w:val="22"/>
          <w:szCs w:val="18"/>
        </w:rPr>
        <w:br w:type="page"/>
      </w:r>
    </w:p>
    <w:p w:rsidR="00AA4661" w:rsidRPr="00F8728A" w:rsidRDefault="00AA4661" w:rsidP="00B73D7E">
      <w:pPr>
        <w:pStyle w:val="FiguresTablesCaption"/>
      </w:pPr>
      <w:bookmarkStart w:id="250" w:name="_Toc529286490"/>
      <w:bookmarkStart w:id="251" w:name="_Toc529286565"/>
      <w:r w:rsidRPr="00F8728A">
        <w:lastRenderedPageBreak/>
        <w:t xml:space="preserve">Фигура </w:t>
      </w:r>
      <w:r w:rsidRPr="00F8728A">
        <w:fldChar w:fldCharType="begin"/>
      </w:r>
      <w:r w:rsidRPr="00F8728A">
        <w:instrText xml:space="preserve"> SEQ Figure \* ARABIC </w:instrText>
      </w:r>
      <w:r w:rsidRPr="00F8728A">
        <w:fldChar w:fldCharType="separate"/>
      </w:r>
      <w:r w:rsidRPr="00F8728A">
        <w:t>15</w:t>
      </w:r>
      <w:r w:rsidRPr="00F8728A">
        <w:fldChar w:fldCharType="end"/>
      </w:r>
      <w:r w:rsidRPr="00F8728A">
        <w:t xml:space="preserve">. </w:t>
      </w:r>
      <w:bookmarkEnd w:id="249"/>
      <w:r w:rsidRPr="00F8728A">
        <w:t>Структура и основни действащи лица в прилагането на българската политика по изменение на климата</w:t>
      </w:r>
      <w:bookmarkEnd w:id="250"/>
      <w:bookmarkEnd w:id="251"/>
    </w:p>
    <w:p w:rsidR="00AA4661" w:rsidRPr="00B73D7E" w:rsidRDefault="00084198" w:rsidP="00B14675">
      <w:pPr>
        <w:pStyle w:val="BodyText"/>
        <w:numPr>
          <w:ilvl w:val="0"/>
          <w:numId w:val="0"/>
        </w:numPr>
        <w:spacing w:after="0" w:line="240" w:lineRule="auto"/>
        <w:jc w:val="center"/>
        <w:rPr>
          <w:rFonts w:ascii="Calibri" w:hAnsi="Calibri"/>
          <w:b/>
          <w:i/>
          <w:sz w:val="22"/>
          <w:szCs w:val="22"/>
          <w:lang w:val="bg-BG"/>
        </w:rPr>
      </w:pPr>
      <w:r w:rsidRPr="00B73D7E">
        <w:rPr>
          <w:rFonts w:ascii="Calibri" w:hAnsi="Calibri"/>
          <w:b/>
          <w:i/>
          <w:noProof/>
          <w:sz w:val="22"/>
          <w:szCs w:val="22"/>
          <w:lang w:val="en-US" w:eastAsia="en-US"/>
        </w:rPr>
        <w:drawing>
          <wp:inline distT="0" distB="0" distL="0" distR="0" wp14:anchorId="704A7C6C" wp14:editId="74943750">
            <wp:extent cx="5729605" cy="3646170"/>
            <wp:effectExtent l="0" t="0" r="0" b="0"/>
            <wp:docPr id="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t="850" b="781"/>
                    <a:stretch>
                      <a:fillRect/>
                    </a:stretch>
                  </pic:blipFill>
                  <pic:spPr bwMode="auto">
                    <a:xfrm>
                      <a:off x="0" y="0"/>
                      <a:ext cx="5729605" cy="3646170"/>
                    </a:xfrm>
                    <a:prstGeom prst="rect">
                      <a:avLst/>
                    </a:prstGeom>
                    <a:noFill/>
                    <a:ln>
                      <a:noFill/>
                    </a:ln>
                  </pic:spPr>
                </pic:pic>
              </a:graphicData>
            </a:graphic>
          </wp:inline>
        </w:drawing>
      </w:r>
    </w:p>
    <w:p w:rsidR="00AA4661" w:rsidRPr="00F8728A" w:rsidRDefault="00AA4661" w:rsidP="00585E1B">
      <w:pPr>
        <w:pStyle w:val="Source"/>
        <w:spacing w:after="60"/>
        <w:jc w:val="center"/>
      </w:pPr>
      <w:r w:rsidRPr="00F8728A">
        <w:t>Забележка: Всички съкращения в тази фигура са пояснени в раздел „Съкращения и акроними“</w:t>
      </w:r>
    </w:p>
    <w:p w:rsidR="00AA4661" w:rsidRPr="00F8728A" w:rsidRDefault="00AA4661" w:rsidP="007C1A50">
      <w:pPr>
        <w:pStyle w:val="Source"/>
        <w:jc w:val="center"/>
      </w:pPr>
      <w:r w:rsidRPr="00F8728A">
        <w:t>Източник: Дизайн на Световната банка.</w:t>
      </w:r>
    </w:p>
    <w:p w:rsidR="00AA4661" w:rsidRPr="00B73D7E" w:rsidRDefault="00AA4661" w:rsidP="00CF297A">
      <w:pPr>
        <w:pStyle w:val="BodyText"/>
        <w:numPr>
          <w:ilvl w:val="0"/>
          <w:numId w:val="41"/>
        </w:numPr>
        <w:ind w:left="0" w:firstLine="0"/>
        <w:rPr>
          <w:lang w:val="bg-BG"/>
        </w:rPr>
      </w:pPr>
      <w:r w:rsidRPr="00B73D7E">
        <w:rPr>
          <w:lang w:val="bg-BG"/>
        </w:rPr>
        <w:t>Благоустройствените дейности и геозащитата се управляват от съответната специализирана дирекция на МРРБ. На територията на страната има три държавни дружества за геозащита - във Варна, Плевен и Перник</w:t>
      </w:r>
      <w:r w:rsidRPr="00B73D7E">
        <w:rPr>
          <w:i/>
          <w:lang w:val="bg-BG"/>
        </w:rPr>
        <w:t>.</w:t>
      </w:r>
    </w:p>
    <w:p w:rsidR="00AA4661" w:rsidRPr="00B73D7E" w:rsidRDefault="00AA4661" w:rsidP="00CF297A">
      <w:pPr>
        <w:pStyle w:val="BodyText"/>
        <w:numPr>
          <w:ilvl w:val="0"/>
          <w:numId w:val="41"/>
        </w:numPr>
        <w:ind w:left="0" w:firstLine="0"/>
        <w:rPr>
          <w:lang w:val="bg-BG"/>
        </w:rPr>
      </w:pPr>
      <w:r w:rsidRPr="00B73D7E">
        <w:rPr>
          <w:lang w:val="bg-BG"/>
        </w:rPr>
        <w:t xml:space="preserve">Министърът на регионалното развитие и благоустройството осъществява и държавната политика за развитие на законодателството в областта на проектирането и строителството и за хармонизирането им със законодателството на ЕС. В тези дейности той се подпомага от дирекция "Технически правила и норми". Освен това той контролира дейностите на Управляващия орган на ОПРР и всички други програми за трансгранично сътрудничество с Румъния, Гърция, Турция, Бивша югославска република Македония и Сърбия и координира изпълнението на Дунавската стратегия. Последните отговорности обикновено се прехвърлят на заместник-министрите. </w:t>
      </w:r>
    </w:p>
    <w:p w:rsidR="00AA4661" w:rsidRPr="00B73D7E" w:rsidRDefault="00AA4661" w:rsidP="00CF297A">
      <w:pPr>
        <w:pStyle w:val="BodyText"/>
        <w:numPr>
          <w:ilvl w:val="0"/>
          <w:numId w:val="41"/>
        </w:numPr>
        <w:ind w:left="0" w:firstLine="0"/>
        <w:rPr>
          <w:lang w:val="bg-BG"/>
        </w:rPr>
      </w:pPr>
      <w:r w:rsidRPr="00B73D7E">
        <w:rPr>
          <w:lang w:val="bg-BG"/>
        </w:rPr>
        <w:t xml:space="preserve">Важна задача на МРРБ през следващите години е да превърне жилищната политика в неразделна част от регионалната политика на страната, като се започне с </w:t>
      </w:r>
      <w:r w:rsidR="002D7DEA" w:rsidRPr="00F8728A">
        <w:rPr>
          <w:lang w:val="bg-BG"/>
        </w:rPr>
        <w:t>приемането на нова Национална жилищна стратегия</w:t>
      </w:r>
      <w:r w:rsidR="00AE2FAC" w:rsidRPr="00F8728A">
        <w:rPr>
          <w:lang w:val="bg-BG"/>
        </w:rPr>
        <w:t xml:space="preserve">, базирана и на </w:t>
      </w:r>
      <w:r w:rsidRPr="00B73D7E">
        <w:rPr>
          <w:lang w:val="bg-BG"/>
        </w:rPr>
        <w:t xml:space="preserve">оценката на Световната банка на жилищния сектор. Предвижда се тя да бъде придружена от няколко програми, фокусирани върху основните идентифицирани проблеми в сектора, включително </w:t>
      </w:r>
      <w:r w:rsidR="00AE2FAC" w:rsidRPr="00F8728A">
        <w:rPr>
          <w:lang w:val="bg-BG"/>
        </w:rPr>
        <w:t xml:space="preserve">осъвременяване на </w:t>
      </w:r>
      <w:r w:rsidRPr="00B73D7E">
        <w:rPr>
          <w:lang w:val="bg-BG"/>
        </w:rPr>
        <w:t>законодателство</w:t>
      </w:r>
      <w:r w:rsidR="00AE2FAC" w:rsidRPr="00F8728A">
        <w:rPr>
          <w:lang w:val="bg-BG"/>
        </w:rPr>
        <w:t>то и институционалната рамка</w:t>
      </w:r>
      <w:r w:rsidRPr="00B73D7E">
        <w:rPr>
          <w:lang w:val="bg-BG"/>
        </w:rPr>
        <w:t>,</w:t>
      </w:r>
      <w:r w:rsidR="00AE2FAC" w:rsidRPr="00F8728A">
        <w:rPr>
          <w:lang w:val="bg-BG"/>
        </w:rPr>
        <w:t xml:space="preserve"> енергийно обновяване на жилищни</w:t>
      </w:r>
      <w:r w:rsidRPr="00B73D7E">
        <w:rPr>
          <w:lang w:val="bg-BG"/>
        </w:rPr>
        <w:t xml:space="preserve"> сгради, достъпни жилища за млади хора и хора от уязвими групи</w:t>
      </w:r>
      <w:r w:rsidR="00AE2FAC" w:rsidRPr="00F8728A">
        <w:rPr>
          <w:lang w:val="bg-BG"/>
        </w:rPr>
        <w:t xml:space="preserve"> и други. </w:t>
      </w:r>
      <w:r w:rsidRPr="00B73D7E">
        <w:rPr>
          <w:lang w:val="bg-BG"/>
        </w:rPr>
        <w:t>Тази политика се осъществява от специализираната Дирекция "Жилищна политика".</w:t>
      </w:r>
    </w:p>
    <w:p w:rsidR="00AA4661" w:rsidRPr="00B73D7E" w:rsidRDefault="00AA4661" w:rsidP="00CF297A">
      <w:pPr>
        <w:pStyle w:val="BodyText"/>
        <w:numPr>
          <w:ilvl w:val="0"/>
          <w:numId w:val="41"/>
        </w:numPr>
        <w:ind w:left="0" w:firstLine="0"/>
        <w:rPr>
          <w:i/>
          <w:lang w:val="bg-BG"/>
        </w:rPr>
      </w:pPr>
      <w:r w:rsidRPr="00B73D7E">
        <w:rPr>
          <w:lang w:val="bg-BG"/>
        </w:rPr>
        <w:lastRenderedPageBreak/>
        <w:t>Държавната политика за ограничаване на въздействието върху изменението на климата се определя от Народното събрание чрез Закона за ограничаване на изменението на климата (ЗОИК)</w:t>
      </w:r>
      <w:r w:rsidRPr="00B73D7E">
        <w:rPr>
          <w:vertAlign w:val="superscript"/>
          <w:lang w:val="bg-BG"/>
        </w:rPr>
        <w:footnoteReference w:id="111"/>
      </w:r>
      <w:r w:rsidRPr="00B73D7E">
        <w:rPr>
          <w:lang w:val="bg-BG"/>
        </w:rPr>
        <w:t xml:space="preserve"> и се изпълнява от Министерския съвет чрез подзаконовите актове по чл. 5 от този закон и плановете и стратегиите по чл. 8 и чл. 9. Министърът на околната среда и водите е компетентният орган за цялостното изпълнение на държавната политика за ограничаване на изменението на климата и може да делегира правомощията си по този закон на други длъжностни лица.</w:t>
      </w:r>
    </w:p>
    <w:p w:rsidR="00AA4661" w:rsidRPr="00B73D7E" w:rsidRDefault="00AA4661" w:rsidP="00CF297A">
      <w:pPr>
        <w:pStyle w:val="BodyText"/>
        <w:numPr>
          <w:ilvl w:val="0"/>
          <w:numId w:val="41"/>
        </w:numPr>
        <w:ind w:left="0" w:firstLine="0"/>
        <w:rPr>
          <w:lang w:val="bg-BG"/>
        </w:rPr>
      </w:pPr>
      <w:r w:rsidRPr="00B73D7E">
        <w:rPr>
          <w:b/>
          <w:lang w:val="bg-BG"/>
        </w:rPr>
        <w:t>Държавната политика за управление на водите в България се осъществява от МОСВ и Дирекцията за управление на водите</w:t>
      </w:r>
      <w:r w:rsidRPr="00B73D7E">
        <w:rPr>
          <w:lang w:val="bg-BG"/>
        </w:rPr>
        <w:t>. Целта е да се постигне и поддържа добро състояние на всички подземни, повърхностни и морски води и тяхното интегрирано управление. В тази дейност това Министерство се подпомага от 4 Басейнови дирекции за управление на водите и 16 Регионални инспекции по околна среда и води, които заедно с останалата част от дейността си осъществяват контрол върху отпадъчните води.</w:t>
      </w:r>
    </w:p>
    <w:p w:rsidR="00AA4661" w:rsidRPr="00B73D7E" w:rsidRDefault="00AA4661" w:rsidP="00CF297A">
      <w:pPr>
        <w:pStyle w:val="BodyText"/>
        <w:numPr>
          <w:ilvl w:val="0"/>
          <w:numId w:val="41"/>
        </w:numPr>
        <w:ind w:left="0" w:firstLine="0"/>
        <w:rPr>
          <w:lang w:val="bg-BG"/>
        </w:rPr>
      </w:pPr>
      <w:r w:rsidRPr="00B73D7E">
        <w:rPr>
          <w:lang w:val="bg-BG"/>
        </w:rPr>
        <w:t>На национално ниво е създаден Съвет за намаляване на риска от бедствия, постоянен орган към Министерския съвет, който осигурява координация и сътрудничество при прилагането на политиката за защита при бедствия. Съветът изпълнява функциите на национална платформа за намаляване риска от бедствия според Рамката за действие от Хиого 2005–2015 г. и Рамката от Сендай за намаляване риска от бедствия 2015–2030 г. Съветът, състоящ се от председател и членове, е под председателството и представителството на Министъра на вътрешните работи. Членове на Съвета са по един представител от всяко министерство, по един представител от Държавната агенция за национална сигурност, Агенцията за държавен резерв и военновременните запаси, Агенцията за ядрено регулиране, Националното сдружение на общините в Република България (НСОРБ), Българският червен кръст, БАН, Българската търговско-промишлена палата и Българската стопанска камара; до трима представители от институциите за висше образование; до трима представители от изследователските институти; до трима представители от неправителствени организации; и до трима представители от юридически лица, занимаващи се с намаляване риска от бедствия.  Директорът на Главна дирекция "Пожарна безопасност и защита на населението" (ГДПБЗН) към МВР е секретар на Съвета</w:t>
      </w:r>
      <w:r w:rsidRPr="00B73D7E">
        <w:rPr>
          <w:i/>
          <w:lang w:val="bg-BG"/>
        </w:rPr>
        <w:t>.</w:t>
      </w:r>
    </w:p>
    <w:p w:rsidR="00AA4661" w:rsidRPr="00B73D7E" w:rsidRDefault="008A28F7" w:rsidP="00CF297A">
      <w:pPr>
        <w:pStyle w:val="BodyText"/>
        <w:numPr>
          <w:ilvl w:val="0"/>
          <w:numId w:val="41"/>
        </w:numPr>
        <w:ind w:left="0" w:firstLine="0"/>
        <w:rPr>
          <w:lang w:val="bg-BG"/>
        </w:rPr>
      </w:pPr>
      <w:r w:rsidRPr="00F8728A">
        <w:rPr>
          <w:lang w:val="bg-BG"/>
        </w:rPr>
        <w:t xml:space="preserve">Областните </w:t>
      </w:r>
      <w:r w:rsidR="00AA4661" w:rsidRPr="00B73D7E">
        <w:rPr>
          <w:lang w:val="bg-BG"/>
        </w:rPr>
        <w:t xml:space="preserve">и общинските съвети за намаляване на риска от бедствия са изградени на областно и общинско ниво на основание чл. 64а, ал. 1 </w:t>
      </w:r>
      <w:r w:rsidR="005D24A2" w:rsidRPr="00F8728A">
        <w:rPr>
          <w:lang w:val="bg-BG"/>
        </w:rPr>
        <w:t xml:space="preserve">и 7 </w:t>
      </w:r>
      <w:r w:rsidR="00AA4661" w:rsidRPr="00B73D7E">
        <w:rPr>
          <w:lang w:val="bg-BG"/>
        </w:rPr>
        <w:t>и чл.65а, ал.1 от Закона за защита при бедствия</w:t>
      </w:r>
      <w:r w:rsidR="00AA4661" w:rsidRPr="00B73D7E">
        <w:rPr>
          <w:vertAlign w:val="superscript"/>
          <w:lang w:val="bg-BG"/>
        </w:rPr>
        <w:footnoteReference w:id="112"/>
      </w:r>
      <w:r w:rsidR="00AA4661" w:rsidRPr="00B73D7E">
        <w:rPr>
          <w:lang w:val="bg-BG"/>
        </w:rPr>
        <w:t>.</w:t>
      </w:r>
    </w:p>
    <w:p w:rsidR="00AA4661" w:rsidRPr="00B73D7E" w:rsidRDefault="00AA4661" w:rsidP="00CF297A">
      <w:pPr>
        <w:pStyle w:val="BodyText"/>
        <w:numPr>
          <w:ilvl w:val="0"/>
          <w:numId w:val="41"/>
        </w:numPr>
        <w:ind w:left="0" w:firstLine="0"/>
        <w:rPr>
          <w:lang w:val="bg-BG"/>
        </w:rPr>
      </w:pPr>
      <w:r w:rsidRPr="00B73D7E">
        <w:rPr>
          <w:lang w:val="bg-BG"/>
        </w:rPr>
        <w:t>Съгласно чл.</w:t>
      </w:r>
      <w:r w:rsidR="00155471" w:rsidRPr="00B73D7E">
        <w:rPr>
          <w:lang w:val="bg-BG"/>
        </w:rPr>
        <w:t xml:space="preserve"> </w:t>
      </w:r>
      <w:r w:rsidRPr="00B73D7E">
        <w:rPr>
          <w:lang w:val="bg-BG"/>
        </w:rPr>
        <w:t xml:space="preserve">29 от Закона за защита при бедствия, координацията на </w:t>
      </w:r>
      <w:r w:rsidR="008A28F7" w:rsidRPr="00F8728A">
        <w:rPr>
          <w:lang w:val="bg-BG"/>
        </w:rPr>
        <w:t>съставните части</w:t>
      </w:r>
      <w:r w:rsidR="008A28F7" w:rsidRPr="00B73D7E">
        <w:rPr>
          <w:lang w:val="bg-BG"/>
        </w:rPr>
        <w:t xml:space="preserve"> </w:t>
      </w:r>
      <w:r w:rsidR="008A28F7" w:rsidRPr="00F8728A">
        <w:rPr>
          <w:lang w:val="bg-BG"/>
        </w:rPr>
        <w:t>на</w:t>
      </w:r>
      <w:r w:rsidR="008A28F7" w:rsidRPr="00B73D7E">
        <w:rPr>
          <w:lang w:val="bg-BG"/>
        </w:rPr>
        <w:t xml:space="preserve"> </w:t>
      </w:r>
      <w:r w:rsidR="008A28F7" w:rsidRPr="00F8728A">
        <w:rPr>
          <w:lang w:val="bg-BG"/>
        </w:rPr>
        <w:t>е</w:t>
      </w:r>
      <w:r w:rsidRPr="00B73D7E">
        <w:rPr>
          <w:lang w:val="bg-BG"/>
        </w:rPr>
        <w:t xml:space="preserve">динната </w:t>
      </w:r>
      <w:r w:rsidR="008A28F7" w:rsidRPr="00F8728A">
        <w:rPr>
          <w:lang w:val="bg-BG"/>
        </w:rPr>
        <w:t xml:space="preserve">спасителна </w:t>
      </w:r>
      <w:r w:rsidRPr="00B73D7E">
        <w:rPr>
          <w:lang w:val="bg-BG"/>
        </w:rPr>
        <w:t xml:space="preserve">система се </w:t>
      </w:r>
      <w:r w:rsidR="008A28F7" w:rsidRPr="00F8728A">
        <w:rPr>
          <w:lang w:val="bg-BG"/>
        </w:rPr>
        <w:t>осъществява</w:t>
      </w:r>
      <w:r w:rsidR="008A28F7" w:rsidRPr="00B73D7E">
        <w:rPr>
          <w:lang w:val="bg-BG"/>
        </w:rPr>
        <w:t xml:space="preserve"> </w:t>
      </w:r>
      <w:r w:rsidR="008A28F7" w:rsidRPr="00F8728A">
        <w:rPr>
          <w:lang w:val="bg-BG"/>
        </w:rPr>
        <w:t>чрез</w:t>
      </w:r>
      <w:r w:rsidR="008A28F7" w:rsidRPr="00B73D7E">
        <w:rPr>
          <w:lang w:val="bg-BG"/>
        </w:rPr>
        <w:t xml:space="preserve"> </w:t>
      </w:r>
      <w:r w:rsidRPr="00B73D7E">
        <w:rPr>
          <w:lang w:val="bg-BG"/>
        </w:rPr>
        <w:t>оперативните центрове на ГДПБЗН към МВР.</w:t>
      </w:r>
      <w:bookmarkStart w:id="252" w:name="_Toc486259778"/>
      <w:bookmarkStart w:id="253" w:name="_Toc486942186"/>
      <w:bookmarkStart w:id="254" w:name="_Toc501454863"/>
    </w:p>
    <w:p w:rsidR="00AA4661" w:rsidRPr="00B73D7E" w:rsidRDefault="00AA4661" w:rsidP="00E21095">
      <w:pPr>
        <w:pStyle w:val="Heading3"/>
        <w:numPr>
          <w:ilvl w:val="2"/>
          <w:numId w:val="25"/>
        </w:numPr>
        <w:autoSpaceDE/>
        <w:autoSpaceDN/>
        <w:adjustRightInd/>
        <w:spacing w:before="160"/>
        <w:ind w:left="0" w:firstLine="0"/>
        <w:rPr>
          <w:lang w:val="bg-BG"/>
        </w:rPr>
      </w:pPr>
      <w:bookmarkStart w:id="255" w:name="_Toc522030565"/>
      <w:bookmarkStart w:id="256" w:name="_Toc529285550"/>
      <w:r w:rsidRPr="00B73D7E">
        <w:rPr>
          <w:lang w:val="bg-BG"/>
        </w:rPr>
        <w:lastRenderedPageBreak/>
        <w:t>Заинтересовани страни в България</w:t>
      </w:r>
      <w:bookmarkEnd w:id="252"/>
      <w:bookmarkEnd w:id="253"/>
      <w:bookmarkEnd w:id="254"/>
      <w:bookmarkEnd w:id="255"/>
      <w:bookmarkEnd w:id="256"/>
    </w:p>
    <w:p w:rsidR="00AA4661" w:rsidRPr="00B73D7E" w:rsidRDefault="00AA4661" w:rsidP="00491557">
      <w:pPr>
        <w:pStyle w:val="Heading4"/>
        <w:rPr>
          <w:lang w:val="bg-BG"/>
        </w:rPr>
      </w:pPr>
      <w:r w:rsidRPr="00B73D7E">
        <w:rPr>
          <w:lang w:val="bg-BG"/>
        </w:rPr>
        <w:t>Правителствени институции</w:t>
      </w:r>
    </w:p>
    <w:p w:rsidR="00AA4661" w:rsidRPr="00B73D7E" w:rsidRDefault="00AA4661" w:rsidP="00CF297A">
      <w:pPr>
        <w:pStyle w:val="BodyText"/>
        <w:numPr>
          <w:ilvl w:val="0"/>
          <w:numId w:val="41"/>
        </w:numPr>
        <w:spacing w:after="60"/>
        <w:ind w:left="0" w:firstLine="0"/>
        <w:rPr>
          <w:lang w:val="bg-BG"/>
        </w:rPr>
      </w:pPr>
      <w:r w:rsidRPr="00B73D7E">
        <w:rPr>
          <w:lang w:val="bg-BG"/>
        </w:rPr>
        <w:t>Институциите, с отношение към градската среда и свързани с АИК, са всички министерства със съответните им звена и държавни агенции, които по някакъв начин отговарят за управлението на различни рискове. МРРБ има водеща роля поради широкия спектър от дейности, свързани с политиката за устройство на територията и регионалното развитие, жилищната политика, водоснабдяването, свлачищата и строителството. Съответните органи в министерството са следните:</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Style w:val="Emphasis"/>
          <w:rFonts w:ascii="Times New Roman" w:hAnsi="Times New Roman"/>
          <w:bCs/>
          <w:i w:val="0"/>
          <w:sz w:val="24"/>
          <w:szCs w:val="24"/>
          <w:shd w:val="clear" w:color="auto" w:fill="FFFFFF"/>
          <w:lang w:val="bg-BG"/>
        </w:rPr>
        <w:t>Главна дирекция</w:t>
      </w:r>
      <w:r w:rsidRPr="00B73D7E">
        <w:rPr>
          <w:rFonts w:ascii="Times New Roman" w:hAnsi="Times New Roman"/>
          <w:sz w:val="24"/>
          <w:szCs w:val="24"/>
          <w:shd w:val="clear" w:color="auto" w:fill="FFFFFF"/>
          <w:lang w:val="bg-BG"/>
        </w:rPr>
        <w:t> „Стратегическо планиране и програми за </w:t>
      </w:r>
      <w:r w:rsidRPr="00B73D7E">
        <w:rPr>
          <w:rStyle w:val="Emphasis"/>
          <w:rFonts w:ascii="Times New Roman" w:hAnsi="Times New Roman"/>
          <w:bCs/>
          <w:i w:val="0"/>
          <w:sz w:val="24"/>
          <w:szCs w:val="24"/>
          <w:shd w:val="clear" w:color="auto" w:fill="FFFFFF"/>
          <w:lang w:val="bg-BG"/>
        </w:rPr>
        <w:t>регионално развитие</w:t>
      </w:r>
      <w:r w:rsidRPr="00B73D7E">
        <w:rPr>
          <w:rFonts w:ascii="Times New Roman" w:hAnsi="Times New Roman"/>
          <w:sz w:val="24"/>
          <w:szCs w:val="24"/>
          <w:shd w:val="clear" w:color="auto" w:fill="FFFFFF"/>
          <w:lang w:val="bg-BG"/>
        </w:rPr>
        <w:t>“</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iCs/>
          <w:sz w:val="24"/>
          <w:szCs w:val="24"/>
          <w:lang w:val="bg-BG"/>
        </w:rPr>
      </w:pPr>
      <w:r w:rsidRPr="00B73D7E">
        <w:rPr>
          <w:rFonts w:ascii="Times New Roman" w:hAnsi="Times New Roman"/>
          <w:iCs/>
          <w:sz w:val="24"/>
          <w:szCs w:val="24"/>
          <w:lang w:val="bg-BG"/>
        </w:rPr>
        <w:t>Дирекция "Устройство на територията и административно-териториално устройство"</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iCs/>
          <w:sz w:val="24"/>
          <w:szCs w:val="24"/>
          <w:lang w:val="bg-BG"/>
        </w:rPr>
      </w:pPr>
      <w:r w:rsidRPr="00B73D7E">
        <w:rPr>
          <w:rFonts w:ascii="Times New Roman" w:hAnsi="Times New Roman"/>
          <w:iCs/>
          <w:sz w:val="24"/>
          <w:szCs w:val="24"/>
          <w:lang w:val="bg-BG"/>
        </w:rPr>
        <w:t>Дирекция "Технически правила и норми</w:t>
      </w:r>
      <w:r w:rsidR="004B1A4E" w:rsidRPr="00B73D7E">
        <w:rPr>
          <w:rFonts w:ascii="Times New Roman" w:hAnsi="Times New Roman"/>
          <w:sz w:val="24"/>
          <w:szCs w:val="24"/>
          <w:lang w:val="bg-BG"/>
        </w:rPr>
        <w:t>"</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Дирекция "Водоснабдяване и канализация"</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Дирекция "Геозащита и благоустройствени дейности"</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Дирекция "Жилищна политика”</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Дирекция за национален строителен контрол</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Научно-изследователски строителен институт (НИСИ)</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Национален център за териториално развитие (НЦТР)</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Държавни дружества за геозащита във Варна, Плевен и Перник</w:t>
      </w:r>
    </w:p>
    <w:p w:rsidR="00AA4661" w:rsidRPr="00B73D7E" w:rsidRDefault="00AA4661" w:rsidP="00E21095">
      <w:pPr>
        <w:pStyle w:val="ListParagraph1"/>
        <w:numPr>
          <w:ilvl w:val="0"/>
          <w:numId w:val="13"/>
        </w:numPr>
        <w:tabs>
          <w:tab w:val="left" w:pos="679"/>
        </w:tabs>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Агенция „Пътна инфраструктура“ (АПИ)</w:t>
      </w:r>
    </w:p>
    <w:p w:rsidR="00AA4661" w:rsidRPr="00B73D7E" w:rsidRDefault="00AA4661" w:rsidP="00CF297A">
      <w:pPr>
        <w:pStyle w:val="BodyText"/>
        <w:numPr>
          <w:ilvl w:val="0"/>
          <w:numId w:val="41"/>
        </w:numPr>
        <w:spacing w:after="60"/>
        <w:ind w:left="0" w:firstLine="0"/>
        <w:rPr>
          <w:lang w:val="bg-BG"/>
        </w:rPr>
      </w:pPr>
      <w:r w:rsidRPr="00B73D7E">
        <w:rPr>
          <w:lang w:val="bg-BG"/>
        </w:rPr>
        <w:t>Освен това Министерството на регионалното развитие и благоустройството споделя отговорностите в областта на ограничаване на и адаптиране към изменението на климата и управление на риска от бедствия с други държавни институции:</w:t>
      </w:r>
    </w:p>
    <w:p w:rsidR="00AA4661" w:rsidRPr="00B73D7E" w:rsidRDefault="00AA4661" w:rsidP="00E21095">
      <w:pPr>
        <w:pStyle w:val="ListParagraph1"/>
        <w:numPr>
          <w:ilvl w:val="0"/>
          <w:numId w:val="13"/>
        </w:numPr>
        <w:tabs>
          <w:tab w:val="left" w:pos="679"/>
        </w:tabs>
        <w:spacing w:after="2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Министерство на околната среда и водите (МОСВ)</w:t>
      </w:r>
    </w:p>
    <w:p w:rsidR="00AA4661" w:rsidRPr="00B73D7E" w:rsidRDefault="00AA4661" w:rsidP="00E21095">
      <w:pPr>
        <w:pStyle w:val="ListParagraph1"/>
        <w:numPr>
          <w:ilvl w:val="1"/>
          <w:numId w:val="14"/>
        </w:numPr>
        <w:tabs>
          <w:tab w:val="left" w:pos="679"/>
        </w:tabs>
        <w:spacing w:after="20"/>
        <w:ind w:left="1080"/>
        <w:contextualSpacing w:val="0"/>
        <w:jc w:val="both"/>
        <w:rPr>
          <w:rFonts w:ascii="Times New Roman" w:hAnsi="Times New Roman"/>
          <w:sz w:val="24"/>
          <w:szCs w:val="24"/>
          <w:lang w:val="bg-BG"/>
        </w:rPr>
      </w:pPr>
      <w:r w:rsidRPr="00B73D7E">
        <w:rPr>
          <w:rFonts w:ascii="Times New Roman" w:hAnsi="Times New Roman"/>
          <w:sz w:val="24"/>
          <w:szCs w:val="24"/>
          <w:lang w:val="bg-BG"/>
        </w:rPr>
        <w:t>Изпълнителна агенция по околна среда (ИАОС)</w:t>
      </w:r>
    </w:p>
    <w:p w:rsidR="00AA4661" w:rsidRPr="00B73D7E" w:rsidRDefault="00AA4661" w:rsidP="00E21095">
      <w:pPr>
        <w:pStyle w:val="ListParagraph1"/>
        <w:numPr>
          <w:ilvl w:val="1"/>
          <w:numId w:val="14"/>
        </w:numPr>
        <w:tabs>
          <w:tab w:val="left" w:pos="679"/>
        </w:tabs>
        <w:spacing w:after="20"/>
        <w:ind w:left="1080"/>
        <w:contextualSpacing w:val="0"/>
        <w:jc w:val="both"/>
        <w:rPr>
          <w:rFonts w:ascii="Times New Roman" w:hAnsi="Times New Roman"/>
          <w:sz w:val="24"/>
          <w:szCs w:val="24"/>
          <w:lang w:val="bg-BG"/>
        </w:rPr>
      </w:pPr>
      <w:r w:rsidRPr="00B73D7E">
        <w:rPr>
          <w:rFonts w:ascii="Times New Roman" w:hAnsi="Times New Roman"/>
          <w:sz w:val="24"/>
          <w:szCs w:val="24"/>
          <w:lang w:val="bg-BG"/>
        </w:rPr>
        <w:t>Басейнови Дирекции</w:t>
      </w:r>
    </w:p>
    <w:p w:rsidR="00AA4661" w:rsidRPr="00B73D7E" w:rsidRDefault="00AA4661" w:rsidP="00E21095">
      <w:pPr>
        <w:pStyle w:val="ListParagraph1"/>
        <w:numPr>
          <w:ilvl w:val="1"/>
          <w:numId w:val="14"/>
        </w:numPr>
        <w:tabs>
          <w:tab w:val="left" w:pos="679"/>
        </w:tabs>
        <w:spacing w:after="60"/>
        <w:ind w:left="1080"/>
        <w:contextualSpacing w:val="0"/>
        <w:jc w:val="both"/>
        <w:rPr>
          <w:rFonts w:ascii="Times New Roman" w:hAnsi="Times New Roman"/>
          <w:sz w:val="24"/>
          <w:szCs w:val="24"/>
          <w:lang w:val="bg-BG"/>
        </w:rPr>
      </w:pPr>
      <w:r w:rsidRPr="00B73D7E">
        <w:rPr>
          <w:rFonts w:ascii="Times New Roman" w:hAnsi="Times New Roman"/>
          <w:sz w:val="24"/>
          <w:szCs w:val="24"/>
          <w:lang w:val="bg-BG"/>
        </w:rPr>
        <w:t>Регионални инспекции по околна среда и води (РИОСВ)</w:t>
      </w:r>
    </w:p>
    <w:p w:rsidR="00AA4661" w:rsidRPr="00B73D7E" w:rsidRDefault="00AA4661" w:rsidP="00E21095">
      <w:pPr>
        <w:pStyle w:val="ListParagraph1"/>
        <w:numPr>
          <w:ilvl w:val="0"/>
          <w:numId w:val="13"/>
        </w:numPr>
        <w:tabs>
          <w:tab w:val="left" w:pos="679"/>
        </w:tabs>
        <w:spacing w:after="2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Министерство на енергетиката (МЕ)</w:t>
      </w:r>
    </w:p>
    <w:p w:rsidR="00AA4661" w:rsidRPr="00B73D7E" w:rsidRDefault="00BF5281" w:rsidP="00E21095">
      <w:pPr>
        <w:pStyle w:val="ListParagraph1"/>
        <w:numPr>
          <w:ilvl w:val="1"/>
          <w:numId w:val="14"/>
        </w:numPr>
        <w:tabs>
          <w:tab w:val="left" w:pos="679"/>
        </w:tabs>
        <w:spacing w:after="60"/>
        <w:ind w:left="1080"/>
        <w:contextualSpacing w:val="0"/>
        <w:jc w:val="both"/>
        <w:rPr>
          <w:rFonts w:ascii="Times New Roman" w:hAnsi="Times New Roman"/>
          <w:sz w:val="24"/>
          <w:szCs w:val="24"/>
          <w:lang w:val="bg-BG"/>
        </w:rPr>
      </w:pPr>
      <w:hyperlink r:id="rId41" w:history="1">
        <w:r w:rsidR="00AA4661" w:rsidRPr="00B73D7E">
          <w:rPr>
            <w:rStyle w:val="Hyperlink"/>
            <w:rFonts w:ascii="Times New Roman" w:hAnsi="Times New Roman"/>
            <w:color w:val="auto"/>
            <w:sz w:val="24"/>
            <w:szCs w:val="24"/>
            <w:u w:val="none"/>
            <w:shd w:val="clear" w:color="auto" w:fill="FFFFFF"/>
            <w:lang w:val="bg-BG"/>
          </w:rPr>
          <w:t>Агенция</w:t>
        </w:r>
        <w:r w:rsidR="00AA4661" w:rsidRPr="00B73D7E">
          <w:rPr>
            <w:rStyle w:val="apple-converted-space"/>
            <w:rFonts w:ascii="Times New Roman" w:hAnsi="Times New Roman"/>
            <w:sz w:val="24"/>
            <w:szCs w:val="24"/>
            <w:shd w:val="clear" w:color="auto" w:fill="FFFFFF"/>
            <w:lang w:val="bg-BG"/>
          </w:rPr>
          <w:t> </w:t>
        </w:r>
        <w:r w:rsidR="00AA4661" w:rsidRPr="00B73D7E">
          <w:rPr>
            <w:rStyle w:val="Hyperlink"/>
            <w:rFonts w:ascii="Times New Roman" w:hAnsi="Times New Roman"/>
            <w:color w:val="auto"/>
            <w:sz w:val="24"/>
            <w:szCs w:val="24"/>
            <w:u w:val="none"/>
            <w:shd w:val="clear" w:color="auto" w:fill="FFFFFF"/>
            <w:lang w:val="bg-BG"/>
          </w:rPr>
          <w:t>за</w:t>
        </w:r>
        <w:r w:rsidR="00AA4661" w:rsidRPr="00B73D7E">
          <w:rPr>
            <w:rStyle w:val="apple-converted-space"/>
            <w:rFonts w:ascii="Times New Roman" w:hAnsi="Times New Roman"/>
            <w:sz w:val="24"/>
            <w:szCs w:val="24"/>
            <w:shd w:val="clear" w:color="auto" w:fill="FFFFFF"/>
            <w:lang w:val="bg-BG"/>
          </w:rPr>
          <w:t> </w:t>
        </w:r>
        <w:r w:rsidR="00AA4661" w:rsidRPr="00B73D7E">
          <w:rPr>
            <w:rFonts w:ascii="Times New Roman" w:hAnsi="Times New Roman"/>
            <w:sz w:val="24"/>
            <w:szCs w:val="24"/>
            <w:lang w:val="bg-BG"/>
          </w:rPr>
          <w:t>устойчиво</w:t>
        </w:r>
        <w:r w:rsidR="00AA4661" w:rsidRPr="00B73D7E">
          <w:rPr>
            <w:rStyle w:val="Hyperlink"/>
            <w:rFonts w:ascii="Times New Roman" w:hAnsi="Times New Roman"/>
            <w:color w:val="auto"/>
            <w:sz w:val="24"/>
            <w:szCs w:val="24"/>
            <w:u w:val="none"/>
            <w:shd w:val="clear" w:color="auto" w:fill="FFFFFF"/>
            <w:lang w:val="bg-BG"/>
          </w:rPr>
          <w:t xml:space="preserve"> енергийно развитие</w:t>
        </w:r>
      </w:hyperlink>
    </w:p>
    <w:p w:rsidR="00AA4661" w:rsidRPr="00B73D7E" w:rsidRDefault="00AA4661" w:rsidP="00E21095">
      <w:pPr>
        <w:pStyle w:val="ListParagraph1"/>
        <w:numPr>
          <w:ilvl w:val="0"/>
          <w:numId w:val="13"/>
        </w:numPr>
        <w:tabs>
          <w:tab w:val="left" w:pos="679"/>
        </w:tabs>
        <w:spacing w:after="2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Министерство на здравеопазването (МЗ)</w:t>
      </w:r>
    </w:p>
    <w:p w:rsidR="00AA4661" w:rsidRPr="00B73D7E" w:rsidRDefault="00AA4661" w:rsidP="00E21095">
      <w:pPr>
        <w:pStyle w:val="ListParagraph1"/>
        <w:numPr>
          <w:ilvl w:val="1"/>
          <w:numId w:val="14"/>
        </w:numPr>
        <w:tabs>
          <w:tab w:val="left" w:pos="679"/>
        </w:tabs>
        <w:spacing w:after="60"/>
        <w:ind w:left="1080"/>
        <w:contextualSpacing w:val="0"/>
        <w:jc w:val="both"/>
        <w:rPr>
          <w:rFonts w:ascii="Times New Roman" w:hAnsi="Times New Roman"/>
          <w:sz w:val="24"/>
          <w:szCs w:val="24"/>
          <w:lang w:val="bg-BG"/>
        </w:rPr>
      </w:pPr>
      <w:r w:rsidRPr="00B73D7E">
        <w:rPr>
          <w:rFonts w:ascii="Times New Roman" w:hAnsi="Times New Roman"/>
          <w:sz w:val="24"/>
          <w:szCs w:val="24"/>
          <w:lang w:val="bg-BG"/>
        </w:rPr>
        <w:t>Регионални здравни инспекции</w:t>
      </w:r>
    </w:p>
    <w:p w:rsidR="00AA4661" w:rsidRPr="00B73D7E" w:rsidRDefault="00AA4661" w:rsidP="00E21095">
      <w:pPr>
        <w:pStyle w:val="ListParagraph1"/>
        <w:numPr>
          <w:ilvl w:val="0"/>
          <w:numId w:val="13"/>
        </w:numPr>
        <w:tabs>
          <w:tab w:val="left" w:pos="679"/>
        </w:tabs>
        <w:spacing w:after="2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Министерство на културата (МК)</w:t>
      </w:r>
    </w:p>
    <w:p w:rsidR="00AA4661" w:rsidRPr="00B73D7E" w:rsidRDefault="00AA4661" w:rsidP="00E21095">
      <w:pPr>
        <w:pStyle w:val="ListParagraph1"/>
        <w:numPr>
          <w:ilvl w:val="1"/>
          <w:numId w:val="14"/>
        </w:numPr>
        <w:tabs>
          <w:tab w:val="left" w:pos="679"/>
        </w:tabs>
        <w:spacing w:after="60"/>
        <w:ind w:left="1080"/>
        <w:contextualSpacing w:val="0"/>
        <w:jc w:val="both"/>
        <w:rPr>
          <w:rFonts w:ascii="Times New Roman" w:hAnsi="Times New Roman"/>
          <w:sz w:val="24"/>
          <w:szCs w:val="24"/>
          <w:lang w:val="bg-BG"/>
        </w:rPr>
      </w:pPr>
      <w:r w:rsidRPr="00B73D7E">
        <w:rPr>
          <w:rFonts w:ascii="Times New Roman" w:hAnsi="Times New Roman"/>
          <w:sz w:val="24"/>
          <w:szCs w:val="24"/>
          <w:lang w:val="bg-BG"/>
        </w:rPr>
        <w:t>Национален институт за недвижимо културно наследство (НИНКН)</w:t>
      </w:r>
    </w:p>
    <w:p w:rsidR="00AA4661" w:rsidRPr="00B73D7E" w:rsidRDefault="00AA4661" w:rsidP="00E21095">
      <w:pPr>
        <w:pStyle w:val="ListParagraph1"/>
        <w:numPr>
          <w:ilvl w:val="0"/>
          <w:numId w:val="13"/>
        </w:numPr>
        <w:tabs>
          <w:tab w:val="left" w:pos="679"/>
        </w:tabs>
        <w:spacing w:after="2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Министерство на труда и социалната политика (МТСП)</w:t>
      </w:r>
    </w:p>
    <w:p w:rsidR="00AA4661" w:rsidRPr="00B73D7E" w:rsidRDefault="00AA4661" w:rsidP="00E21095">
      <w:pPr>
        <w:pStyle w:val="ListParagraph1"/>
        <w:numPr>
          <w:ilvl w:val="1"/>
          <w:numId w:val="14"/>
        </w:numPr>
        <w:tabs>
          <w:tab w:val="left" w:pos="679"/>
        </w:tabs>
        <w:spacing w:after="60"/>
        <w:ind w:left="1080"/>
        <w:contextualSpacing w:val="0"/>
        <w:jc w:val="both"/>
        <w:rPr>
          <w:rFonts w:ascii="Times New Roman" w:hAnsi="Times New Roman"/>
          <w:sz w:val="24"/>
          <w:szCs w:val="24"/>
          <w:lang w:val="bg-BG"/>
        </w:rPr>
      </w:pPr>
      <w:r w:rsidRPr="00B73D7E">
        <w:rPr>
          <w:rFonts w:ascii="Times New Roman" w:hAnsi="Times New Roman"/>
          <w:sz w:val="24"/>
          <w:szCs w:val="24"/>
          <w:lang w:val="bg-BG"/>
        </w:rPr>
        <w:t>Агенция за социално подпомагане</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Министерство на транспорта, информационните технологии и съобщенията (МТИТС)</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 xml:space="preserve">Министерство на туризма </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lastRenderedPageBreak/>
        <w:t>Министерство на вътрешните работи (МВР)</w:t>
      </w:r>
    </w:p>
    <w:p w:rsidR="00AA4661" w:rsidRPr="00B73D7E" w:rsidRDefault="00AA4661" w:rsidP="00E21095">
      <w:pPr>
        <w:pStyle w:val="ListParagraph1"/>
        <w:numPr>
          <w:ilvl w:val="0"/>
          <w:numId w:val="13"/>
        </w:numPr>
        <w:tabs>
          <w:tab w:val="left" w:pos="679"/>
        </w:tabs>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Министерство на икономиката (МИ)</w:t>
      </w:r>
    </w:p>
    <w:p w:rsidR="00AA4661" w:rsidRPr="00B73D7E" w:rsidRDefault="00AA4661" w:rsidP="00491557">
      <w:pPr>
        <w:pStyle w:val="Heading4"/>
        <w:rPr>
          <w:lang w:val="bg-BG"/>
        </w:rPr>
      </w:pPr>
      <w:r w:rsidRPr="00B73D7E">
        <w:rPr>
          <w:lang w:val="bg-BG"/>
        </w:rPr>
        <w:t>Професионални общности и органи</w:t>
      </w:r>
    </w:p>
    <w:p w:rsidR="00AA4661" w:rsidRPr="00B73D7E" w:rsidRDefault="00AA4661" w:rsidP="00CF297A">
      <w:pPr>
        <w:pStyle w:val="BodyText"/>
        <w:numPr>
          <w:ilvl w:val="0"/>
          <w:numId w:val="41"/>
        </w:numPr>
        <w:spacing w:after="60"/>
        <w:ind w:left="0" w:firstLine="0"/>
        <w:rPr>
          <w:lang w:val="bg-BG"/>
        </w:rPr>
      </w:pPr>
      <w:r w:rsidRPr="00B73D7E">
        <w:rPr>
          <w:lang w:val="bg-BG"/>
        </w:rPr>
        <w:t>Основните професионални организации, участващи в транспонирането на международните стандарти и норми в пространственото и градското планиране в България, както и в строителния сектор, са:</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Съюз на архитектите в България;</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Камара на архитектите в България;</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Съюз на урбанистите в България (СУБ);</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Камара на инженерите в инвестиционното проектиране;</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Камара на геодезистите;</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Камара на строителните инженери;</w:t>
      </w:r>
    </w:p>
    <w:p w:rsidR="00AA4661" w:rsidRPr="00B73D7E" w:rsidRDefault="00AA4661" w:rsidP="00E21095">
      <w:pPr>
        <w:pStyle w:val="ListParagraph1"/>
        <w:numPr>
          <w:ilvl w:val="0"/>
          <w:numId w:val="13"/>
        </w:numPr>
        <w:tabs>
          <w:tab w:val="left" w:pos="679"/>
        </w:tabs>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Българска камара на строителите.</w:t>
      </w:r>
    </w:p>
    <w:p w:rsidR="00AA4661" w:rsidRPr="00B73D7E" w:rsidRDefault="00AA4661" w:rsidP="00CF297A">
      <w:pPr>
        <w:pStyle w:val="BodyText"/>
        <w:numPr>
          <w:ilvl w:val="0"/>
          <w:numId w:val="41"/>
        </w:numPr>
        <w:ind w:left="0" w:firstLine="0"/>
        <w:rPr>
          <w:lang w:val="bg-BG"/>
        </w:rPr>
      </w:pPr>
      <w:r w:rsidRPr="00B73D7E">
        <w:rPr>
          <w:lang w:val="bg-BG"/>
        </w:rPr>
        <w:t>Професионалните организации са регистрирани като обществени организации с нестопанска цел по Закона за юридическите лица с нестопанска цел</w:t>
      </w:r>
      <w:r w:rsidRPr="00B73D7E">
        <w:rPr>
          <w:vertAlign w:val="superscript"/>
          <w:lang w:val="bg-BG"/>
        </w:rPr>
        <w:footnoteReference w:id="113"/>
      </w:r>
      <w:r w:rsidRPr="00B73D7E">
        <w:rPr>
          <w:lang w:val="bg-BG"/>
        </w:rPr>
        <w:t>, като статутът им е неправителствен и техните дейности се уреждат от съответните им устави. Повечето от тях чрез своите представители участват в различни работни групи в международните и европейските професионални организации, включително в областта на АИК. Те участват в транспонирането на европейските регламенти в националното законодателство и предоставят експертен опит по законодателните инициативи на Народното събрание.</w:t>
      </w:r>
    </w:p>
    <w:p w:rsidR="00AA4661" w:rsidRPr="00B73D7E" w:rsidRDefault="00AA4661" w:rsidP="00491557">
      <w:pPr>
        <w:pStyle w:val="Heading4"/>
        <w:rPr>
          <w:lang w:val="bg-BG"/>
        </w:rPr>
      </w:pPr>
      <w:r w:rsidRPr="00B73D7E">
        <w:rPr>
          <w:lang w:val="bg-BG"/>
        </w:rPr>
        <w:t>Академични и изследователски институции</w:t>
      </w:r>
    </w:p>
    <w:p w:rsidR="00AA4661" w:rsidRPr="00B73D7E" w:rsidRDefault="00AA4661" w:rsidP="00CF297A">
      <w:pPr>
        <w:pStyle w:val="BodyText"/>
        <w:numPr>
          <w:ilvl w:val="0"/>
          <w:numId w:val="41"/>
        </w:numPr>
        <w:spacing w:after="60"/>
        <w:ind w:left="0" w:firstLine="0"/>
        <w:rPr>
          <w:lang w:val="bg-BG"/>
        </w:rPr>
      </w:pPr>
      <w:r w:rsidRPr="00B73D7E">
        <w:rPr>
          <w:lang w:val="bg-BG"/>
        </w:rPr>
        <w:t>Значителна работа трябва да се извърши от академичните и изследователски институции за разработването на стратегически документи за АИК на местно ниво. Те са отговорни за осигуряването на подходящи знания и умения и са сред основните заинтересовани страни в процеса на изследване, планиране, изпълнение и оценка на възможностите за адаптация. В момента участници в това начинание са:</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Институт по метеорология и хидрология към БАН</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Институт по геофизика, геодезия и география, БАН</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Институт по океанология, БАН, Варна</w:t>
      </w:r>
    </w:p>
    <w:p w:rsidR="00AA4661" w:rsidRPr="00B73D7E" w:rsidRDefault="00AA4661" w:rsidP="00E21095">
      <w:pPr>
        <w:pStyle w:val="ListParagraph1"/>
        <w:numPr>
          <w:ilvl w:val="0"/>
          <w:numId w:val="13"/>
        </w:numPr>
        <w:tabs>
          <w:tab w:val="left" w:pos="679"/>
        </w:tabs>
        <w:spacing w:after="2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Университет по архитектура, строителство и геодезия (УАСГ)</w:t>
      </w:r>
    </w:p>
    <w:p w:rsidR="00AA4661" w:rsidRPr="00B73D7E" w:rsidRDefault="00AA4661" w:rsidP="00E21095">
      <w:pPr>
        <w:pStyle w:val="ListParagraph1"/>
        <w:numPr>
          <w:ilvl w:val="1"/>
          <w:numId w:val="15"/>
        </w:numPr>
        <w:tabs>
          <w:tab w:val="left" w:pos="679"/>
        </w:tabs>
        <w:spacing w:after="20"/>
        <w:ind w:left="1080"/>
        <w:contextualSpacing w:val="0"/>
        <w:jc w:val="both"/>
        <w:rPr>
          <w:rFonts w:ascii="Times New Roman" w:hAnsi="Times New Roman"/>
          <w:sz w:val="24"/>
          <w:szCs w:val="24"/>
          <w:lang w:val="bg-BG"/>
        </w:rPr>
      </w:pPr>
      <w:r w:rsidRPr="00B73D7E">
        <w:rPr>
          <w:rFonts w:ascii="Times New Roman" w:hAnsi="Times New Roman"/>
          <w:sz w:val="24"/>
          <w:szCs w:val="24"/>
          <w:lang w:val="bg-BG"/>
        </w:rPr>
        <w:t>Катедра по градоустройство</w:t>
      </w:r>
    </w:p>
    <w:p w:rsidR="00AA4661" w:rsidRPr="00B73D7E" w:rsidRDefault="00AA4661" w:rsidP="00E21095">
      <w:pPr>
        <w:pStyle w:val="ListParagraph1"/>
        <w:numPr>
          <w:ilvl w:val="1"/>
          <w:numId w:val="15"/>
        </w:numPr>
        <w:tabs>
          <w:tab w:val="left" w:pos="679"/>
        </w:tabs>
        <w:spacing w:after="20"/>
        <w:ind w:left="1080"/>
        <w:contextualSpacing w:val="0"/>
        <w:jc w:val="both"/>
        <w:rPr>
          <w:rFonts w:ascii="Times New Roman" w:hAnsi="Times New Roman"/>
          <w:sz w:val="24"/>
          <w:szCs w:val="24"/>
          <w:lang w:val="bg-BG"/>
        </w:rPr>
      </w:pPr>
      <w:r w:rsidRPr="00B73D7E">
        <w:rPr>
          <w:rFonts w:ascii="Times New Roman" w:hAnsi="Times New Roman"/>
          <w:sz w:val="24"/>
          <w:szCs w:val="24"/>
          <w:lang w:val="bg-BG"/>
        </w:rPr>
        <w:t>Строителен факултет</w:t>
      </w:r>
    </w:p>
    <w:p w:rsidR="00AA4661" w:rsidRPr="00B73D7E" w:rsidRDefault="00AA4661" w:rsidP="00E21095">
      <w:pPr>
        <w:pStyle w:val="ListParagraph1"/>
        <w:numPr>
          <w:ilvl w:val="1"/>
          <w:numId w:val="15"/>
        </w:numPr>
        <w:tabs>
          <w:tab w:val="left" w:pos="679"/>
        </w:tabs>
        <w:spacing w:after="20"/>
        <w:ind w:left="1080"/>
        <w:contextualSpacing w:val="0"/>
        <w:jc w:val="both"/>
        <w:rPr>
          <w:rFonts w:ascii="Times New Roman" w:hAnsi="Times New Roman"/>
          <w:sz w:val="24"/>
          <w:szCs w:val="24"/>
          <w:lang w:val="bg-BG"/>
        </w:rPr>
      </w:pPr>
      <w:r w:rsidRPr="00B73D7E">
        <w:rPr>
          <w:rFonts w:ascii="Times New Roman" w:hAnsi="Times New Roman"/>
          <w:sz w:val="24"/>
          <w:szCs w:val="24"/>
          <w:lang w:val="bg-BG"/>
        </w:rPr>
        <w:t xml:space="preserve">Хидротехнически факултет </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Технически университет (ТУ), София</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СУ "Св. Кл. Охридски "</w:t>
      </w:r>
    </w:p>
    <w:p w:rsidR="00AA4661" w:rsidRPr="00B73D7E" w:rsidRDefault="00AA4661" w:rsidP="00E21095">
      <w:pPr>
        <w:pStyle w:val="ListParagraph1"/>
        <w:numPr>
          <w:ilvl w:val="0"/>
          <w:numId w:val="13"/>
        </w:numPr>
        <w:tabs>
          <w:tab w:val="left" w:pos="679"/>
        </w:tabs>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Лесотехнически университет (ЛТУ)</w:t>
      </w:r>
    </w:p>
    <w:p w:rsidR="00AA4661" w:rsidRPr="00B73D7E" w:rsidRDefault="00AA4661" w:rsidP="00491557">
      <w:pPr>
        <w:pStyle w:val="Heading4"/>
        <w:rPr>
          <w:lang w:val="bg-BG"/>
        </w:rPr>
      </w:pPr>
      <w:r w:rsidRPr="00B73D7E">
        <w:rPr>
          <w:lang w:val="bg-BG"/>
        </w:rPr>
        <w:lastRenderedPageBreak/>
        <w:t>Частен сектор</w:t>
      </w:r>
    </w:p>
    <w:p w:rsidR="00AA4661" w:rsidRPr="00B73D7E" w:rsidRDefault="00AA4661" w:rsidP="00CF297A">
      <w:pPr>
        <w:pStyle w:val="BodyText"/>
        <w:numPr>
          <w:ilvl w:val="0"/>
          <w:numId w:val="41"/>
        </w:numPr>
        <w:ind w:left="0" w:firstLine="0"/>
        <w:rPr>
          <w:lang w:val="bg-BG"/>
        </w:rPr>
      </w:pPr>
      <w:r w:rsidRPr="00B73D7E">
        <w:rPr>
          <w:lang w:val="bg-BG"/>
        </w:rPr>
        <w:t>Трудно е да се анализира частният сектор поради липсата на данни за текущия експертен капацитет и различните форми на регистрация. Много първоначално регистрирани като неправителствени и нестопански организации впоследствие регистрират търговски дружества за извършване на търговски дейности. Информацията както от Агенцията по вписванията, така и от Интернет е подвеждаща, поради липсата на данни относно експертизата и капацитета на съответните организации. Еднолични частни фирми работят с консултанти на непълно работно време, в зависимост от естеството на поръчката и тези консултанти са силно мобилни. Това е една от пречките за развиване на знания и капацитет. Общото заключение е, че в частния сектор в конкретната област има много на брой малки консултантски компании, които обаче имат много ограничен капацитет да се справят с плановете и програмите за АИК.</w:t>
      </w:r>
    </w:p>
    <w:p w:rsidR="00AA4661" w:rsidRPr="00B73D7E" w:rsidRDefault="00AA4661" w:rsidP="00491557">
      <w:pPr>
        <w:pStyle w:val="Heading4"/>
        <w:rPr>
          <w:lang w:val="bg-BG"/>
        </w:rPr>
      </w:pPr>
      <w:r w:rsidRPr="00B73D7E">
        <w:rPr>
          <w:lang w:val="bg-BG"/>
        </w:rPr>
        <w:t>НПО сектор</w:t>
      </w:r>
    </w:p>
    <w:p w:rsidR="00AA4661" w:rsidRPr="00B73D7E" w:rsidRDefault="00AA4661" w:rsidP="00CF297A">
      <w:pPr>
        <w:pStyle w:val="BodyText"/>
        <w:numPr>
          <w:ilvl w:val="0"/>
          <w:numId w:val="41"/>
        </w:numPr>
        <w:ind w:left="0" w:firstLine="0"/>
        <w:rPr>
          <w:lang w:val="bg-BG"/>
        </w:rPr>
      </w:pPr>
      <w:r w:rsidRPr="00B73D7E">
        <w:rPr>
          <w:lang w:val="bg-BG"/>
        </w:rPr>
        <w:t>Основният участник сред НПО в България е НСОРБ</w:t>
      </w:r>
      <w:r w:rsidRPr="00B73D7E">
        <w:rPr>
          <w:vertAlign w:val="superscript"/>
          <w:lang w:val="bg-BG"/>
        </w:rPr>
        <w:footnoteReference w:id="114"/>
      </w:r>
      <w:r w:rsidRPr="00B73D7E">
        <w:rPr>
          <w:lang w:val="bg-BG"/>
        </w:rPr>
        <w:t>, което работи главно с кметовете и главните архитекти на общините, подкрепя техните инициативи и ги представлява в правителствените структури, в ЕС и в Асамблеята на европейските региони. Специфичните въпроси, свързани с АИК, попадат в обхвата на регионалните организации като Асоциацията на дунавските общини, Асоциацията на черноморските общини и Асоциацията на планинските общини. Създаването на мрежа от черноморски НПО</w:t>
      </w:r>
      <w:r w:rsidRPr="00B73D7E">
        <w:rPr>
          <w:vertAlign w:val="superscript"/>
          <w:lang w:val="bg-BG"/>
        </w:rPr>
        <w:footnoteReference w:id="115"/>
      </w:r>
      <w:r w:rsidRPr="00B73D7E">
        <w:rPr>
          <w:lang w:val="bg-BG"/>
        </w:rPr>
        <w:t xml:space="preserve"> е опит за по-добро сътрудничество и изграждане на капацитет.</w:t>
      </w:r>
    </w:p>
    <w:p w:rsidR="00AA4661" w:rsidRPr="00B73D7E" w:rsidRDefault="00AA4661" w:rsidP="00CF297A">
      <w:pPr>
        <w:pStyle w:val="BodyText"/>
        <w:numPr>
          <w:ilvl w:val="0"/>
          <w:numId w:val="41"/>
        </w:numPr>
        <w:ind w:left="0" w:firstLine="0"/>
        <w:rPr>
          <w:color w:val="FF0000"/>
          <w:lang w:val="bg-BG"/>
        </w:rPr>
      </w:pPr>
      <w:r w:rsidRPr="00B73D7E">
        <w:rPr>
          <w:lang w:val="bg-BG"/>
        </w:rPr>
        <w:t>Представителите на неправителствения сектор в страната работят по въпроси, свързани с качеството на околната среда, замърсяването на въздуха и питейната вода, както и с опазването на зелената система. Те активно участват като консултанти по време на изготвянето на общинските устройствени  планове и техните ЕО, в обществени консултации и експертни съвети. Сред НПО, които имат опит в АИК, има няколко, които заслужават да бъдат споменати:</w:t>
      </w:r>
    </w:p>
    <w:p w:rsidR="00AA4661" w:rsidRPr="00B73D7E" w:rsidRDefault="00AA4661" w:rsidP="00CF297A">
      <w:pPr>
        <w:pStyle w:val="BodyText"/>
        <w:numPr>
          <w:ilvl w:val="0"/>
          <w:numId w:val="41"/>
        </w:numPr>
        <w:ind w:left="0" w:firstLine="0"/>
        <w:rPr>
          <w:lang w:val="bg-BG"/>
        </w:rPr>
      </w:pPr>
      <w:r w:rsidRPr="00B73D7E">
        <w:rPr>
          <w:b/>
          <w:lang w:val="bg-BG"/>
        </w:rPr>
        <w:t>Центърът за енергийна ефективност ЕнЕфект</w:t>
      </w:r>
      <w:r w:rsidRPr="00B73D7E">
        <w:rPr>
          <w:vertAlign w:val="superscript"/>
          <w:lang w:val="bg-BG"/>
        </w:rPr>
        <w:footnoteReference w:id="116"/>
      </w:r>
      <w:r w:rsidRPr="00B73D7E">
        <w:rPr>
          <w:lang w:val="bg-BG"/>
        </w:rPr>
        <w:t xml:space="preserve">, основан през 1992 г. в София с първоначалната финансова подкрепа от Бателле/Национална лаборатория на северозападен пасифик (Съединените щати) в сътрудничество с Американската агенция за опазване на околната среда, Американското министерство на енергетиката и Американската агенция за международно развитие. Част от усилията на Центъра за трансфер на знания и информация беше създаването на мрежата на българските общини за енергийна ефективност през 1997 г. </w:t>
      </w:r>
    </w:p>
    <w:p w:rsidR="00AA4661" w:rsidRPr="00B73D7E" w:rsidRDefault="00AA4661" w:rsidP="00CF297A">
      <w:pPr>
        <w:pStyle w:val="BodyText"/>
        <w:numPr>
          <w:ilvl w:val="0"/>
          <w:numId w:val="41"/>
        </w:numPr>
        <w:ind w:left="0" w:firstLine="0"/>
        <w:rPr>
          <w:lang w:val="bg-BG"/>
        </w:rPr>
      </w:pPr>
      <w:r w:rsidRPr="00B73D7E">
        <w:rPr>
          <w:b/>
          <w:lang w:val="bg-BG"/>
        </w:rPr>
        <w:t>Агенцията за устойчиво развитие и евроинтеграция – екорегиони (АУРЕ)</w:t>
      </w:r>
      <w:r w:rsidRPr="00B73D7E">
        <w:rPr>
          <w:b/>
          <w:vertAlign w:val="superscript"/>
          <w:lang w:val="bg-BG"/>
        </w:rPr>
        <w:footnoteReference w:id="117"/>
      </w:r>
      <w:r w:rsidRPr="00B73D7E">
        <w:rPr>
          <w:lang w:val="bg-BG"/>
        </w:rPr>
        <w:t xml:space="preserve"> е създадена през 1998 г. Напоследък тя работи в областта на интегрираното управление на данни в подкрепа на устойчивостта, хармонизирането със Системата за класифициране на земното покритие (LCCS) на ООН и новия глобален стандарт ISO 19144-2 [мета език относно земното покритие (LCML)] и в някои проекти за трансгранично сътрудничество за Долен Дунав.</w:t>
      </w:r>
    </w:p>
    <w:p w:rsidR="00AA4661" w:rsidRPr="00B73D7E" w:rsidRDefault="00AA4661" w:rsidP="00CF297A">
      <w:pPr>
        <w:pStyle w:val="BodyText"/>
        <w:numPr>
          <w:ilvl w:val="0"/>
          <w:numId w:val="41"/>
        </w:numPr>
        <w:ind w:left="0" w:firstLine="0"/>
        <w:rPr>
          <w:lang w:val="bg-BG"/>
        </w:rPr>
      </w:pPr>
      <w:r w:rsidRPr="00B73D7E">
        <w:rPr>
          <w:b/>
          <w:lang w:val="bg-BG"/>
        </w:rPr>
        <w:lastRenderedPageBreak/>
        <w:t>Българският съвет за устойчиво развитие (БСУР)</w:t>
      </w:r>
      <w:r w:rsidRPr="00B73D7E">
        <w:rPr>
          <w:vertAlign w:val="superscript"/>
          <w:lang w:val="bg-BG"/>
        </w:rPr>
        <w:t xml:space="preserve"> </w:t>
      </w:r>
      <w:r w:rsidRPr="00B73D7E">
        <w:rPr>
          <w:vertAlign w:val="superscript"/>
          <w:lang w:val="bg-BG"/>
        </w:rPr>
        <w:footnoteReference w:id="118"/>
      </w:r>
      <w:r w:rsidRPr="00B73D7E">
        <w:rPr>
          <w:lang w:val="bg-BG"/>
        </w:rPr>
        <w:t xml:space="preserve"> е създаден през 2009 г. като организация с нестопанска цел, съсредоточена върху устойчивото строителство. Той насърчава прилагането на международните строителни стандарти, практики и технологии за проектиране, както и застъпничеството в областта на политиката на зелено строителство  и проектиране, обмена на информация и образованието. През 2011 г. Съветът регистрира БСУР Академия за обучение по устойчиво строителство, градско планиране и проектиране, енергийна ефективност, екологични строителни материали и иновативни практики. Той е упълномощен да осигурява  сертифициране  по системите на Съвета по устойчиво развитие на Германия (DGNB) и Лидерство в енергийното и екологично проектиране (LEED) за зелено строителство.</w:t>
      </w:r>
    </w:p>
    <w:p w:rsidR="00AA4661" w:rsidRPr="00B73D7E" w:rsidRDefault="00AA4661" w:rsidP="00CF297A">
      <w:pPr>
        <w:pStyle w:val="BodyText"/>
        <w:numPr>
          <w:ilvl w:val="0"/>
          <w:numId w:val="41"/>
        </w:numPr>
        <w:ind w:left="0" w:firstLine="0"/>
        <w:rPr>
          <w:lang w:val="bg-BG"/>
        </w:rPr>
      </w:pPr>
      <w:r w:rsidRPr="00B73D7E">
        <w:rPr>
          <w:b/>
          <w:lang w:val="bg-BG"/>
        </w:rPr>
        <w:t>Енергийна агенция SOFENA</w:t>
      </w:r>
      <w:r w:rsidRPr="00B73D7E">
        <w:rPr>
          <w:vertAlign w:val="superscript"/>
          <w:lang w:val="bg-BG"/>
        </w:rPr>
        <w:footnoteReference w:id="119"/>
      </w:r>
      <w:r w:rsidRPr="00B73D7E">
        <w:rPr>
          <w:i/>
          <w:lang w:val="bg-BG"/>
        </w:rPr>
        <w:t xml:space="preserve"> </w:t>
      </w:r>
      <w:r w:rsidRPr="00B73D7E">
        <w:rPr>
          <w:lang w:val="bg-BG"/>
        </w:rPr>
        <w:t>е създадена през 2001 г. по многогодишната програма за насърчаване на енергийна ефективност на Европейския съюз за периода 1996-2000 г. (SAVE II). Както е посочено в договора с ЕС, новосъздадените агенции ENERGIEBUREAU LIMBURG (Холандия) и APEA (Италия) са партньори на SOFENA (България) и координират своите дейности през тригодишния срок на договора. SOFENA е неправителствена организация и юридическо лице с нестопанска цел. Сред основателите са Столична община и Държавната агенция за енергийна ефективност. Основните цели включват подпомагане на Столична община в разработването на устойчива енергийна политика и модели за енергийно планиране.</w:t>
      </w:r>
    </w:p>
    <w:p w:rsidR="00AA4661" w:rsidRPr="00B73D7E" w:rsidRDefault="00AA4661" w:rsidP="00CF297A">
      <w:pPr>
        <w:pStyle w:val="BodyText"/>
        <w:numPr>
          <w:ilvl w:val="0"/>
          <w:numId w:val="41"/>
        </w:numPr>
        <w:ind w:left="0" w:firstLine="0"/>
        <w:rPr>
          <w:lang w:val="bg-BG"/>
        </w:rPr>
      </w:pPr>
      <w:r w:rsidRPr="00B73D7E">
        <w:rPr>
          <w:b/>
          <w:lang w:val="bg-BG"/>
        </w:rPr>
        <w:t>Регионалната агенция за предприемачество и иновации (РАПИВ)</w:t>
      </w:r>
      <w:r w:rsidRPr="00B73D7E">
        <w:rPr>
          <w:i/>
          <w:lang w:val="bg-BG"/>
        </w:rPr>
        <w:t xml:space="preserve">, </w:t>
      </w:r>
      <w:r w:rsidRPr="00B73D7E">
        <w:rPr>
          <w:lang w:val="bg-BG"/>
        </w:rPr>
        <w:t xml:space="preserve">създадена през 2002 г., е неправителствена утилитарна организация с нестопанска цел, която осъществява дейността си в обществена полза, за стимулиране на регионалната икономика чрез развитие на предприемачеството и иновациите. Тя работи върху иновациите в областта на енергийната ефективност и АИК. </w:t>
      </w:r>
    </w:p>
    <w:p w:rsidR="00AA4661" w:rsidRPr="00B73D7E" w:rsidRDefault="00AA4661" w:rsidP="00CF297A">
      <w:pPr>
        <w:pStyle w:val="BodyText"/>
        <w:numPr>
          <w:ilvl w:val="0"/>
          <w:numId w:val="41"/>
        </w:numPr>
        <w:ind w:left="0" w:firstLine="0"/>
        <w:rPr>
          <w:lang w:val="bg-BG"/>
        </w:rPr>
      </w:pPr>
      <w:r w:rsidRPr="00B73D7E">
        <w:rPr>
          <w:lang w:val="bg-BG"/>
        </w:rPr>
        <w:t xml:space="preserve">Столична община има дългогодишен опит в областта на партнирането. С оглед </w:t>
      </w:r>
      <w:r w:rsidRPr="00B73D7E">
        <w:rPr>
          <w:color w:val="000000"/>
          <w:lang w:val="bg-BG"/>
        </w:rPr>
        <w:t>подобряване</w:t>
      </w:r>
      <w:r w:rsidRPr="00B73D7E">
        <w:rPr>
          <w:lang w:val="bg-BG"/>
        </w:rPr>
        <w:t xml:space="preserve"> на дейността на НПО, тя изложи идеята за по-добро легитимиране, което доведе до формиране на коалиция на неправителствени организации. Активните екологични НПО са </w:t>
      </w:r>
      <w:r w:rsidRPr="00B73D7E">
        <w:rPr>
          <w:i/>
          <w:lang w:val="bg-BG"/>
        </w:rPr>
        <w:t>"</w:t>
      </w:r>
      <w:r w:rsidRPr="00B73D7E">
        <w:rPr>
          <w:lang w:val="bg-BG"/>
        </w:rPr>
        <w:t xml:space="preserve">Зелена София", </w:t>
      </w:r>
      <w:r w:rsidR="00AE2FAC" w:rsidRPr="00B73D7E">
        <w:rPr>
          <w:lang w:val="bg-BG"/>
        </w:rPr>
        <w:t>Cleantech Bulgaria</w:t>
      </w:r>
      <w:r w:rsidR="00AE2FAC" w:rsidRPr="00F8728A">
        <w:rPr>
          <w:lang w:val="bg-BG"/>
        </w:rPr>
        <w:t>, „Подслон за човечеството“</w:t>
      </w:r>
      <w:r w:rsidR="005645AE" w:rsidRPr="00B73D7E">
        <w:rPr>
          <w:lang w:val="bg-BG"/>
        </w:rPr>
        <w:t>/</w:t>
      </w:r>
      <w:r w:rsidR="005645AE" w:rsidRPr="00F8728A">
        <w:rPr>
          <w:lang w:val="bg-BG"/>
        </w:rPr>
        <w:t xml:space="preserve"> Хабитат</w:t>
      </w:r>
      <w:r w:rsidR="00AE2FAC" w:rsidRPr="00F8728A">
        <w:rPr>
          <w:lang w:val="bg-BG"/>
        </w:rPr>
        <w:t xml:space="preserve"> България, </w:t>
      </w:r>
      <w:r w:rsidR="00593968" w:rsidRPr="00F8728A">
        <w:rPr>
          <w:lang w:val="bg-BG"/>
        </w:rPr>
        <w:t xml:space="preserve">Сдружение „Трансформатори“, „Спаси София“, </w:t>
      </w:r>
      <w:r w:rsidRPr="00B73D7E">
        <w:rPr>
          <w:lang w:val="bg-BG"/>
        </w:rPr>
        <w:t xml:space="preserve">"За Земята", "Втори шанс", Фондация "Блулинк", Фондация "ЕкоОбщност", </w:t>
      </w:r>
      <w:r w:rsidR="00AE2FAC" w:rsidRPr="00F8728A">
        <w:rPr>
          <w:lang w:val="bg-BG"/>
        </w:rPr>
        <w:t xml:space="preserve">Енергийна агенция, Пловдив, </w:t>
      </w:r>
      <w:r w:rsidRPr="00B73D7E">
        <w:rPr>
          <w:lang w:val="bg-BG"/>
        </w:rPr>
        <w:t>Алтернативна енергия (Бургас) и много други в цялата страна</w:t>
      </w:r>
      <w:r w:rsidRPr="00B73D7E">
        <w:rPr>
          <w:vertAlign w:val="superscript"/>
          <w:lang w:val="bg-BG"/>
        </w:rPr>
        <w:footnoteReference w:id="120"/>
      </w:r>
      <w:r w:rsidRPr="00B73D7E">
        <w:rPr>
          <w:lang w:val="bg-BG"/>
        </w:rPr>
        <w:t>.</w:t>
      </w:r>
    </w:p>
    <w:p w:rsidR="00AA4661" w:rsidRPr="00B73D7E" w:rsidRDefault="00AA4661" w:rsidP="00CF297A">
      <w:pPr>
        <w:pStyle w:val="BodyText"/>
        <w:numPr>
          <w:ilvl w:val="0"/>
          <w:numId w:val="41"/>
        </w:numPr>
        <w:ind w:left="0" w:firstLine="0"/>
        <w:rPr>
          <w:lang w:val="bg-BG"/>
        </w:rPr>
      </w:pPr>
      <w:r w:rsidRPr="00B73D7E">
        <w:rPr>
          <w:lang w:val="bg-BG"/>
        </w:rPr>
        <w:t xml:space="preserve">Най-успешни са НПО, работещи в тясно сътрудничество с българските общини и тези, които работят с методическа и финансова подкрепа от международни и европейски организации и фондове. </w:t>
      </w:r>
    </w:p>
    <w:p w:rsidR="00AA4661" w:rsidRPr="00B73D7E" w:rsidRDefault="00AA4661" w:rsidP="00CF297A">
      <w:pPr>
        <w:pStyle w:val="BodyText"/>
        <w:numPr>
          <w:ilvl w:val="0"/>
          <w:numId w:val="41"/>
        </w:numPr>
        <w:ind w:left="0" w:firstLine="0"/>
        <w:rPr>
          <w:lang w:val="bg-BG"/>
        </w:rPr>
      </w:pPr>
      <w:r w:rsidRPr="00B73D7E">
        <w:rPr>
          <w:lang w:val="bg-BG"/>
        </w:rPr>
        <w:t>При спешни случаи координацията и комуникацията между различните институции и структури се осъществява чрез комуникационните информационни центрове на МВР, съгласно чл.29 от Закона за защита при бедствия.</w:t>
      </w:r>
    </w:p>
    <w:p w:rsidR="00AA4661" w:rsidRPr="00B73D7E" w:rsidRDefault="00AA4661" w:rsidP="00E21095">
      <w:pPr>
        <w:pStyle w:val="Heading2"/>
        <w:numPr>
          <w:ilvl w:val="1"/>
          <w:numId w:val="25"/>
        </w:numPr>
        <w:spacing w:line="240" w:lineRule="auto"/>
        <w:ind w:left="0" w:firstLine="0"/>
        <w:rPr>
          <w:lang w:val="bg-BG"/>
        </w:rPr>
      </w:pPr>
      <w:bookmarkStart w:id="257" w:name="_Toc486259779"/>
      <w:bookmarkStart w:id="258" w:name="_Toc486942187"/>
      <w:bookmarkStart w:id="259" w:name="_Toc501454864"/>
      <w:bookmarkStart w:id="260" w:name="_Toc522030566"/>
      <w:bookmarkStart w:id="261" w:name="_Toc529285551"/>
      <w:r w:rsidRPr="00B73D7E">
        <w:rPr>
          <w:lang w:val="bg-BG"/>
        </w:rPr>
        <w:t>Финансови и човешки  ресурси в България</w:t>
      </w:r>
      <w:bookmarkEnd w:id="257"/>
      <w:bookmarkEnd w:id="258"/>
      <w:bookmarkEnd w:id="259"/>
      <w:bookmarkEnd w:id="260"/>
      <w:bookmarkEnd w:id="261"/>
    </w:p>
    <w:p w:rsidR="00AA4661" w:rsidRPr="00B73D7E" w:rsidRDefault="00AA4661" w:rsidP="00CF297A">
      <w:pPr>
        <w:pStyle w:val="BodyText"/>
        <w:numPr>
          <w:ilvl w:val="0"/>
          <w:numId w:val="41"/>
        </w:numPr>
        <w:ind w:left="0" w:firstLine="0"/>
        <w:rPr>
          <w:lang w:val="bg-BG"/>
        </w:rPr>
      </w:pPr>
      <w:r w:rsidRPr="00B73D7E">
        <w:rPr>
          <w:lang w:val="bg-BG"/>
        </w:rPr>
        <w:lastRenderedPageBreak/>
        <w:t>Основните източници на финансиране за адаптиране към изменението на климата и за справяне с възникващи бедствия в градската среда са държавният бюджет, общинските бюджети и структурните фондове на ЕС.</w:t>
      </w:r>
    </w:p>
    <w:p w:rsidR="00AA4661" w:rsidRPr="00B73D7E" w:rsidRDefault="00AA4661" w:rsidP="00CF297A">
      <w:pPr>
        <w:pStyle w:val="BodyText"/>
        <w:numPr>
          <w:ilvl w:val="0"/>
          <w:numId w:val="41"/>
        </w:numPr>
        <w:ind w:left="0" w:firstLine="0"/>
        <w:rPr>
          <w:lang w:val="bg-BG"/>
        </w:rPr>
      </w:pPr>
      <w:r w:rsidRPr="00B73D7E">
        <w:rPr>
          <w:lang w:val="bg-BG"/>
        </w:rPr>
        <w:t>Когато финансирането е за сметка на държавния бюджет съгласно Закона за защита при бедствия, финансовите средства за изпълнение на Националната програма за защита при бедствия за периода 2014–2018 г. се осигуряват от бюджетите на съответните министерства и ведомства и чрез бюджетните отношения на общините с централния бюджет, предвидени в Закона за държавния бюджет на Република България за съответната година.</w:t>
      </w:r>
    </w:p>
    <w:p w:rsidR="00AA4661" w:rsidRPr="00B73D7E" w:rsidRDefault="00AA4661" w:rsidP="00CF297A">
      <w:pPr>
        <w:pStyle w:val="BodyText"/>
        <w:numPr>
          <w:ilvl w:val="0"/>
          <w:numId w:val="41"/>
        </w:numPr>
        <w:ind w:left="0" w:firstLine="0"/>
        <w:rPr>
          <w:lang w:val="bg-BG"/>
        </w:rPr>
      </w:pPr>
      <w:r w:rsidRPr="00B73D7E">
        <w:rPr>
          <w:lang w:val="bg-BG"/>
        </w:rPr>
        <w:t xml:space="preserve">Всяко министерство и органите на местно самоуправление, отговарящи за конкретна дейност по програмата, трябва да разполагат с актуални оценки за необходимите разходи за дейности в областта на ангажиментите си към изпълнението на програмата. От всяка институция се очаква да определи кои политики и дейности, свързани с програмата, ще получат финансова подкрепа. </w:t>
      </w:r>
    </w:p>
    <w:p w:rsidR="00AA4661" w:rsidRPr="00B73D7E" w:rsidRDefault="00AA4661" w:rsidP="00CF297A">
      <w:pPr>
        <w:pStyle w:val="BodyText"/>
        <w:numPr>
          <w:ilvl w:val="0"/>
          <w:numId w:val="41"/>
        </w:numPr>
        <w:ind w:left="0" w:firstLine="0"/>
        <w:rPr>
          <w:lang w:val="bg-BG"/>
        </w:rPr>
      </w:pPr>
      <w:r w:rsidRPr="00B73D7E">
        <w:rPr>
          <w:lang w:val="bg-BG"/>
        </w:rPr>
        <w:t>Средствата за изпълнението на програмата трябва да бъдат вписани в бюджета от съответните бюджетни разпоредители. Те трябва да бъдат декларирани от министерствата и агенциите всяка година по време на бюджетната процедура за съответната година.</w:t>
      </w:r>
    </w:p>
    <w:p w:rsidR="00AA4661" w:rsidRPr="00B73D7E" w:rsidRDefault="00AA4661" w:rsidP="00CF297A">
      <w:pPr>
        <w:pStyle w:val="BodyText"/>
        <w:numPr>
          <w:ilvl w:val="0"/>
          <w:numId w:val="41"/>
        </w:numPr>
        <w:ind w:left="0" w:firstLine="0"/>
        <w:rPr>
          <w:lang w:val="bg-BG"/>
        </w:rPr>
      </w:pPr>
      <w:r w:rsidRPr="00B73D7E">
        <w:rPr>
          <w:lang w:val="bg-BG"/>
        </w:rPr>
        <w:t xml:space="preserve">Съгласно чл. 56 от Закона за защита при бедствия, междуведомствената комисия за възстановяване и подпомагане към Министерския съвет приема решение за </w:t>
      </w:r>
      <w:r w:rsidR="007464B1" w:rsidRPr="00F8728A">
        <w:rPr>
          <w:lang w:val="bg-BG"/>
        </w:rPr>
        <w:t>предоставяне</w:t>
      </w:r>
      <w:r w:rsidR="007464B1" w:rsidRPr="00B73D7E">
        <w:rPr>
          <w:lang w:val="bg-BG"/>
        </w:rPr>
        <w:t xml:space="preserve"> </w:t>
      </w:r>
      <w:r w:rsidRPr="00B73D7E">
        <w:rPr>
          <w:lang w:val="bg-BG"/>
        </w:rPr>
        <w:t xml:space="preserve">на средства от </w:t>
      </w:r>
      <w:r w:rsidR="007464B1" w:rsidRPr="00B73D7E">
        <w:rPr>
          <w:lang w:val="bg-BG"/>
        </w:rPr>
        <w:t>резерв</w:t>
      </w:r>
      <w:r w:rsidR="007464B1" w:rsidRPr="00F8728A">
        <w:rPr>
          <w:lang w:val="bg-BG"/>
        </w:rPr>
        <w:t>а</w:t>
      </w:r>
      <w:r w:rsidR="007464B1" w:rsidRPr="00B73D7E">
        <w:rPr>
          <w:lang w:val="bg-BG"/>
        </w:rPr>
        <w:t xml:space="preserve"> </w:t>
      </w:r>
      <w:r w:rsidRPr="00B73D7E">
        <w:rPr>
          <w:lang w:val="bg-BG"/>
        </w:rPr>
        <w:t xml:space="preserve">за непредвидени и/или </w:t>
      </w:r>
      <w:r w:rsidR="007464B1" w:rsidRPr="00F8728A">
        <w:rPr>
          <w:lang w:val="bg-BG"/>
        </w:rPr>
        <w:t>неотложни</w:t>
      </w:r>
      <w:r w:rsidR="007464B1" w:rsidRPr="00B73D7E">
        <w:rPr>
          <w:lang w:val="bg-BG"/>
        </w:rPr>
        <w:t xml:space="preserve"> </w:t>
      </w:r>
      <w:r w:rsidRPr="00B73D7E">
        <w:rPr>
          <w:lang w:val="bg-BG"/>
        </w:rPr>
        <w:t xml:space="preserve">разходи </w:t>
      </w:r>
      <w:r w:rsidR="007464B1" w:rsidRPr="00F8728A">
        <w:rPr>
          <w:lang w:val="bg-BG"/>
        </w:rPr>
        <w:t>в</w:t>
      </w:r>
      <w:r w:rsidR="007464B1" w:rsidRPr="00B73D7E">
        <w:rPr>
          <w:lang w:val="bg-BG"/>
        </w:rPr>
        <w:t xml:space="preserve"> </w:t>
      </w:r>
      <w:r w:rsidRPr="00B73D7E">
        <w:rPr>
          <w:lang w:val="bg-BG"/>
        </w:rPr>
        <w:t>част</w:t>
      </w:r>
      <w:r w:rsidR="007464B1" w:rsidRPr="00F8728A">
        <w:rPr>
          <w:lang w:val="bg-BG"/>
        </w:rPr>
        <w:t>та</w:t>
      </w:r>
      <w:r w:rsidRPr="00B73D7E">
        <w:rPr>
          <w:lang w:val="bg-BG"/>
        </w:rPr>
        <w:t xml:space="preserve"> </w:t>
      </w:r>
      <w:r w:rsidR="007464B1" w:rsidRPr="00F8728A">
        <w:rPr>
          <w:lang w:val="bg-BG"/>
        </w:rPr>
        <w:t>за</w:t>
      </w:r>
      <w:r w:rsidR="007464B1" w:rsidRPr="00B73D7E">
        <w:rPr>
          <w:lang w:val="bg-BG"/>
        </w:rPr>
        <w:t xml:space="preserve"> </w:t>
      </w:r>
      <w:r w:rsidRPr="00B73D7E">
        <w:rPr>
          <w:lang w:val="bg-BG"/>
        </w:rPr>
        <w:t>пре</w:t>
      </w:r>
      <w:r w:rsidR="007464B1" w:rsidRPr="00F8728A">
        <w:rPr>
          <w:lang w:val="bg-BG"/>
        </w:rPr>
        <w:t>дотвратяване</w:t>
      </w:r>
      <w:r w:rsidRPr="00B73D7E">
        <w:rPr>
          <w:lang w:val="bg-BG"/>
        </w:rPr>
        <w:t xml:space="preserve">, </w:t>
      </w:r>
      <w:r w:rsidR="007464B1" w:rsidRPr="00F8728A">
        <w:rPr>
          <w:lang w:val="bg-BG"/>
        </w:rPr>
        <w:t>овладяване</w:t>
      </w:r>
      <w:r w:rsidR="007464B1" w:rsidRPr="00B73D7E">
        <w:rPr>
          <w:lang w:val="bg-BG"/>
        </w:rPr>
        <w:t xml:space="preserve"> </w:t>
      </w:r>
      <w:r w:rsidRPr="00B73D7E">
        <w:rPr>
          <w:lang w:val="bg-BG"/>
        </w:rPr>
        <w:t>и преодоляване на последиците от бедствия и контролира тяхното целево изразходване. Решението на комисията се одобрява от Министерския съвет.</w:t>
      </w:r>
    </w:p>
    <w:p w:rsidR="00AA4661" w:rsidRPr="00B73D7E" w:rsidRDefault="00AA4661" w:rsidP="00CF297A">
      <w:pPr>
        <w:pStyle w:val="BodyText"/>
        <w:numPr>
          <w:ilvl w:val="0"/>
          <w:numId w:val="41"/>
        </w:numPr>
        <w:ind w:left="0" w:firstLine="0"/>
        <w:rPr>
          <w:lang w:val="bg-BG"/>
        </w:rPr>
      </w:pPr>
      <w:r w:rsidRPr="00B73D7E">
        <w:rPr>
          <w:lang w:val="bg-BG"/>
        </w:rPr>
        <w:t xml:space="preserve">Министерският съвет определя лимит </w:t>
      </w:r>
      <w:r w:rsidR="007464B1" w:rsidRPr="00F8728A">
        <w:rPr>
          <w:lang w:val="bg-BG"/>
        </w:rPr>
        <w:t>не по-малък от</w:t>
      </w:r>
      <w:r w:rsidRPr="00B73D7E">
        <w:rPr>
          <w:lang w:val="bg-BG"/>
        </w:rPr>
        <w:t xml:space="preserve"> 15 процента от средствата </w:t>
      </w:r>
      <w:r w:rsidR="007464B1" w:rsidRPr="00F8728A">
        <w:rPr>
          <w:lang w:val="bg-BG"/>
        </w:rPr>
        <w:t>в рамките на резерва за непре</w:t>
      </w:r>
      <w:r w:rsidR="00CA3F8A" w:rsidRPr="00F8728A">
        <w:rPr>
          <w:lang w:val="bg-BG"/>
        </w:rPr>
        <w:t>д</w:t>
      </w:r>
      <w:r w:rsidR="007464B1" w:rsidRPr="00F8728A">
        <w:rPr>
          <w:lang w:val="bg-BG"/>
        </w:rPr>
        <w:t xml:space="preserve">видени </w:t>
      </w:r>
      <w:r w:rsidRPr="00B73D7E">
        <w:rPr>
          <w:lang w:val="bg-BG"/>
        </w:rPr>
        <w:t xml:space="preserve">и/или </w:t>
      </w:r>
      <w:r w:rsidR="007464B1" w:rsidRPr="00F8728A">
        <w:rPr>
          <w:lang w:val="bg-BG"/>
        </w:rPr>
        <w:t>неотложни</w:t>
      </w:r>
      <w:r w:rsidR="007464B1" w:rsidRPr="00B73D7E">
        <w:rPr>
          <w:lang w:val="bg-BG"/>
        </w:rPr>
        <w:t xml:space="preserve"> </w:t>
      </w:r>
      <w:r w:rsidRPr="00B73D7E">
        <w:rPr>
          <w:lang w:val="bg-BG"/>
        </w:rPr>
        <w:t>разходи за пре</w:t>
      </w:r>
      <w:r w:rsidR="007464B1" w:rsidRPr="00F8728A">
        <w:rPr>
          <w:lang w:val="bg-BG"/>
        </w:rPr>
        <w:t>одотвратяване</w:t>
      </w:r>
      <w:r w:rsidRPr="00B73D7E">
        <w:rPr>
          <w:lang w:val="bg-BG"/>
        </w:rPr>
        <w:t xml:space="preserve">, </w:t>
      </w:r>
      <w:r w:rsidR="007464B1" w:rsidRPr="00F8728A">
        <w:rPr>
          <w:lang w:val="bg-BG"/>
        </w:rPr>
        <w:t>овладяване</w:t>
      </w:r>
      <w:r w:rsidR="007464B1" w:rsidRPr="00B73D7E">
        <w:rPr>
          <w:lang w:val="bg-BG"/>
        </w:rPr>
        <w:t xml:space="preserve"> </w:t>
      </w:r>
      <w:r w:rsidRPr="00B73D7E">
        <w:rPr>
          <w:lang w:val="bg-BG"/>
        </w:rPr>
        <w:t xml:space="preserve">и преодоляване на последиците от бедствията  за финансиране на: превантивни дейности и дейности </w:t>
      </w:r>
      <w:r w:rsidR="00517AF3" w:rsidRPr="00F8728A">
        <w:rPr>
          <w:lang w:val="bg-BG"/>
        </w:rPr>
        <w:t xml:space="preserve">по подготовка за реагиране от програмите </w:t>
      </w:r>
      <w:r w:rsidRPr="00B73D7E">
        <w:rPr>
          <w:lang w:val="bg-BG"/>
        </w:rPr>
        <w:t xml:space="preserve">за намаляване риска от бедствия като допълнително финансиране </w:t>
      </w:r>
      <w:r w:rsidR="00517AF3" w:rsidRPr="00F8728A">
        <w:rPr>
          <w:lang w:val="bg-BG"/>
        </w:rPr>
        <w:t>към</w:t>
      </w:r>
      <w:r w:rsidR="00517AF3" w:rsidRPr="00B73D7E">
        <w:rPr>
          <w:lang w:val="bg-BG"/>
        </w:rPr>
        <w:t xml:space="preserve"> </w:t>
      </w:r>
      <w:r w:rsidRPr="00B73D7E">
        <w:rPr>
          <w:lang w:val="bg-BG"/>
        </w:rPr>
        <w:t>одобрения бюджет на съответния компетентен орган и/или към средствата, предоставени от други източници.</w:t>
      </w:r>
    </w:p>
    <w:p w:rsidR="00AA4661" w:rsidRPr="00B73D7E" w:rsidRDefault="00AA4661" w:rsidP="00CF297A">
      <w:pPr>
        <w:pStyle w:val="BodyText"/>
        <w:numPr>
          <w:ilvl w:val="0"/>
          <w:numId w:val="41"/>
        </w:numPr>
        <w:ind w:left="0" w:firstLine="0"/>
        <w:rPr>
          <w:lang w:val="bg-BG"/>
        </w:rPr>
      </w:pPr>
      <w:r w:rsidRPr="00B73D7E">
        <w:rPr>
          <w:lang w:val="bg-BG"/>
        </w:rPr>
        <w:t>Финансовото и материално</w:t>
      </w:r>
      <w:r w:rsidR="00517AF3" w:rsidRPr="00F8728A">
        <w:rPr>
          <w:lang w:val="bg-BG"/>
        </w:rPr>
        <w:t>-техническото</w:t>
      </w:r>
      <w:r w:rsidRPr="00B73D7E">
        <w:rPr>
          <w:lang w:val="bg-BG"/>
        </w:rPr>
        <w:t xml:space="preserve"> подсигуряване на защитата при бедствия се осигурява от бюджетите на министерствата и агенциите, общинските бюджети, търговски</w:t>
      </w:r>
      <w:r w:rsidR="00517AF3" w:rsidRPr="00F8728A">
        <w:rPr>
          <w:lang w:val="bg-BG"/>
        </w:rPr>
        <w:t>те дружества</w:t>
      </w:r>
      <w:r w:rsidRPr="00B73D7E">
        <w:rPr>
          <w:lang w:val="bg-BG"/>
        </w:rPr>
        <w:t xml:space="preserve"> и еднолични</w:t>
      </w:r>
      <w:r w:rsidR="00517AF3" w:rsidRPr="00F8728A">
        <w:rPr>
          <w:lang w:val="bg-BG"/>
        </w:rPr>
        <w:t>те</w:t>
      </w:r>
      <w:r w:rsidRPr="00B73D7E">
        <w:rPr>
          <w:lang w:val="bg-BG"/>
        </w:rPr>
        <w:t xml:space="preserve"> търговци за </w:t>
      </w:r>
      <w:r w:rsidR="00D51657" w:rsidRPr="00F8728A">
        <w:rPr>
          <w:lang w:val="bg-BG"/>
        </w:rPr>
        <w:t xml:space="preserve">обектите </w:t>
      </w:r>
      <w:r w:rsidRPr="00B73D7E">
        <w:rPr>
          <w:lang w:val="bg-BG"/>
        </w:rPr>
        <w:t xml:space="preserve">им, от структурните фондове на ЕС и от други източници. </w:t>
      </w:r>
    </w:p>
    <w:p w:rsidR="00AA4661" w:rsidRPr="00B73D7E" w:rsidRDefault="00AA4661" w:rsidP="00CF297A">
      <w:pPr>
        <w:pStyle w:val="BodyText"/>
        <w:numPr>
          <w:ilvl w:val="0"/>
          <w:numId w:val="41"/>
        </w:numPr>
        <w:ind w:left="0" w:firstLine="0"/>
        <w:rPr>
          <w:lang w:val="bg-BG"/>
        </w:rPr>
      </w:pPr>
      <w:r w:rsidRPr="00B73D7E">
        <w:rPr>
          <w:lang w:val="bg-BG"/>
        </w:rPr>
        <w:t xml:space="preserve">Един от стратегическите приоритети за национално финансиране по време на програмния период 2014–2020 г., определен в Споразумението за партньорство на страната с ЕС, е "Свързаност и зелена икономика за устойчив растеж". Той има подприоритет, дефиниран като "Климат и изменение на климата, предотвратяване и управление на риска". Освен това една от 11-те тематични цели, чрез които България участва в изпълнението на Кохезионната политика, Общата селскостопанска политика </w:t>
      </w:r>
      <w:r w:rsidRPr="00B73D7E">
        <w:rPr>
          <w:lang w:val="bg-BG"/>
        </w:rPr>
        <w:lastRenderedPageBreak/>
        <w:t>(ОСП) и Общата политика в областта на рибарството (ОПОР) за периода 2014–2020 г., е тематична цел 5, насочена към "Насърчаване адаптирането към изменението на климата, превенция и управление на риска". Ключовите области на финансиране по тази тематична цел са (а) инвестиционни дейности за предотвратяване и управление на риска от изменението на климата и (б) обществена политика и изграждане на административен капацитет за адаптиране към изменението на климата.</w:t>
      </w:r>
    </w:p>
    <w:p w:rsidR="00AA4661" w:rsidRPr="00B73D7E" w:rsidRDefault="00AA4661" w:rsidP="00F8728A">
      <w:pPr>
        <w:pStyle w:val="BodyText"/>
        <w:numPr>
          <w:ilvl w:val="0"/>
          <w:numId w:val="41"/>
        </w:numPr>
        <w:spacing w:after="60"/>
        <w:ind w:left="0" w:firstLine="0"/>
        <w:rPr>
          <w:lang w:val="bg-BG"/>
        </w:rPr>
      </w:pPr>
      <w:r w:rsidRPr="00B73D7E">
        <w:rPr>
          <w:lang w:val="bg-BG"/>
        </w:rPr>
        <w:t>Сред европейските структурни и инвестиционни фондове (ЕСИФ), ЕФРР и Кохезионният фонд могат да финансират дейности, свързани с:</w:t>
      </w:r>
    </w:p>
    <w:p w:rsidR="00AA4661" w:rsidRPr="00B73D7E" w:rsidRDefault="00AA4661" w:rsidP="00B73D7E">
      <w:pPr>
        <w:pStyle w:val="ListParagraph1"/>
        <w:numPr>
          <w:ilvl w:val="0"/>
          <w:numId w:val="16"/>
        </w:numPr>
        <w:tabs>
          <w:tab w:val="left" w:pos="810"/>
        </w:tabs>
        <w:spacing w:after="60"/>
        <w:contextualSpacing w:val="0"/>
        <w:jc w:val="both"/>
        <w:rPr>
          <w:rFonts w:ascii="Times New Roman" w:hAnsi="Times New Roman"/>
          <w:sz w:val="24"/>
          <w:szCs w:val="24"/>
          <w:lang w:val="bg-BG"/>
        </w:rPr>
      </w:pPr>
      <w:r w:rsidRPr="00B73D7E">
        <w:rPr>
          <w:rFonts w:ascii="Times New Roman" w:hAnsi="Times New Roman"/>
          <w:sz w:val="24"/>
          <w:szCs w:val="24"/>
          <w:lang w:val="bg-BG"/>
        </w:rPr>
        <w:t>Намален риск от свлачища, наводнения и суши;</w:t>
      </w:r>
    </w:p>
    <w:p w:rsidR="00AA4661" w:rsidRPr="00B73D7E" w:rsidRDefault="00AA4661" w:rsidP="00B73D7E">
      <w:pPr>
        <w:pStyle w:val="ListParagraph1"/>
        <w:numPr>
          <w:ilvl w:val="0"/>
          <w:numId w:val="16"/>
        </w:numPr>
        <w:tabs>
          <w:tab w:val="left" w:pos="810"/>
        </w:tabs>
        <w:spacing w:after="60"/>
        <w:contextualSpacing w:val="0"/>
        <w:jc w:val="both"/>
        <w:rPr>
          <w:rFonts w:ascii="Times New Roman" w:hAnsi="Times New Roman"/>
          <w:sz w:val="24"/>
          <w:szCs w:val="24"/>
          <w:lang w:val="bg-BG"/>
        </w:rPr>
      </w:pPr>
      <w:r w:rsidRPr="00B73D7E">
        <w:rPr>
          <w:rFonts w:ascii="Times New Roman" w:hAnsi="Times New Roman"/>
          <w:sz w:val="24"/>
          <w:szCs w:val="24"/>
          <w:lang w:val="bg-BG"/>
        </w:rPr>
        <w:t>Изграждане на Национален център за управление на водите в реално време; и</w:t>
      </w:r>
    </w:p>
    <w:p w:rsidR="00AA4661" w:rsidRPr="00B73D7E" w:rsidRDefault="00AA4661" w:rsidP="00B73D7E">
      <w:pPr>
        <w:pStyle w:val="ListParagraph1"/>
        <w:numPr>
          <w:ilvl w:val="0"/>
          <w:numId w:val="16"/>
        </w:numPr>
        <w:tabs>
          <w:tab w:val="left" w:pos="810"/>
        </w:tabs>
        <w:contextualSpacing w:val="0"/>
        <w:jc w:val="both"/>
        <w:rPr>
          <w:rFonts w:ascii="Times New Roman" w:hAnsi="Times New Roman"/>
          <w:sz w:val="24"/>
          <w:szCs w:val="24"/>
          <w:lang w:val="bg-BG"/>
        </w:rPr>
      </w:pPr>
      <w:r w:rsidRPr="00B73D7E">
        <w:rPr>
          <w:rFonts w:ascii="Times New Roman" w:hAnsi="Times New Roman"/>
          <w:sz w:val="24"/>
          <w:szCs w:val="24"/>
          <w:lang w:val="bg-BG"/>
        </w:rPr>
        <w:t>Изграждане на капацитет за ефективна и ефикасна адаптация към изменението на климата, предотвратяване и управление на риска.</w:t>
      </w:r>
    </w:p>
    <w:p w:rsidR="00AA4661" w:rsidRPr="00B73D7E" w:rsidRDefault="00AA4661" w:rsidP="00CF297A">
      <w:pPr>
        <w:pStyle w:val="BodyText"/>
        <w:numPr>
          <w:ilvl w:val="0"/>
          <w:numId w:val="41"/>
        </w:numPr>
        <w:ind w:left="0" w:firstLine="0"/>
        <w:rPr>
          <w:lang w:val="bg-BG"/>
        </w:rPr>
      </w:pPr>
      <w:r w:rsidRPr="00B73D7E">
        <w:rPr>
          <w:lang w:val="bg-BG"/>
        </w:rPr>
        <w:t xml:space="preserve">Оперативна програма "Региони в растеж" (2014–2020 г.) насочва средства за обновяване на градовете по Приоритетна ос 1 - "Устойчиво и интегрирано градско развитие" и ги разпределя на градовете, одобрени за подпомагане от НКПР. </w:t>
      </w:r>
    </w:p>
    <w:p w:rsidR="00AA4661" w:rsidRPr="00F8728A" w:rsidRDefault="00AA4661" w:rsidP="00B73D7E">
      <w:pPr>
        <w:pStyle w:val="FiguresTablesCaption"/>
        <w:spacing w:before="160" w:after="80"/>
      </w:pPr>
      <w:bookmarkStart w:id="262" w:name="_Toc506143768"/>
      <w:bookmarkStart w:id="263" w:name="_Toc529286491"/>
      <w:bookmarkStart w:id="264" w:name="_Toc529286566"/>
      <w:r w:rsidRPr="00F8728A">
        <w:t xml:space="preserve">Фигура </w:t>
      </w:r>
      <w:r w:rsidRPr="00F8728A">
        <w:fldChar w:fldCharType="begin"/>
      </w:r>
      <w:r w:rsidRPr="00F8728A">
        <w:instrText xml:space="preserve"> SEQ Figure \* ARABIC </w:instrText>
      </w:r>
      <w:r w:rsidRPr="00F8728A">
        <w:fldChar w:fldCharType="separate"/>
      </w:r>
      <w:r w:rsidRPr="00F8728A">
        <w:t>16</w:t>
      </w:r>
      <w:r w:rsidRPr="00F8728A">
        <w:fldChar w:fldCharType="end"/>
      </w:r>
      <w:r w:rsidRPr="00F8728A">
        <w:t>. Български градове, легитимни за финансиране по ОП "Региони в растеж"</w:t>
      </w:r>
      <w:r w:rsidRPr="00F8728A">
        <w:br/>
        <w:t>2014–2020</w:t>
      </w:r>
      <w:bookmarkEnd w:id="262"/>
      <w:r w:rsidRPr="00F8728A">
        <w:t xml:space="preserve"> г.</w:t>
      </w:r>
      <w:bookmarkEnd w:id="263"/>
      <w:bookmarkEnd w:id="264"/>
    </w:p>
    <w:p w:rsidR="00AA4661" w:rsidRPr="00F8728A" w:rsidRDefault="00084198" w:rsidP="00BD57F3">
      <w:pPr>
        <w:pStyle w:val="TableHeading"/>
      </w:pPr>
      <w:r w:rsidRPr="00B73D7E">
        <w:rPr>
          <w:noProof/>
          <w:lang w:val="en-US"/>
        </w:rPr>
        <w:drawing>
          <wp:inline distT="0" distB="0" distL="0" distR="0" wp14:anchorId="27559731" wp14:editId="19960B12">
            <wp:extent cx="5293948" cy="3692324"/>
            <wp:effectExtent l="19050" t="19050" r="21590" b="22860"/>
            <wp:docPr id="17"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42">
                      <a:extLst>
                        <a:ext uri="{28A0092B-C50C-407E-A947-70E740481C1C}">
                          <a14:useLocalDpi xmlns:a14="http://schemas.microsoft.com/office/drawing/2010/main" val="0"/>
                        </a:ext>
                      </a:extLst>
                    </a:blip>
                    <a:srcRect l="783" t="1123" r="598" b="1431"/>
                    <a:stretch>
                      <a:fillRect/>
                    </a:stretch>
                  </pic:blipFill>
                  <pic:spPr bwMode="auto">
                    <a:xfrm>
                      <a:off x="0" y="0"/>
                      <a:ext cx="5301529" cy="3697612"/>
                    </a:xfrm>
                    <a:prstGeom prst="rect">
                      <a:avLst/>
                    </a:prstGeom>
                    <a:noFill/>
                    <a:ln w="9525" cmpd="sng" algn="ctr">
                      <a:solidFill>
                        <a:srgbClr val="5B9BD5"/>
                      </a:solidFill>
                      <a:miter lim="800000"/>
                      <a:headEnd/>
                      <a:tailEnd/>
                    </a:ln>
                    <a:effectLst/>
                  </pic:spPr>
                </pic:pic>
              </a:graphicData>
            </a:graphic>
          </wp:inline>
        </w:drawing>
      </w:r>
    </w:p>
    <w:p w:rsidR="00AA4661" w:rsidRPr="00F8728A" w:rsidRDefault="00AA4661" w:rsidP="00585E1B">
      <w:pPr>
        <w:pStyle w:val="Source"/>
        <w:spacing w:line="276" w:lineRule="auto"/>
        <w:jc w:val="center"/>
      </w:pPr>
      <w:r w:rsidRPr="00F8728A">
        <w:t>Източник: НКПР 2013–2025 г., ОПРР, НСРР 2012–2022 г.</w:t>
      </w:r>
    </w:p>
    <w:p w:rsidR="00AA4661" w:rsidRPr="00B73D7E" w:rsidRDefault="00AA4661" w:rsidP="00CF297A">
      <w:pPr>
        <w:pStyle w:val="BodyText"/>
        <w:numPr>
          <w:ilvl w:val="0"/>
          <w:numId w:val="41"/>
        </w:numPr>
        <w:ind w:left="0" w:firstLine="0"/>
        <w:rPr>
          <w:lang w:val="bg-BG"/>
        </w:rPr>
      </w:pPr>
      <w:r w:rsidRPr="00B73D7E">
        <w:rPr>
          <w:lang w:val="bg-BG"/>
        </w:rPr>
        <w:t xml:space="preserve">Приоритетна ос 1 предвижда финансиране на проекти за интегриран градски транспорт, които трябва да имат за цел подобряване на градската мобилност и намаляване замърсяването на околната среда. В допълнение към обновяването на жилищни територии и сгради ще бъдат обновени важни културни сгради и икономически зони с потенциал и наличие на инвестиционен интерес. ИПГВР </w:t>
      </w:r>
      <w:r w:rsidRPr="00B73D7E">
        <w:rPr>
          <w:lang w:val="bg-BG"/>
        </w:rPr>
        <w:lastRenderedPageBreak/>
        <w:t xml:space="preserve">предвиждат подмяна на подземната инфраструктура по време на обновяването на градските открити пространства. ИПГВР на София включва сред приоритетите си обновяване на два от най-големите градски паркове, като по този начин се цели превръщането на столицата в „зелен“ град и подобряване качеството на околната среда. </w:t>
      </w:r>
    </w:p>
    <w:p w:rsidR="00AA4661" w:rsidRPr="00B73D7E" w:rsidRDefault="00AA4661" w:rsidP="00CF297A">
      <w:pPr>
        <w:pStyle w:val="BodyText"/>
        <w:numPr>
          <w:ilvl w:val="0"/>
          <w:numId w:val="41"/>
        </w:numPr>
        <w:ind w:left="0" w:firstLine="0"/>
        <w:rPr>
          <w:lang w:val="bg-BG"/>
        </w:rPr>
      </w:pPr>
      <w:r w:rsidRPr="00B73D7E">
        <w:rPr>
          <w:lang w:val="bg-BG"/>
        </w:rPr>
        <w:t>Другите приоритетни оси, свързани с регионалната образователна, здравна и социална инфраструктура, ще бъдат реализирани и в населените места, които трябва да обновят тези важни обекти и сгради и да ги адаптират към изменението на климата. Енергийната ефективност на сградите е хоризонтален приоритет, за който са разпределени 20 процента от финансовите ресурси на програмата. Финансов приоритет 1 е свързан с "осигуряване на подкрепа за енергийна ефективност и използване на възобновяема енергия в публичната инфраструктури, включително обществени сгради и жилищния сектор".</w:t>
      </w:r>
    </w:p>
    <w:p w:rsidR="00AA4661" w:rsidRPr="00B73D7E" w:rsidRDefault="00AA4661" w:rsidP="00CF297A">
      <w:pPr>
        <w:pStyle w:val="BodyText"/>
        <w:numPr>
          <w:ilvl w:val="0"/>
          <w:numId w:val="41"/>
        </w:numPr>
        <w:ind w:left="0" w:firstLine="0"/>
        <w:rPr>
          <w:lang w:val="bg-BG"/>
        </w:rPr>
      </w:pPr>
      <w:r w:rsidRPr="00B73D7E">
        <w:rPr>
          <w:lang w:val="bg-BG"/>
        </w:rPr>
        <w:t>Други възможности за финансиране се предлагат от програмите LIFE и "Хоризонт 2020". LIFE Climate Action е нова подпрограма на програмата LIFE за околната среда и действията по климата за периода 2014–2020 г. с бюджет от 864 млн. евро. LIFE Climate Action има четири основни инструмента за адаптиране към климата, обхващащи безвъзмездни средства за дейности по проекти в държавите-членки, включително проекти за АИК. Една от шестте ключови области за финансиране на дейности по климата на Рамковата програма за научни изследвания и иновации "Хоризонт 2020" е ефективно използване на ресурсите и суровините. (Споразумение за партньорство 2015).</w:t>
      </w:r>
    </w:p>
    <w:p w:rsidR="00AA4661" w:rsidRPr="00B73D7E" w:rsidRDefault="00AA4661" w:rsidP="00CF297A">
      <w:pPr>
        <w:pStyle w:val="BodyText"/>
        <w:numPr>
          <w:ilvl w:val="0"/>
          <w:numId w:val="41"/>
        </w:numPr>
        <w:ind w:left="0" w:firstLine="0"/>
        <w:rPr>
          <w:lang w:val="bg-BG"/>
        </w:rPr>
      </w:pPr>
      <w:r w:rsidRPr="00B73D7E">
        <w:rPr>
          <w:lang w:val="bg-BG"/>
        </w:rPr>
        <w:t>Проучванията показват, че през последните години най-голям брой дейности за превенция на бедствия са финансирани и изпълнени от общините в България, въпреки ограничените им бюджети. Финансирането на дейностите на НИМХ-БАН, включително оборудване и заплати, е едно от тесните места. Не случайно през 2016 г. е направено предложение за закриване на най-високата метеорологична станция на Балканския полуостров на връх Мусала (2</w:t>
      </w:r>
      <w:r w:rsidR="00EC4EB3">
        <w:rPr>
          <w:lang w:val="bg-BG"/>
        </w:rPr>
        <w:t xml:space="preserve"> </w:t>
      </w:r>
      <w:r w:rsidRPr="00B73D7E">
        <w:rPr>
          <w:lang w:val="bg-BG"/>
        </w:rPr>
        <w:t>925 м), поради финансов недостиг и лоши условия на труд. Заплатите на работещите  в станциите за борба с градушките също са много ниски. Това са важни звена с уникален опит и експертиза, необходими за предоставяне на информация и извършване на наблюдения и анализи на климатичните промени в страната.</w:t>
      </w:r>
    </w:p>
    <w:p w:rsidR="00AA4661" w:rsidRPr="00B73D7E" w:rsidRDefault="00AA4661" w:rsidP="00E21095">
      <w:pPr>
        <w:pStyle w:val="Heading2"/>
        <w:numPr>
          <w:ilvl w:val="1"/>
          <w:numId w:val="25"/>
        </w:numPr>
        <w:spacing w:line="240" w:lineRule="auto"/>
        <w:ind w:left="0" w:firstLine="0"/>
        <w:rPr>
          <w:szCs w:val="20"/>
          <w:lang w:val="bg-BG"/>
        </w:rPr>
      </w:pPr>
      <w:bookmarkStart w:id="265" w:name="_Toc501454865"/>
      <w:bookmarkStart w:id="266" w:name="_Toc522030567"/>
      <w:bookmarkStart w:id="267" w:name="_Toc529285552"/>
      <w:bookmarkStart w:id="268" w:name="_Toc486259780"/>
      <w:bookmarkStart w:id="269" w:name="_Toc486942188"/>
      <w:r w:rsidRPr="00B73D7E">
        <w:rPr>
          <w:lang w:val="bg-BG"/>
        </w:rPr>
        <w:t>Участие на сектора на градската среда в специфично международно сътрудничество или обмен на информация за (A)ИК</w:t>
      </w:r>
      <w:bookmarkEnd w:id="265"/>
      <w:bookmarkEnd w:id="266"/>
      <w:bookmarkEnd w:id="267"/>
      <w:r w:rsidRPr="00B73D7E">
        <w:rPr>
          <w:lang w:val="bg-BG"/>
        </w:rPr>
        <w:t xml:space="preserve"> </w:t>
      </w:r>
      <w:bookmarkEnd w:id="268"/>
      <w:bookmarkEnd w:id="269"/>
    </w:p>
    <w:p w:rsidR="00AA4661" w:rsidRPr="00B73D7E" w:rsidRDefault="00AA4661" w:rsidP="00CF297A">
      <w:pPr>
        <w:pStyle w:val="BodyText"/>
        <w:numPr>
          <w:ilvl w:val="0"/>
          <w:numId w:val="41"/>
        </w:numPr>
        <w:ind w:left="0" w:firstLine="0"/>
        <w:rPr>
          <w:lang w:val="bg-BG"/>
        </w:rPr>
      </w:pPr>
      <w:r w:rsidRPr="00B73D7E">
        <w:rPr>
          <w:lang w:val="bg-BG"/>
        </w:rPr>
        <w:t>Участието на българските градове в АИК в специфично международно сътрудничество свързано с градската среда зависи както от предмета на съответните международни конвенции, споразумения и проекти, така и от изискванията към размера и статута на партньорските градове. Това обяснява защо градове с важни административни функции, които са регионални и общински центрове, имат ограничен достъп до международни и европейски програми и проекти, когато техните жители са по-малко от 50</w:t>
      </w:r>
      <w:r w:rsidR="00EC4EB3">
        <w:rPr>
          <w:lang w:val="bg-BG"/>
        </w:rPr>
        <w:t xml:space="preserve"> </w:t>
      </w:r>
      <w:r w:rsidRPr="00B73D7E">
        <w:rPr>
          <w:lang w:val="bg-BG"/>
        </w:rPr>
        <w:t>000 или 30</w:t>
      </w:r>
      <w:r w:rsidR="00EC4EB3">
        <w:rPr>
          <w:lang w:val="bg-BG"/>
        </w:rPr>
        <w:t xml:space="preserve"> </w:t>
      </w:r>
      <w:r w:rsidRPr="00B73D7E">
        <w:rPr>
          <w:lang w:val="bg-BG"/>
        </w:rPr>
        <w:t xml:space="preserve">000 души. </w:t>
      </w:r>
    </w:p>
    <w:p w:rsidR="004B1A4E" w:rsidRPr="00B73D7E" w:rsidRDefault="004B1A4E">
      <w:pPr>
        <w:spacing w:after="0"/>
        <w:rPr>
          <w:rFonts w:ascii="Times New Roman" w:eastAsia="MS Mincho" w:hAnsi="Times New Roman"/>
          <w:sz w:val="24"/>
          <w:szCs w:val="24"/>
          <w:lang w:eastAsia="x-none"/>
        </w:rPr>
      </w:pPr>
    </w:p>
    <w:p w:rsidR="00AA4661" w:rsidRPr="00B73D7E" w:rsidRDefault="00AA4661" w:rsidP="00CF297A">
      <w:pPr>
        <w:pStyle w:val="BodyText"/>
        <w:numPr>
          <w:ilvl w:val="0"/>
          <w:numId w:val="41"/>
        </w:numPr>
        <w:spacing w:after="60"/>
        <w:ind w:left="0" w:firstLine="0"/>
        <w:rPr>
          <w:lang w:val="bg-BG"/>
        </w:rPr>
      </w:pPr>
      <w:r w:rsidRPr="00B73D7E">
        <w:rPr>
          <w:lang w:val="bg-BG"/>
        </w:rPr>
        <w:lastRenderedPageBreak/>
        <w:t xml:space="preserve">Участието на сектора на градската среда в специализирано международно сътрудничество може да се разглежда под различни форми: </w:t>
      </w:r>
    </w:p>
    <w:p w:rsidR="00AA4661" w:rsidRPr="00B73D7E" w:rsidRDefault="00AA4661" w:rsidP="00E21095">
      <w:pPr>
        <w:pStyle w:val="ListParagraph1"/>
        <w:numPr>
          <w:ilvl w:val="0"/>
          <w:numId w:val="16"/>
        </w:numPr>
        <w:tabs>
          <w:tab w:val="left" w:pos="810"/>
        </w:tabs>
        <w:spacing w:after="60"/>
        <w:contextualSpacing w:val="0"/>
        <w:jc w:val="both"/>
        <w:rPr>
          <w:rFonts w:ascii="Times New Roman" w:hAnsi="Times New Roman"/>
          <w:sz w:val="24"/>
          <w:szCs w:val="24"/>
          <w:lang w:val="bg-BG"/>
        </w:rPr>
      </w:pPr>
      <w:r w:rsidRPr="00B73D7E">
        <w:rPr>
          <w:rFonts w:ascii="Times New Roman" w:hAnsi="Times New Roman"/>
          <w:sz w:val="24"/>
          <w:szCs w:val="24"/>
          <w:lang w:val="bg-BG"/>
        </w:rPr>
        <w:t>Участие на българския сектор на градската среда в платформа/бази данни за международен обмен на информация;</w:t>
      </w:r>
    </w:p>
    <w:p w:rsidR="00AA4661" w:rsidRPr="00B73D7E" w:rsidRDefault="00AA4661" w:rsidP="00E21095">
      <w:pPr>
        <w:pStyle w:val="ListParagraph1"/>
        <w:numPr>
          <w:ilvl w:val="0"/>
          <w:numId w:val="16"/>
        </w:numPr>
        <w:tabs>
          <w:tab w:val="left" w:pos="810"/>
        </w:tabs>
        <w:spacing w:after="60"/>
        <w:contextualSpacing w:val="0"/>
        <w:jc w:val="both"/>
        <w:rPr>
          <w:rFonts w:ascii="Times New Roman" w:hAnsi="Times New Roman"/>
          <w:sz w:val="24"/>
          <w:szCs w:val="24"/>
          <w:lang w:val="bg-BG"/>
        </w:rPr>
      </w:pPr>
      <w:r w:rsidRPr="00B73D7E">
        <w:rPr>
          <w:rFonts w:ascii="Times New Roman" w:hAnsi="Times New Roman"/>
          <w:sz w:val="24"/>
          <w:szCs w:val="24"/>
          <w:lang w:val="bg-BG"/>
        </w:rPr>
        <w:t>Участие на българския сектор на градската среда в докладите на международните организации (включително доклади за Европейската агенция по околна среда (ЕАОС);</w:t>
      </w:r>
    </w:p>
    <w:p w:rsidR="00AA4661" w:rsidRPr="00B73D7E" w:rsidRDefault="00AA4661" w:rsidP="00E21095">
      <w:pPr>
        <w:pStyle w:val="ListParagraph1"/>
        <w:numPr>
          <w:ilvl w:val="0"/>
          <w:numId w:val="16"/>
        </w:numPr>
        <w:tabs>
          <w:tab w:val="left" w:pos="810"/>
        </w:tabs>
        <w:spacing w:after="60"/>
        <w:contextualSpacing w:val="0"/>
        <w:jc w:val="both"/>
        <w:rPr>
          <w:rFonts w:ascii="Times New Roman" w:hAnsi="Times New Roman"/>
          <w:sz w:val="24"/>
          <w:szCs w:val="24"/>
          <w:lang w:val="bg-BG"/>
        </w:rPr>
      </w:pPr>
      <w:r w:rsidRPr="00B73D7E">
        <w:rPr>
          <w:rFonts w:ascii="Times New Roman" w:hAnsi="Times New Roman"/>
          <w:sz w:val="24"/>
          <w:szCs w:val="24"/>
          <w:lang w:val="bg-BG"/>
        </w:rPr>
        <w:t>Участие на българския сектор на градската среда в международни проекти, свързани с екологични въпроси или изграждане на мрежа за сътрудничество и/или обмен на информация;</w:t>
      </w:r>
    </w:p>
    <w:p w:rsidR="00AA4661" w:rsidRPr="00B73D7E" w:rsidRDefault="00AA4661" w:rsidP="00E21095">
      <w:pPr>
        <w:pStyle w:val="ListParagraph1"/>
        <w:numPr>
          <w:ilvl w:val="0"/>
          <w:numId w:val="16"/>
        </w:numPr>
        <w:tabs>
          <w:tab w:val="left" w:pos="810"/>
        </w:tabs>
        <w:spacing w:after="60"/>
        <w:contextualSpacing w:val="0"/>
        <w:jc w:val="both"/>
        <w:rPr>
          <w:rFonts w:ascii="Times New Roman" w:hAnsi="Times New Roman"/>
          <w:sz w:val="24"/>
          <w:szCs w:val="24"/>
          <w:lang w:val="bg-BG"/>
        </w:rPr>
      </w:pPr>
      <w:r w:rsidRPr="00B73D7E">
        <w:rPr>
          <w:rFonts w:ascii="Times New Roman" w:hAnsi="Times New Roman"/>
          <w:sz w:val="24"/>
          <w:szCs w:val="24"/>
          <w:lang w:val="bg-BG"/>
        </w:rPr>
        <w:t>Участие на български регионални и административни звена в проекти, свързани с проблемите на околната среда, събиране на данни, изграждане на международни бази данни, платформа и т.н., всички с директен аспект или свързани с градската среда и изменението на климата; и</w:t>
      </w:r>
    </w:p>
    <w:p w:rsidR="00AA4661" w:rsidRPr="00B73D7E" w:rsidRDefault="00AA4661" w:rsidP="00E21095">
      <w:pPr>
        <w:pStyle w:val="ListParagraph1"/>
        <w:numPr>
          <w:ilvl w:val="0"/>
          <w:numId w:val="16"/>
        </w:numPr>
        <w:tabs>
          <w:tab w:val="left" w:pos="810"/>
        </w:tabs>
        <w:contextualSpacing w:val="0"/>
        <w:jc w:val="both"/>
        <w:rPr>
          <w:rFonts w:ascii="Times New Roman" w:hAnsi="Times New Roman"/>
          <w:sz w:val="24"/>
          <w:szCs w:val="24"/>
          <w:lang w:val="bg-BG"/>
        </w:rPr>
      </w:pPr>
      <w:r w:rsidRPr="00B73D7E">
        <w:rPr>
          <w:rFonts w:ascii="Times New Roman" w:hAnsi="Times New Roman"/>
          <w:sz w:val="24"/>
          <w:szCs w:val="24"/>
          <w:lang w:val="bg-BG"/>
        </w:rPr>
        <w:t>Проекти, тясно свързани с проблемите на околната среда, териториални аспекти, с допустими партньори региони и общини.</w:t>
      </w:r>
    </w:p>
    <w:p w:rsidR="00AA4661" w:rsidRPr="00B73D7E" w:rsidRDefault="00AA4661" w:rsidP="00CF297A">
      <w:pPr>
        <w:pStyle w:val="ListParagraph1"/>
        <w:numPr>
          <w:ilvl w:val="0"/>
          <w:numId w:val="41"/>
        </w:numPr>
        <w:ind w:left="0" w:firstLine="0"/>
        <w:jc w:val="both"/>
        <w:rPr>
          <w:rFonts w:ascii="Times New Roman" w:hAnsi="Times New Roman"/>
          <w:sz w:val="24"/>
          <w:szCs w:val="24"/>
          <w:lang w:val="bg-BG"/>
        </w:rPr>
      </w:pPr>
      <w:r w:rsidRPr="00B73D7E">
        <w:rPr>
          <w:rFonts w:ascii="Times New Roman" w:hAnsi="Times New Roman"/>
          <w:sz w:val="24"/>
          <w:szCs w:val="24"/>
          <w:lang w:val="bg-BG"/>
        </w:rPr>
        <w:t xml:space="preserve">Подробности за текущите мрежи, програми и проекти, в които България участва, са дадени в </w:t>
      </w:r>
      <w:r w:rsidRPr="00B73D7E">
        <w:rPr>
          <w:rFonts w:ascii="Times New Roman" w:hAnsi="Times New Roman"/>
          <w:b/>
          <w:i/>
          <w:iCs/>
          <w:sz w:val="24"/>
          <w:szCs w:val="24"/>
          <w:lang w:val="bg-BG"/>
        </w:rPr>
        <w:t xml:space="preserve">приложение </w:t>
      </w:r>
      <w:r w:rsidR="00E340B5" w:rsidRPr="00B73D7E">
        <w:rPr>
          <w:rFonts w:ascii="Times New Roman" w:hAnsi="Times New Roman"/>
          <w:b/>
          <w:i/>
          <w:iCs/>
          <w:sz w:val="24"/>
          <w:szCs w:val="24"/>
          <w:lang w:val="bg-BG"/>
        </w:rPr>
        <w:t>10</w:t>
      </w:r>
      <w:r w:rsidRPr="00B73D7E">
        <w:rPr>
          <w:rFonts w:ascii="Times New Roman" w:hAnsi="Times New Roman"/>
          <w:b/>
          <w:i/>
          <w:iCs/>
          <w:sz w:val="24"/>
          <w:szCs w:val="24"/>
          <w:lang w:val="bg-BG"/>
        </w:rPr>
        <w:t>.</w:t>
      </w:r>
    </w:p>
    <w:p w:rsidR="00AA4661" w:rsidRPr="00B73D7E" w:rsidRDefault="00AA4661" w:rsidP="00CF297A">
      <w:pPr>
        <w:pStyle w:val="BodyText"/>
        <w:numPr>
          <w:ilvl w:val="0"/>
          <w:numId w:val="41"/>
        </w:numPr>
        <w:ind w:left="0" w:firstLine="0"/>
        <w:rPr>
          <w:lang w:val="bg-BG"/>
        </w:rPr>
      </w:pPr>
      <w:r w:rsidRPr="00B73D7E">
        <w:rPr>
          <w:lang w:val="bg-BG"/>
        </w:rPr>
        <w:t>По-малките общини и градове не са допустими за участие в програми и проекти на ЕС за градската среда, за развитие на двустранно сътрудничество или за участие в трансгранични програми за сътрудничество, главно поради малкия брой на населението. Общините с по-малък капацитет имат главно приоритети в областта на туризма и културното наследство. Съществуват и още по-малки проекти и партньорства, от които България и особено българските местни власти са част, но има съвсем ограничен брой съвместни проекти, които интегрират както политиката за градската среда, така и политиките за АИК.</w:t>
      </w:r>
    </w:p>
    <w:p w:rsidR="00AA4661" w:rsidRPr="00B73D7E" w:rsidRDefault="00AA4661" w:rsidP="00CF297A">
      <w:pPr>
        <w:pStyle w:val="BodyText"/>
        <w:numPr>
          <w:ilvl w:val="0"/>
          <w:numId w:val="41"/>
        </w:numPr>
        <w:ind w:left="0" w:firstLine="0"/>
        <w:rPr>
          <w:lang w:val="bg-BG"/>
        </w:rPr>
      </w:pPr>
      <w:r w:rsidRPr="00B73D7E">
        <w:rPr>
          <w:lang w:val="bg-BG"/>
        </w:rPr>
        <w:t>В допълнение към широките мрежи и обмена на данни, информация и ноу-хау чрез партньорство, важна роля при обмена на знания относно АИК в градската среда играят професионалните организации [Европейски съвет за градско/пространствено планиране (ECTP-CEU)</w:t>
      </w:r>
      <w:r w:rsidRPr="00B73D7E">
        <w:rPr>
          <w:vertAlign w:val="superscript"/>
          <w:lang w:val="bg-BG"/>
        </w:rPr>
        <w:footnoteReference w:id="121"/>
      </w:r>
      <w:r w:rsidRPr="00B73D7E">
        <w:rPr>
          <w:lang w:val="bg-BG"/>
        </w:rPr>
        <w:t>, Съвет на архитектите в Европа (ACE)</w:t>
      </w:r>
      <w:r w:rsidRPr="00B73D7E">
        <w:rPr>
          <w:vertAlign w:val="superscript"/>
          <w:lang w:val="bg-BG"/>
        </w:rPr>
        <w:footnoteReference w:id="122"/>
      </w:r>
      <w:r w:rsidRPr="00B73D7E">
        <w:rPr>
          <w:lang w:val="bg-BG"/>
        </w:rPr>
        <w:t>, Международна общност на специалистите по градоустройство и регионално планиране (ISoCaRP)</w:t>
      </w:r>
      <w:r w:rsidRPr="00B73D7E">
        <w:rPr>
          <w:vertAlign w:val="superscript"/>
          <w:lang w:val="bg-BG"/>
        </w:rPr>
        <w:footnoteReference w:id="123"/>
      </w:r>
      <w:r w:rsidRPr="00B73D7E">
        <w:rPr>
          <w:lang w:val="bg-BG"/>
        </w:rPr>
        <w:t>, Международен съюз на архитектите (МСА)</w:t>
      </w:r>
      <w:r w:rsidRPr="00B73D7E">
        <w:rPr>
          <w:vertAlign w:val="superscript"/>
          <w:lang w:val="bg-BG"/>
        </w:rPr>
        <w:footnoteReference w:id="124"/>
      </w:r>
      <w:r w:rsidRPr="00B73D7E">
        <w:rPr>
          <w:lang w:val="bg-BG"/>
        </w:rPr>
        <w:t>, Международна федерация на ландшафтните архитекти – Европа (IFLA Europe)</w:t>
      </w:r>
      <w:r w:rsidRPr="00B73D7E">
        <w:rPr>
          <w:vertAlign w:val="superscript"/>
          <w:lang w:val="bg-BG"/>
        </w:rPr>
        <w:footnoteReference w:id="125"/>
      </w:r>
      <w:r w:rsidRPr="00B73D7E">
        <w:rPr>
          <w:lang w:val="bg-BG"/>
        </w:rPr>
        <w:t>, Асоциация за планиране на градовете и провинциите, Англия (TCPA)</w:t>
      </w:r>
      <w:r w:rsidRPr="00B73D7E">
        <w:rPr>
          <w:vertAlign w:val="superscript"/>
          <w:lang w:val="bg-BG"/>
        </w:rPr>
        <w:footnoteReference w:id="126"/>
      </w:r>
      <w:r w:rsidRPr="00B73D7E">
        <w:rPr>
          <w:lang w:val="bg-BG"/>
        </w:rPr>
        <w:t xml:space="preserve"> и академичните организации [Асоциация на европейските училища по планиране (AESOP)</w:t>
      </w:r>
      <w:r w:rsidRPr="00B73D7E">
        <w:rPr>
          <w:vertAlign w:val="superscript"/>
          <w:lang w:val="bg-BG"/>
        </w:rPr>
        <w:footnoteReference w:id="127"/>
      </w:r>
      <w:r w:rsidRPr="00B73D7E">
        <w:rPr>
          <w:lang w:val="bg-BG"/>
        </w:rPr>
        <w:t xml:space="preserve">, Европейска асоциация за </w:t>
      </w:r>
      <w:r w:rsidRPr="00B73D7E">
        <w:rPr>
          <w:lang w:val="bg-BG"/>
        </w:rPr>
        <w:lastRenderedPageBreak/>
        <w:t>архитектурно обучение (EAAE)</w:t>
      </w:r>
      <w:r w:rsidRPr="00B73D7E">
        <w:rPr>
          <w:vertAlign w:val="superscript"/>
          <w:lang w:val="bg-BG"/>
        </w:rPr>
        <w:footnoteReference w:id="128"/>
      </w:r>
      <w:r w:rsidRPr="00B73D7E">
        <w:rPr>
          <w:lang w:val="bg-BG"/>
        </w:rPr>
        <w:t>, Европейски съвет на училищата по ландшафтна архитектура (ECLAS)</w:t>
      </w:r>
      <w:r w:rsidRPr="00B73D7E">
        <w:rPr>
          <w:vertAlign w:val="superscript"/>
          <w:lang w:val="bg-BG"/>
        </w:rPr>
        <w:footnoteReference w:id="129"/>
      </w:r>
      <w:r w:rsidRPr="00B73D7E">
        <w:rPr>
          <w:lang w:val="bg-BG"/>
        </w:rPr>
        <w:t>] чрез техните мозъчни тръстове, тематични групи и експерти, конгреси, конкурси и публични лекции и публикации. Те всички понастоящем представят своите платформи и форуми, за да включат темата и да проучат ролята на градовете и градските райони в изменението на климата и възможностите за адаптиране. Българската академична и изследователска общественост ползва всички предимства на членството в някои от тези организации чрез достъп до ресурси, знания и ноу-хау.</w:t>
      </w:r>
    </w:p>
    <w:p w:rsidR="00AA4661" w:rsidRPr="00B73D7E" w:rsidRDefault="00AA4661" w:rsidP="00E21095">
      <w:pPr>
        <w:pStyle w:val="Heading2"/>
        <w:numPr>
          <w:ilvl w:val="1"/>
          <w:numId w:val="25"/>
        </w:numPr>
        <w:spacing w:line="240" w:lineRule="auto"/>
        <w:ind w:left="0" w:firstLine="0"/>
        <w:rPr>
          <w:szCs w:val="20"/>
          <w:lang w:val="bg-BG"/>
        </w:rPr>
      </w:pPr>
      <w:bookmarkStart w:id="270" w:name="_Toc486259781"/>
      <w:bookmarkStart w:id="271" w:name="_Toc486942189"/>
      <w:bookmarkStart w:id="272" w:name="_Toc501454866"/>
      <w:bookmarkStart w:id="273" w:name="_Toc522030568"/>
      <w:bookmarkStart w:id="274" w:name="_Toc529285553"/>
      <w:r w:rsidRPr="00B73D7E">
        <w:rPr>
          <w:lang w:val="bg-BG"/>
        </w:rPr>
        <w:t>Конкретни текущи и планирани действия (свързани с АИК) в сектора на градската среда в България</w:t>
      </w:r>
      <w:bookmarkEnd w:id="270"/>
      <w:bookmarkEnd w:id="271"/>
      <w:bookmarkEnd w:id="272"/>
      <w:bookmarkEnd w:id="273"/>
      <w:bookmarkEnd w:id="274"/>
    </w:p>
    <w:p w:rsidR="00AA4661" w:rsidRPr="00B73D7E" w:rsidRDefault="00AA4661" w:rsidP="00CF297A">
      <w:pPr>
        <w:pStyle w:val="BodyText"/>
        <w:numPr>
          <w:ilvl w:val="0"/>
          <w:numId w:val="41"/>
        </w:numPr>
        <w:ind w:left="0" w:firstLine="0"/>
        <w:rPr>
          <w:lang w:val="bg-BG"/>
        </w:rPr>
      </w:pPr>
      <w:r w:rsidRPr="00B73D7E">
        <w:rPr>
          <w:lang w:val="bg-BG"/>
        </w:rPr>
        <w:t>Предвидените действия за приспособяване към изменението на климата в градската среда могат да се извлекат от приетия Трети НПДИК за периода 2013–2020 г., Националната програма за защита при бедствия за периода 2014–2018 г. и Плана за действие към Националната стратегия за управление и развитие на водния сектор в Република България. Третият НПДИК за периода 2013–2020 г. не включва сектора на градската среда, така че свързаните с него мерки се търсят в други сектори.</w:t>
      </w:r>
    </w:p>
    <w:p w:rsidR="00AA4661" w:rsidRPr="00B73D7E" w:rsidRDefault="00AA4661" w:rsidP="00E21095">
      <w:pPr>
        <w:pStyle w:val="Heading3"/>
        <w:numPr>
          <w:ilvl w:val="2"/>
          <w:numId w:val="25"/>
        </w:numPr>
        <w:autoSpaceDE/>
        <w:autoSpaceDN/>
        <w:adjustRightInd/>
        <w:spacing w:before="160"/>
        <w:ind w:left="0" w:firstLine="0"/>
        <w:rPr>
          <w:lang w:val="bg-BG"/>
        </w:rPr>
      </w:pPr>
      <w:bookmarkStart w:id="275" w:name="_Toc486259782"/>
      <w:bookmarkStart w:id="276" w:name="_Toc486942190"/>
      <w:bookmarkStart w:id="277" w:name="_Toc501454867"/>
      <w:bookmarkStart w:id="278" w:name="_Toc522030569"/>
      <w:bookmarkStart w:id="279" w:name="_Toc529285554"/>
      <w:r w:rsidRPr="00B73D7E">
        <w:rPr>
          <w:lang w:val="bg-BG"/>
        </w:rPr>
        <w:t>Конкретни текущи и планирани действия (свързани с АИК) в сектора на градската среда в националните документи</w:t>
      </w:r>
      <w:bookmarkEnd w:id="275"/>
      <w:bookmarkEnd w:id="276"/>
      <w:bookmarkEnd w:id="277"/>
      <w:bookmarkEnd w:id="278"/>
      <w:bookmarkEnd w:id="279"/>
    </w:p>
    <w:p w:rsidR="00AA4661" w:rsidRPr="00B73D7E" w:rsidRDefault="00AA4661" w:rsidP="00CF297A">
      <w:pPr>
        <w:pStyle w:val="BodyText"/>
        <w:numPr>
          <w:ilvl w:val="0"/>
          <w:numId w:val="41"/>
        </w:numPr>
        <w:ind w:left="0" w:firstLine="0"/>
        <w:rPr>
          <w:lang w:val="bg-BG"/>
        </w:rPr>
      </w:pPr>
      <w:r w:rsidRPr="00B73D7E">
        <w:rPr>
          <w:lang w:val="bg-BG"/>
        </w:rPr>
        <w:t xml:space="preserve">Свързаните с градската среда специфични текущи и планирани действия са обобщени по отношение на реакцията на други сектори на екстремните метеорологични компоненти и събития и последиците от тях.  </w:t>
      </w:r>
    </w:p>
    <w:p w:rsidR="00AA4661" w:rsidRPr="00B73D7E" w:rsidRDefault="00AA4661" w:rsidP="00491557">
      <w:pPr>
        <w:pStyle w:val="Heading4"/>
        <w:rPr>
          <w:lang w:val="bg-BG"/>
        </w:rPr>
      </w:pPr>
      <w:r w:rsidRPr="00B73D7E">
        <w:rPr>
          <w:lang w:val="bg-BG"/>
        </w:rPr>
        <w:t>Екстремни температури</w:t>
      </w:r>
    </w:p>
    <w:p w:rsidR="00491557" w:rsidRPr="00B73D7E" w:rsidRDefault="00AA4661" w:rsidP="00CF297A">
      <w:pPr>
        <w:pStyle w:val="BodyText"/>
        <w:numPr>
          <w:ilvl w:val="0"/>
          <w:numId w:val="41"/>
        </w:numPr>
        <w:ind w:left="0" w:firstLine="0"/>
        <w:rPr>
          <w:lang w:val="bg-BG"/>
        </w:rPr>
      </w:pPr>
      <w:r w:rsidRPr="00B73D7E">
        <w:rPr>
          <w:lang w:val="bg-BG"/>
        </w:rPr>
        <w:t>Предвидените в Третия НПДИК 2013–2020</w:t>
      </w:r>
      <w:r w:rsidRPr="00B73D7E">
        <w:rPr>
          <w:rStyle w:val="FootnoteReference"/>
          <w:lang w:val="bg-BG"/>
        </w:rPr>
        <w:footnoteReference w:id="130"/>
      </w:r>
      <w:r w:rsidRPr="00B73D7E">
        <w:rPr>
          <w:lang w:val="bg-BG"/>
        </w:rPr>
        <w:t xml:space="preserve"> мерки, пряко или непряко свързани с екстремните температури и АИК на градската среда, са предимно в енергийния сектор. Модернизираното развитие на системата за централно отопление по Приоритетна ос 3, заедно с рехабилитация на съществуващи и изграждане на нови нисковъглеродни топлопроводи ще намали консумацията на енергия и ще осигури по-добър комфорт в помещенията. Подобни са мерките за енергийна ефективност в сектора "Услуги" за подобряване на енергийната ефективност на сградите, ефективността и спестяванията при крайното потребление на гориво и енергия. Непряко въздействие върху градската среда ще имат планираните мерки за обновяване на обществени и държавни сгради (с обща площ над 250 m</w:t>
      </w:r>
      <w:r w:rsidRPr="00B73D7E">
        <w:rPr>
          <w:vertAlign w:val="superscript"/>
          <w:lang w:val="bg-BG"/>
        </w:rPr>
        <w:t>2</w:t>
      </w:r>
      <w:r w:rsidRPr="00B73D7E">
        <w:rPr>
          <w:lang w:val="bg-BG"/>
        </w:rPr>
        <w:t>), тъй като те ще осигурят по-добър вътрешен климат в периодите с екстремни температури. При 3 процента годишно обновяване до 2020 г. трябва да бъдат ремонтирани 4</w:t>
      </w:r>
      <w:r w:rsidR="00EC4EB3">
        <w:rPr>
          <w:lang w:val="bg-BG"/>
        </w:rPr>
        <w:t xml:space="preserve"> </w:t>
      </w:r>
      <w:r w:rsidRPr="00B73D7E">
        <w:rPr>
          <w:lang w:val="bg-BG"/>
        </w:rPr>
        <w:t>562 сгради:</w:t>
      </w:r>
    </w:p>
    <w:p w:rsidR="004B1A4E" w:rsidRPr="00F8728A" w:rsidRDefault="004B1A4E">
      <w:pPr>
        <w:spacing w:after="0"/>
        <w:rPr>
          <w:rFonts w:ascii="Calibri" w:hAnsi="Calibri"/>
          <w:b/>
          <w:i/>
          <w:iCs/>
          <w:color w:val="44546A"/>
          <w:sz w:val="22"/>
          <w:szCs w:val="18"/>
        </w:rPr>
      </w:pPr>
      <w:r w:rsidRPr="00F8728A">
        <w:rPr>
          <w:rFonts w:ascii="Calibri" w:hAnsi="Calibri"/>
          <w:b/>
          <w:i/>
          <w:iCs/>
          <w:color w:val="44546A"/>
          <w:sz w:val="22"/>
          <w:szCs w:val="18"/>
        </w:rPr>
        <w:br w:type="page"/>
      </w:r>
    </w:p>
    <w:p w:rsidR="00AA4661" w:rsidRPr="00F8728A" w:rsidRDefault="00AA4661" w:rsidP="00B73D7E">
      <w:pPr>
        <w:pStyle w:val="FiguresTablesCaption"/>
      </w:pPr>
      <w:bookmarkStart w:id="280" w:name="_Toc529286635"/>
      <w:r w:rsidRPr="00F8728A">
        <w:lastRenderedPageBreak/>
        <w:t xml:space="preserve">Таблица </w:t>
      </w:r>
      <w:r w:rsidRPr="00F8728A">
        <w:fldChar w:fldCharType="begin"/>
      </w:r>
      <w:r w:rsidRPr="00F8728A">
        <w:instrText xml:space="preserve"> SEQ Table \* ARABIC </w:instrText>
      </w:r>
      <w:r w:rsidRPr="00F8728A">
        <w:fldChar w:fldCharType="separate"/>
      </w:r>
      <w:r w:rsidRPr="00F8728A">
        <w:t>8</w:t>
      </w:r>
      <w:r w:rsidRPr="00F8728A">
        <w:fldChar w:fldCharType="end"/>
      </w:r>
      <w:r w:rsidRPr="00F8728A">
        <w:t>. Обновени обществени и държавни сгради (2015–2020 г.)</w:t>
      </w:r>
      <w:bookmarkEnd w:id="280"/>
    </w:p>
    <w:tbl>
      <w:tblPr>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1705"/>
        <w:gridCol w:w="3600"/>
      </w:tblGrid>
      <w:tr w:rsidR="00AA4661" w:rsidRPr="00F8728A" w:rsidTr="004B1A4E">
        <w:trPr>
          <w:jc w:val="center"/>
        </w:trPr>
        <w:tc>
          <w:tcPr>
            <w:tcW w:w="1705" w:type="dxa"/>
            <w:shd w:val="clear" w:color="auto" w:fill="365F91"/>
            <w:vAlign w:val="center"/>
          </w:tcPr>
          <w:p w:rsidR="00AA4661" w:rsidRPr="00F8728A" w:rsidRDefault="00AA4661" w:rsidP="00227A95">
            <w:pPr>
              <w:spacing w:before="60" w:after="60"/>
              <w:jc w:val="center"/>
              <w:rPr>
                <w:rFonts w:ascii="Calibri" w:hAnsi="Calibri" w:cs="Calibri"/>
                <w:b/>
                <w:color w:val="FFFFFF"/>
                <w:sz w:val="22"/>
              </w:rPr>
            </w:pPr>
            <w:r w:rsidRPr="00F8728A">
              <w:rPr>
                <w:rFonts w:ascii="Calibri" w:hAnsi="Calibri" w:cs="Calibri"/>
                <w:b/>
                <w:color w:val="FFFFFF"/>
                <w:sz w:val="22"/>
              </w:rPr>
              <w:t>Период</w:t>
            </w:r>
          </w:p>
        </w:tc>
        <w:tc>
          <w:tcPr>
            <w:tcW w:w="3600" w:type="dxa"/>
            <w:shd w:val="clear" w:color="auto" w:fill="365F91"/>
            <w:vAlign w:val="center"/>
          </w:tcPr>
          <w:p w:rsidR="00AA4661" w:rsidRPr="00F8728A" w:rsidRDefault="00AA4661" w:rsidP="00227A95">
            <w:pPr>
              <w:spacing w:before="60" w:after="60"/>
              <w:jc w:val="center"/>
              <w:rPr>
                <w:rFonts w:ascii="Calibri" w:hAnsi="Calibri" w:cs="Calibri"/>
                <w:b/>
                <w:i/>
                <w:color w:val="FFFFFF"/>
                <w:sz w:val="22"/>
              </w:rPr>
            </w:pPr>
            <w:r w:rsidRPr="00F8728A">
              <w:rPr>
                <w:rFonts w:ascii="Calibri" w:hAnsi="Calibri" w:cs="Calibri"/>
                <w:b/>
                <w:color w:val="FFFFFF"/>
                <w:sz w:val="22"/>
              </w:rPr>
              <w:t>Брой обновени сгради, публична и държавна собственост</w:t>
            </w:r>
          </w:p>
        </w:tc>
      </w:tr>
      <w:tr w:rsidR="00AA4661" w:rsidRPr="00F8728A" w:rsidTr="004B1A4E">
        <w:trPr>
          <w:jc w:val="center"/>
        </w:trPr>
        <w:tc>
          <w:tcPr>
            <w:tcW w:w="1705" w:type="dxa"/>
            <w:shd w:val="clear" w:color="auto" w:fill="B8CCE4"/>
            <w:vAlign w:val="center"/>
          </w:tcPr>
          <w:p w:rsidR="00AA4661" w:rsidRPr="00F8728A" w:rsidRDefault="00AA4661" w:rsidP="004E6701">
            <w:pPr>
              <w:spacing w:before="40" w:after="40"/>
              <w:jc w:val="center"/>
              <w:rPr>
                <w:rFonts w:ascii="Calibri" w:hAnsi="Calibri" w:cs="Calibri"/>
                <w:b/>
                <w:color w:val="000000"/>
                <w:sz w:val="22"/>
              </w:rPr>
            </w:pPr>
            <w:r w:rsidRPr="00F8728A">
              <w:rPr>
                <w:rFonts w:ascii="Calibri" w:hAnsi="Calibri" w:cs="Calibri"/>
                <w:b/>
                <w:color w:val="000000"/>
                <w:sz w:val="22"/>
              </w:rPr>
              <w:t>2015 – 2016</w:t>
            </w:r>
          </w:p>
        </w:tc>
        <w:tc>
          <w:tcPr>
            <w:tcW w:w="3600" w:type="dxa"/>
            <w:vAlign w:val="center"/>
          </w:tcPr>
          <w:p w:rsidR="00AA4661" w:rsidRPr="00F8728A" w:rsidRDefault="00AA4661" w:rsidP="004E6701">
            <w:pPr>
              <w:spacing w:before="40" w:after="40"/>
              <w:jc w:val="center"/>
              <w:rPr>
                <w:rFonts w:ascii="Calibri" w:hAnsi="Calibri" w:cs="Calibri"/>
                <w:color w:val="000000"/>
                <w:sz w:val="22"/>
              </w:rPr>
            </w:pPr>
            <w:r w:rsidRPr="00F8728A">
              <w:rPr>
                <w:rFonts w:ascii="Calibri" w:hAnsi="Calibri" w:cs="Calibri"/>
                <w:color w:val="000000"/>
                <w:sz w:val="22"/>
              </w:rPr>
              <w:t>1</w:t>
            </w:r>
            <w:r w:rsidR="00F8728A">
              <w:rPr>
                <w:rFonts w:ascii="Calibri" w:hAnsi="Calibri" w:cs="Calibri"/>
                <w:color w:val="000000"/>
                <w:sz w:val="22"/>
              </w:rPr>
              <w:t xml:space="preserve"> </w:t>
            </w:r>
            <w:r w:rsidRPr="00F8728A">
              <w:rPr>
                <w:rFonts w:ascii="Calibri" w:hAnsi="Calibri" w:cs="Calibri"/>
                <w:color w:val="000000"/>
                <w:sz w:val="22"/>
              </w:rPr>
              <w:t>614</w:t>
            </w:r>
          </w:p>
        </w:tc>
      </w:tr>
      <w:tr w:rsidR="00AA4661" w:rsidRPr="00F8728A" w:rsidTr="004B1A4E">
        <w:trPr>
          <w:jc w:val="center"/>
        </w:trPr>
        <w:tc>
          <w:tcPr>
            <w:tcW w:w="1705" w:type="dxa"/>
            <w:shd w:val="clear" w:color="auto" w:fill="B8CCE4"/>
            <w:vAlign w:val="center"/>
          </w:tcPr>
          <w:p w:rsidR="00AA4661" w:rsidRPr="00F8728A" w:rsidRDefault="00AA4661" w:rsidP="004E6701">
            <w:pPr>
              <w:spacing w:before="40" w:after="40"/>
              <w:jc w:val="center"/>
              <w:rPr>
                <w:rFonts w:ascii="Calibri" w:hAnsi="Calibri" w:cs="Calibri"/>
                <w:b/>
                <w:color w:val="000000"/>
                <w:sz w:val="22"/>
              </w:rPr>
            </w:pPr>
            <w:r w:rsidRPr="00F8728A">
              <w:rPr>
                <w:rFonts w:ascii="Calibri" w:hAnsi="Calibri" w:cs="Calibri"/>
                <w:b/>
                <w:color w:val="000000"/>
                <w:sz w:val="22"/>
              </w:rPr>
              <w:t>2017 – 2018</w:t>
            </w:r>
          </w:p>
        </w:tc>
        <w:tc>
          <w:tcPr>
            <w:tcW w:w="3600" w:type="dxa"/>
            <w:vAlign w:val="center"/>
          </w:tcPr>
          <w:p w:rsidR="00AA4661" w:rsidRPr="00F8728A" w:rsidRDefault="00AA4661" w:rsidP="004E6701">
            <w:pPr>
              <w:spacing w:before="40" w:after="40"/>
              <w:jc w:val="center"/>
              <w:rPr>
                <w:rFonts w:ascii="Calibri" w:hAnsi="Calibri" w:cs="Calibri"/>
                <w:color w:val="000000"/>
                <w:sz w:val="22"/>
              </w:rPr>
            </w:pPr>
            <w:r w:rsidRPr="00F8728A">
              <w:rPr>
                <w:rFonts w:ascii="Calibri" w:hAnsi="Calibri" w:cs="Calibri"/>
                <w:color w:val="000000"/>
                <w:sz w:val="22"/>
              </w:rPr>
              <w:t>1</w:t>
            </w:r>
            <w:r w:rsidR="00F8728A">
              <w:rPr>
                <w:rFonts w:ascii="Calibri" w:hAnsi="Calibri" w:cs="Calibri"/>
                <w:color w:val="000000"/>
                <w:sz w:val="22"/>
              </w:rPr>
              <w:t xml:space="preserve"> </w:t>
            </w:r>
            <w:r w:rsidRPr="00F8728A">
              <w:rPr>
                <w:rFonts w:ascii="Calibri" w:hAnsi="Calibri" w:cs="Calibri"/>
                <w:color w:val="000000"/>
                <w:sz w:val="22"/>
              </w:rPr>
              <w:t>519</w:t>
            </w:r>
          </w:p>
        </w:tc>
      </w:tr>
      <w:tr w:rsidR="00AA4661" w:rsidRPr="00F8728A" w:rsidTr="004B1A4E">
        <w:trPr>
          <w:jc w:val="center"/>
        </w:trPr>
        <w:tc>
          <w:tcPr>
            <w:tcW w:w="1705" w:type="dxa"/>
            <w:shd w:val="clear" w:color="auto" w:fill="B8CCE4"/>
            <w:vAlign w:val="center"/>
          </w:tcPr>
          <w:p w:rsidR="00AA4661" w:rsidRPr="00F8728A" w:rsidRDefault="00AA4661" w:rsidP="004E6701">
            <w:pPr>
              <w:spacing w:before="40" w:after="40"/>
              <w:jc w:val="center"/>
              <w:rPr>
                <w:rFonts w:ascii="Calibri" w:hAnsi="Calibri" w:cs="Calibri"/>
                <w:b/>
                <w:color w:val="000000"/>
                <w:sz w:val="22"/>
              </w:rPr>
            </w:pPr>
            <w:r w:rsidRPr="00F8728A">
              <w:rPr>
                <w:rFonts w:ascii="Calibri" w:hAnsi="Calibri" w:cs="Calibri"/>
                <w:b/>
                <w:color w:val="000000"/>
                <w:sz w:val="22"/>
              </w:rPr>
              <w:t>2019 – 2020</w:t>
            </w:r>
          </w:p>
        </w:tc>
        <w:tc>
          <w:tcPr>
            <w:tcW w:w="3600" w:type="dxa"/>
            <w:vAlign w:val="center"/>
          </w:tcPr>
          <w:p w:rsidR="00AA4661" w:rsidRPr="00F8728A" w:rsidRDefault="00AA4661" w:rsidP="004E6701">
            <w:pPr>
              <w:spacing w:before="40" w:after="40"/>
              <w:jc w:val="center"/>
              <w:rPr>
                <w:rFonts w:ascii="Calibri" w:hAnsi="Calibri" w:cs="Calibri"/>
                <w:color w:val="000000"/>
                <w:sz w:val="22"/>
              </w:rPr>
            </w:pPr>
            <w:r w:rsidRPr="00F8728A">
              <w:rPr>
                <w:rFonts w:ascii="Calibri" w:hAnsi="Calibri" w:cs="Calibri"/>
                <w:color w:val="000000"/>
                <w:sz w:val="22"/>
              </w:rPr>
              <w:t>1</w:t>
            </w:r>
            <w:r w:rsidR="00F8728A">
              <w:rPr>
                <w:rFonts w:ascii="Calibri" w:hAnsi="Calibri" w:cs="Calibri"/>
                <w:color w:val="000000"/>
                <w:sz w:val="22"/>
              </w:rPr>
              <w:t xml:space="preserve"> </w:t>
            </w:r>
            <w:r w:rsidRPr="00F8728A">
              <w:rPr>
                <w:rFonts w:ascii="Calibri" w:hAnsi="Calibri" w:cs="Calibri"/>
                <w:color w:val="000000"/>
                <w:sz w:val="22"/>
              </w:rPr>
              <w:t>429</w:t>
            </w:r>
          </w:p>
        </w:tc>
      </w:tr>
      <w:tr w:rsidR="00AA4661" w:rsidRPr="00F8728A" w:rsidTr="004B1A4E">
        <w:trPr>
          <w:jc w:val="center"/>
        </w:trPr>
        <w:tc>
          <w:tcPr>
            <w:tcW w:w="1705" w:type="dxa"/>
            <w:shd w:val="clear" w:color="auto" w:fill="B8CCE4"/>
            <w:vAlign w:val="center"/>
          </w:tcPr>
          <w:p w:rsidR="00AA4661" w:rsidRPr="00F8728A" w:rsidRDefault="00AA4661" w:rsidP="004E6701">
            <w:pPr>
              <w:spacing w:before="40" w:after="40"/>
              <w:jc w:val="center"/>
              <w:rPr>
                <w:rFonts w:ascii="Calibri" w:hAnsi="Calibri" w:cs="Calibri"/>
                <w:b/>
                <w:color w:val="000000"/>
                <w:sz w:val="22"/>
              </w:rPr>
            </w:pPr>
            <w:r w:rsidRPr="00F8728A">
              <w:rPr>
                <w:rFonts w:ascii="Calibri" w:hAnsi="Calibri" w:cs="Calibri"/>
                <w:b/>
                <w:color w:val="000000"/>
                <w:sz w:val="22"/>
              </w:rPr>
              <w:t>Общо</w:t>
            </w:r>
          </w:p>
        </w:tc>
        <w:tc>
          <w:tcPr>
            <w:tcW w:w="3600" w:type="dxa"/>
            <w:vAlign w:val="center"/>
          </w:tcPr>
          <w:p w:rsidR="00AA4661" w:rsidRPr="00F8728A" w:rsidRDefault="00AA4661" w:rsidP="004E6701">
            <w:pPr>
              <w:spacing w:before="40" w:after="40"/>
              <w:jc w:val="center"/>
              <w:rPr>
                <w:rFonts w:ascii="Calibri" w:hAnsi="Calibri" w:cs="Calibri"/>
                <w:color w:val="000000"/>
                <w:sz w:val="22"/>
              </w:rPr>
            </w:pPr>
            <w:r w:rsidRPr="00F8728A">
              <w:rPr>
                <w:rFonts w:ascii="Calibri" w:hAnsi="Calibri" w:cs="Calibri"/>
                <w:color w:val="000000"/>
                <w:sz w:val="22"/>
              </w:rPr>
              <w:t>4</w:t>
            </w:r>
            <w:r w:rsidR="00F8728A">
              <w:rPr>
                <w:rFonts w:ascii="Calibri" w:hAnsi="Calibri" w:cs="Calibri"/>
                <w:color w:val="000000"/>
                <w:sz w:val="22"/>
              </w:rPr>
              <w:t xml:space="preserve"> </w:t>
            </w:r>
            <w:r w:rsidRPr="00F8728A">
              <w:rPr>
                <w:rFonts w:ascii="Calibri" w:hAnsi="Calibri" w:cs="Calibri"/>
                <w:color w:val="000000"/>
                <w:sz w:val="22"/>
              </w:rPr>
              <w:t>562</w:t>
            </w:r>
          </w:p>
        </w:tc>
      </w:tr>
    </w:tbl>
    <w:p w:rsidR="00AA4661" w:rsidRPr="00F8728A" w:rsidRDefault="00AA4661" w:rsidP="00BD57F3">
      <w:pPr>
        <w:pStyle w:val="Source"/>
        <w:jc w:val="center"/>
      </w:pPr>
      <w:r w:rsidRPr="00F8728A">
        <w:t>Източник: Трети НПДИК за периода 2013–2020 г.</w:t>
      </w:r>
    </w:p>
    <w:p w:rsidR="00AA4661" w:rsidRPr="00B73D7E" w:rsidRDefault="00AA4661" w:rsidP="00CF297A">
      <w:pPr>
        <w:pStyle w:val="BodyText"/>
        <w:numPr>
          <w:ilvl w:val="0"/>
          <w:numId w:val="41"/>
        </w:numPr>
        <w:ind w:left="0" w:firstLine="0"/>
        <w:rPr>
          <w:lang w:val="bg-BG"/>
        </w:rPr>
      </w:pPr>
      <w:r w:rsidRPr="00B73D7E">
        <w:rPr>
          <w:lang w:val="bg-BG"/>
        </w:rPr>
        <w:t>Сред мерките за енергийна ефективност с косвено въздействие, значително внимание се отделя на сградите с нулево нетно потребление чрез разработен национален план, въвеждане на нови технологии, материали и стандарти и повишена информираност. Една от мерките е свързана с идеята за постепенно въвеждане на националната програма "1</w:t>
      </w:r>
      <w:r w:rsidR="00EC4EB3">
        <w:rPr>
          <w:lang w:val="bg-BG"/>
        </w:rPr>
        <w:t xml:space="preserve"> </w:t>
      </w:r>
      <w:r w:rsidRPr="00B73D7E">
        <w:rPr>
          <w:lang w:val="bg-BG"/>
        </w:rPr>
        <w:t>000 слънчеви покриви". Това обаче изисква изменение на сложните съществуващи регламенти, за да се намали административната тежест върху населението и засегнатия бизнес.</w:t>
      </w:r>
    </w:p>
    <w:p w:rsidR="00AA4661" w:rsidRPr="00B73D7E" w:rsidRDefault="00AA4661" w:rsidP="00CF297A">
      <w:pPr>
        <w:pStyle w:val="BodyText"/>
        <w:numPr>
          <w:ilvl w:val="0"/>
          <w:numId w:val="41"/>
        </w:numPr>
        <w:ind w:left="0" w:firstLine="0"/>
        <w:rPr>
          <w:rFonts w:cs="Arial"/>
          <w:szCs w:val="20"/>
          <w:lang w:val="bg-BG"/>
        </w:rPr>
      </w:pPr>
      <w:r w:rsidRPr="00B73D7E">
        <w:rPr>
          <w:lang w:val="bg-BG"/>
        </w:rPr>
        <w:t xml:space="preserve">По-близък до градската среда е секторът, озаглавен "Използване на земята, промени в земеползването и горското стопанство" в Плана за действие. Повечето от предложените мерки по Приоритетна ос 1 "Увеличаване на улавянето на ПГ" са свързани с увеличаването на градските и крайградските паркове и зелените площи и подобряването на тяхното качество чрез подходяща поддръжка и управление. Въпреки значително малкия дял от новосъздадените зелени площи според </w:t>
      </w:r>
      <w:r w:rsidRPr="00B73D7E">
        <w:rPr>
          <w:b/>
          <w:i/>
          <w:lang w:val="bg-BG"/>
        </w:rPr>
        <w:t>таблица 9</w:t>
      </w:r>
      <w:r w:rsidRPr="00B73D7E">
        <w:rPr>
          <w:lang w:val="bg-BG"/>
        </w:rPr>
        <w:t>, прогнозираното увеличение на зелените площи се очаква да намали външната температура и да подобри комфорта в градските открити пространства.</w:t>
      </w:r>
    </w:p>
    <w:p w:rsidR="00AA4661" w:rsidRPr="00F8728A" w:rsidRDefault="00AA4661" w:rsidP="00B73D7E">
      <w:pPr>
        <w:pStyle w:val="FiguresTablesCaption"/>
      </w:pPr>
      <w:bookmarkStart w:id="281" w:name="_Toc529286636"/>
      <w:r w:rsidRPr="00F8728A">
        <w:t xml:space="preserve">Таблица </w:t>
      </w:r>
      <w:r w:rsidRPr="00F8728A">
        <w:fldChar w:fldCharType="begin"/>
      </w:r>
      <w:r w:rsidRPr="00F8728A">
        <w:instrText xml:space="preserve"> SEQ Table \* ARABIC </w:instrText>
      </w:r>
      <w:r w:rsidRPr="00F8728A">
        <w:fldChar w:fldCharType="separate"/>
      </w:r>
      <w:r w:rsidRPr="00F8728A">
        <w:t>9</w:t>
      </w:r>
      <w:r w:rsidRPr="00F8728A">
        <w:fldChar w:fldCharType="end"/>
      </w:r>
      <w:r w:rsidRPr="00F8728A">
        <w:t>. Нови градски и крайградски зелени площи (2014–2020 г.)</w:t>
      </w:r>
      <w:bookmarkEnd w:id="281"/>
    </w:p>
    <w:tbl>
      <w:tblPr>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1701"/>
        <w:gridCol w:w="4144"/>
      </w:tblGrid>
      <w:tr w:rsidR="00AA4661" w:rsidRPr="00F8728A" w:rsidTr="004E6701">
        <w:trPr>
          <w:jc w:val="center"/>
        </w:trPr>
        <w:tc>
          <w:tcPr>
            <w:tcW w:w="1701" w:type="dxa"/>
            <w:shd w:val="clear" w:color="auto" w:fill="365F91"/>
            <w:vAlign w:val="center"/>
          </w:tcPr>
          <w:p w:rsidR="00AA4661" w:rsidRPr="00F8728A" w:rsidRDefault="00AA4661" w:rsidP="004E6701">
            <w:pPr>
              <w:spacing w:before="40" w:after="40"/>
              <w:jc w:val="center"/>
              <w:rPr>
                <w:rFonts w:ascii="Calibri" w:hAnsi="Calibri" w:cs="Calibri"/>
                <w:b/>
                <w:color w:val="FFFFFF"/>
                <w:sz w:val="22"/>
              </w:rPr>
            </w:pPr>
            <w:r w:rsidRPr="00F8728A">
              <w:rPr>
                <w:rFonts w:ascii="Calibri" w:hAnsi="Calibri" w:cs="Calibri"/>
                <w:b/>
                <w:color w:val="FFFFFF"/>
                <w:sz w:val="22"/>
              </w:rPr>
              <w:t>Година</w:t>
            </w:r>
          </w:p>
        </w:tc>
        <w:tc>
          <w:tcPr>
            <w:tcW w:w="4144" w:type="dxa"/>
            <w:shd w:val="clear" w:color="auto" w:fill="365F91"/>
            <w:vAlign w:val="center"/>
          </w:tcPr>
          <w:p w:rsidR="00AA4661" w:rsidRPr="00F8728A" w:rsidRDefault="00AA4661" w:rsidP="004E6701">
            <w:pPr>
              <w:spacing w:before="40" w:after="40"/>
              <w:jc w:val="center"/>
              <w:rPr>
                <w:rFonts w:ascii="Calibri" w:hAnsi="Calibri" w:cs="Calibri"/>
                <w:b/>
                <w:color w:val="FFFFFF"/>
                <w:sz w:val="22"/>
              </w:rPr>
            </w:pPr>
            <w:r w:rsidRPr="00F8728A">
              <w:rPr>
                <w:rFonts w:ascii="Calibri" w:hAnsi="Calibri" w:cs="Calibri"/>
                <w:b/>
                <w:bCs/>
                <w:color w:val="FFFFFF"/>
                <w:sz w:val="22"/>
              </w:rPr>
              <w:t>Увеличение на градските и крайградски паркове и зелените площи (ха)</w:t>
            </w:r>
          </w:p>
        </w:tc>
      </w:tr>
      <w:tr w:rsidR="00AA4661" w:rsidRPr="00F8728A" w:rsidTr="004E6701">
        <w:trPr>
          <w:jc w:val="center"/>
        </w:trPr>
        <w:tc>
          <w:tcPr>
            <w:tcW w:w="1701" w:type="dxa"/>
            <w:shd w:val="clear" w:color="auto" w:fill="B8CCE4"/>
            <w:vAlign w:val="center"/>
          </w:tcPr>
          <w:p w:rsidR="00AA4661" w:rsidRPr="00F8728A" w:rsidRDefault="00AA4661" w:rsidP="004E6701">
            <w:pPr>
              <w:spacing w:before="40" w:after="40"/>
              <w:jc w:val="center"/>
              <w:rPr>
                <w:rFonts w:ascii="Calibri" w:hAnsi="Calibri" w:cs="Calibri"/>
                <w:b/>
                <w:color w:val="000000"/>
                <w:sz w:val="22"/>
              </w:rPr>
            </w:pPr>
            <w:r w:rsidRPr="00F8728A">
              <w:rPr>
                <w:rFonts w:ascii="Calibri" w:hAnsi="Calibri" w:cs="Calibri"/>
                <w:b/>
                <w:color w:val="000000"/>
                <w:sz w:val="22"/>
              </w:rPr>
              <w:t>2014</w:t>
            </w:r>
          </w:p>
        </w:tc>
        <w:tc>
          <w:tcPr>
            <w:tcW w:w="4144" w:type="dxa"/>
            <w:vAlign w:val="center"/>
          </w:tcPr>
          <w:p w:rsidR="00AA4661" w:rsidRPr="00F8728A" w:rsidRDefault="00AA4661" w:rsidP="004E6701">
            <w:pPr>
              <w:spacing w:before="40" w:after="40"/>
              <w:jc w:val="center"/>
              <w:rPr>
                <w:rFonts w:ascii="Calibri" w:hAnsi="Calibri" w:cs="Calibri"/>
                <w:color w:val="000000"/>
                <w:sz w:val="22"/>
              </w:rPr>
            </w:pPr>
            <w:r w:rsidRPr="00F8728A">
              <w:rPr>
                <w:rFonts w:ascii="Calibri" w:hAnsi="Calibri" w:cs="Calibri"/>
                <w:color w:val="000000"/>
                <w:sz w:val="22"/>
              </w:rPr>
              <w:t>20</w:t>
            </w:r>
          </w:p>
        </w:tc>
      </w:tr>
      <w:tr w:rsidR="00AA4661" w:rsidRPr="00F8728A" w:rsidTr="004E6701">
        <w:trPr>
          <w:jc w:val="center"/>
        </w:trPr>
        <w:tc>
          <w:tcPr>
            <w:tcW w:w="1701" w:type="dxa"/>
            <w:shd w:val="clear" w:color="auto" w:fill="B8CCE4"/>
            <w:vAlign w:val="center"/>
          </w:tcPr>
          <w:p w:rsidR="00AA4661" w:rsidRPr="00F8728A" w:rsidRDefault="00AA4661" w:rsidP="004E6701">
            <w:pPr>
              <w:spacing w:before="40" w:after="40"/>
              <w:jc w:val="center"/>
              <w:rPr>
                <w:rFonts w:ascii="Calibri" w:hAnsi="Calibri" w:cs="Calibri"/>
                <w:b/>
                <w:color w:val="000000"/>
                <w:sz w:val="22"/>
              </w:rPr>
            </w:pPr>
            <w:r w:rsidRPr="00F8728A">
              <w:rPr>
                <w:rFonts w:ascii="Calibri" w:hAnsi="Calibri" w:cs="Calibri"/>
                <w:b/>
                <w:color w:val="000000"/>
                <w:sz w:val="22"/>
              </w:rPr>
              <w:t>2016</w:t>
            </w:r>
          </w:p>
        </w:tc>
        <w:tc>
          <w:tcPr>
            <w:tcW w:w="4144" w:type="dxa"/>
            <w:vAlign w:val="center"/>
          </w:tcPr>
          <w:p w:rsidR="00AA4661" w:rsidRPr="00F8728A" w:rsidRDefault="00AA4661" w:rsidP="004E6701">
            <w:pPr>
              <w:spacing w:before="40" w:after="40"/>
              <w:jc w:val="center"/>
              <w:rPr>
                <w:rFonts w:ascii="Calibri" w:hAnsi="Calibri" w:cs="Calibri"/>
                <w:color w:val="000000"/>
                <w:sz w:val="22"/>
              </w:rPr>
            </w:pPr>
            <w:r w:rsidRPr="00F8728A">
              <w:rPr>
                <w:rFonts w:ascii="Calibri" w:hAnsi="Calibri" w:cs="Calibri"/>
                <w:color w:val="000000"/>
                <w:sz w:val="22"/>
              </w:rPr>
              <w:t>30</w:t>
            </w:r>
          </w:p>
        </w:tc>
      </w:tr>
      <w:tr w:rsidR="00AA4661" w:rsidRPr="00F8728A" w:rsidTr="004E6701">
        <w:trPr>
          <w:jc w:val="center"/>
        </w:trPr>
        <w:tc>
          <w:tcPr>
            <w:tcW w:w="1701" w:type="dxa"/>
            <w:shd w:val="clear" w:color="auto" w:fill="B8CCE4"/>
            <w:vAlign w:val="center"/>
          </w:tcPr>
          <w:p w:rsidR="00AA4661" w:rsidRPr="00F8728A" w:rsidRDefault="00AA4661" w:rsidP="004E6701">
            <w:pPr>
              <w:spacing w:before="40" w:after="40"/>
              <w:jc w:val="center"/>
              <w:rPr>
                <w:rFonts w:ascii="Calibri" w:hAnsi="Calibri" w:cs="Calibri"/>
                <w:b/>
                <w:color w:val="000000"/>
                <w:sz w:val="22"/>
              </w:rPr>
            </w:pPr>
            <w:r w:rsidRPr="00F8728A">
              <w:rPr>
                <w:rFonts w:ascii="Calibri" w:hAnsi="Calibri" w:cs="Calibri"/>
                <w:b/>
                <w:color w:val="000000"/>
                <w:sz w:val="22"/>
              </w:rPr>
              <w:t>2018</w:t>
            </w:r>
          </w:p>
        </w:tc>
        <w:tc>
          <w:tcPr>
            <w:tcW w:w="4144" w:type="dxa"/>
            <w:vAlign w:val="center"/>
          </w:tcPr>
          <w:p w:rsidR="00AA4661" w:rsidRPr="00F8728A" w:rsidRDefault="00AA4661" w:rsidP="004E6701">
            <w:pPr>
              <w:spacing w:before="40" w:after="40"/>
              <w:jc w:val="center"/>
              <w:rPr>
                <w:rFonts w:ascii="Calibri" w:hAnsi="Calibri" w:cs="Calibri"/>
                <w:color w:val="000000"/>
                <w:sz w:val="22"/>
              </w:rPr>
            </w:pPr>
            <w:r w:rsidRPr="00F8728A">
              <w:rPr>
                <w:rFonts w:ascii="Calibri" w:hAnsi="Calibri" w:cs="Calibri"/>
                <w:color w:val="000000"/>
                <w:sz w:val="22"/>
              </w:rPr>
              <w:t>30</w:t>
            </w:r>
          </w:p>
        </w:tc>
      </w:tr>
      <w:tr w:rsidR="00AA4661" w:rsidRPr="00F8728A" w:rsidTr="004E6701">
        <w:trPr>
          <w:jc w:val="center"/>
        </w:trPr>
        <w:tc>
          <w:tcPr>
            <w:tcW w:w="1701" w:type="dxa"/>
            <w:shd w:val="clear" w:color="auto" w:fill="B8CCE4"/>
            <w:vAlign w:val="center"/>
          </w:tcPr>
          <w:p w:rsidR="00AA4661" w:rsidRPr="00F8728A" w:rsidRDefault="00AA4661" w:rsidP="004E6701">
            <w:pPr>
              <w:spacing w:before="40" w:after="40"/>
              <w:jc w:val="center"/>
              <w:rPr>
                <w:rFonts w:ascii="Calibri" w:hAnsi="Calibri" w:cs="Calibri"/>
                <w:b/>
                <w:color w:val="000000"/>
                <w:sz w:val="22"/>
              </w:rPr>
            </w:pPr>
            <w:r w:rsidRPr="00F8728A">
              <w:rPr>
                <w:rFonts w:ascii="Calibri" w:hAnsi="Calibri" w:cs="Calibri"/>
                <w:b/>
                <w:color w:val="000000"/>
                <w:sz w:val="22"/>
              </w:rPr>
              <w:t>2020</w:t>
            </w:r>
          </w:p>
        </w:tc>
        <w:tc>
          <w:tcPr>
            <w:tcW w:w="4144" w:type="dxa"/>
            <w:vAlign w:val="center"/>
          </w:tcPr>
          <w:p w:rsidR="00AA4661" w:rsidRPr="00F8728A" w:rsidRDefault="00AA4661" w:rsidP="004E6701">
            <w:pPr>
              <w:spacing w:before="40" w:after="40"/>
              <w:jc w:val="center"/>
              <w:rPr>
                <w:rFonts w:ascii="Calibri" w:hAnsi="Calibri" w:cs="Calibri"/>
                <w:color w:val="000000"/>
                <w:sz w:val="22"/>
              </w:rPr>
            </w:pPr>
            <w:r w:rsidRPr="00F8728A">
              <w:rPr>
                <w:rFonts w:ascii="Calibri" w:hAnsi="Calibri" w:cs="Calibri"/>
                <w:color w:val="000000"/>
                <w:sz w:val="22"/>
              </w:rPr>
              <w:t>20</w:t>
            </w:r>
          </w:p>
        </w:tc>
      </w:tr>
      <w:tr w:rsidR="00AA4661" w:rsidRPr="00F8728A" w:rsidTr="004E6701">
        <w:trPr>
          <w:jc w:val="center"/>
        </w:trPr>
        <w:tc>
          <w:tcPr>
            <w:tcW w:w="1701" w:type="dxa"/>
            <w:shd w:val="clear" w:color="auto" w:fill="B8CCE4"/>
            <w:vAlign w:val="center"/>
          </w:tcPr>
          <w:p w:rsidR="00AA4661" w:rsidRPr="00F8728A" w:rsidRDefault="00F8728A" w:rsidP="004E6701">
            <w:pPr>
              <w:spacing w:before="40" w:after="40"/>
              <w:jc w:val="center"/>
              <w:rPr>
                <w:rFonts w:ascii="Calibri" w:hAnsi="Calibri" w:cs="Calibri"/>
                <w:b/>
                <w:color w:val="000000"/>
                <w:sz w:val="22"/>
              </w:rPr>
            </w:pPr>
            <w:r>
              <w:rPr>
                <w:rFonts w:ascii="Calibri" w:hAnsi="Calibri" w:cs="Calibri"/>
                <w:b/>
                <w:color w:val="000000"/>
                <w:sz w:val="22"/>
              </w:rPr>
              <w:t>Общо</w:t>
            </w:r>
          </w:p>
        </w:tc>
        <w:tc>
          <w:tcPr>
            <w:tcW w:w="4144" w:type="dxa"/>
            <w:vAlign w:val="center"/>
          </w:tcPr>
          <w:p w:rsidR="00AA4661" w:rsidRPr="00F8728A" w:rsidRDefault="00AA4661" w:rsidP="004E6701">
            <w:pPr>
              <w:spacing w:before="40" w:after="40"/>
              <w:jc w:val="center"/>
              <w:rPr>
                <w:rFonts w:ascii="Calibri" w:hAnsi="Calibri" w:cs="Calibri"/>
                <w:color w:val="000000"/>
                <w:sz w:val="22"/>
              </w:rPr>
            </w:pPr>
            <w:r w:rsidRPr="00F8728A">
              <w:rPr>
                <w:rFonts w:ascii="Calibri" w:hAnsi="Calibri" w:cs="Calibri"/>
                <w:color w:val="000000"/>
                <w:sz w:val="22"/>
              </w:rPr>
              <w:t>100</w:t>
            </w:r>
          </w:p>
        </w:tc>
      </w:tr>
    </w:tbl>
    <w:p w:rsidR="00AA4661" w:rsidRPr="00F8728A" w:rsidRDefault="00AA4661" w:rsidP="00BD57F3">
      <w:pPr>
        <w:pStyle w:val="Source"/>
        <w:jc w:val="center"/>
      </w:pPr>
      <w:r w:rsidRPr="00F8728A">
        <w:t>Източник: Трети НПДИК 2013–2020 г.</w:t>
      </w:r>
    </w:p>
    <w:p w:rsidR="00AA4661" w:rsidRPr="00B73D7E" w:rsidRDefault="00AA4661" w:rsidP="00CF297A">
      <w:pPr>
        <w:pStyle w:val="BodyText"/>
        <w:numPr>
          <w:ilvl w:val="0"/>
          <w:numId w:val="41"/>
        </w:numPr>
        <w:ind w:left="0" w:firstLine="0"/>
        <w:rPr>
          <w:lang w:val="bg-BG"/>
        </w:rPr>
      </w:pPr>
      <w:r w:rsidRPr="00B73D7E">
        <w:rPr>
          <w:lang w:val="bg-BG"/>
        </w:rPr>
        <w:t xml:space="preserve">Мерките в сектор "Транспорт" с въздействие върху градската околна среда са в приоритетна ос 1: "Намаляване на емисиите от транспорта". Те са свързани главно с националната пътна мрежа, но засягат и системите за градски транспорт и предлагат въвеждане на интелигентни транспортни системи в градската среда с цел намаляване на разхода на гориво и развитие и насърчаване на "хибридния" и електрическия транспорт. Опитите да се създадат места за зареждане и места за паркиране за такъв вид транспорт в столицата София срещнаха значителни бариери преди пет години поради сложните процедури за получаване на разрешение за строеж. </w:t>
      </w:r>
    </w:p>
    <w:p w:rsidR="00AA4661" w:rsidRPr="00B73D7E" w:rsidRDefault="00AA4661" w:rsidP="00CF297A">
      <w:pPr>
        <w:pStyle w:val="BodyText"/>
        <w:numPr>
          <w:ilvl w:val="0"/>
          <w:numId w:val="41"/>
        </w:numPr>
        <w:ind w:left="0" w:firstLine="0"/>
        <w:rPr>
          <w:lang w:val="bg-BG"/>
        </w:rPr>
      </w:pPr>
      <w:r w:rsidRPr="00B73D7E">
        <w:rPr>
          <w:lang w:val="bg-BG"/>
        </w:rPr>
        <w:lastRenderedPageBreak/>
        <w:t xml:space="preserve">Допълнителните мерки, предложени за градския обществен транспорт, също имат за цел намаляването на емисиите и замърсяването на въздуха чрез по-добре развити схеми и увеличен дял на електрическия транспорт (железопътен, трамваен, тролейбусен и метро), стимулиран велосипеден и немоторизиран транспорт и намалени наполовина (50 процента) превозни средства за обществен транспорт, използващи конвенционални горива. </w:t>
      </w:r>
    </w:p>
    <w:p w:rsidR="00AA4661" w:rsidRPr="00B73D7E" w:rsidRDefault="00AA4661" w:rsidP="00CF297A">
      <w:pPr>
        <w:pStyle w:val="BodyText"/>
        <w:numPr>
          <w:ilvl w:val="0"/>
          <w:numId w:val="41"/>
        </w:numPr>
        <w:ind w:left="0" w:firstLine="0"/>
        <w:rPr>
          <w:lang w:val="bg-BG"/>
        </w:rPr>
      </w:pPr>
      <w:r w:rsidRPr="00B73D7E">
        <w:rPr>
          <w:lang w:val="bg-BG"/>
        </w:rPr>
        <w:t>Мерките, предложени в сектора на отпадъците, също се очаква да окажат непряко въздействие върху градската среда поради намалените емисии на ПГ. Те включват по-нататъшно развитие на системи за разделно събиране и отделни системи за зелените отпадъци в общините.</w:t>
      </w:r>
    </w:p>
    <w:p w:rsidR="00AA4661" w:rsidRPr="00B73D7E" w:rsidRDefault="00AA4661" w:rsidP="00CF297A">
      <w:pPr>
        <w:pStyle w:val="BodyText"/>
        <w:numPr>
          <w:ilvl w:val="0"/>
          <w:numId w:val="41"/>
        </w:numPr>
        <w:ind w:left="0" w:firstLine="0"/>
        <w:rPr>
          <w:lang w:val="bg-BG"/>
        </w:rPr>
      </w:pPr>
      <w:r w:rsidRPr="00B73D7E">
        <w:rPr>
          <w:lang w:val="bg-BG"/>
        </w:rPr>
        <w:t xml:space="preserve">Повечето от обобщените по-горе мерки са насочени към промяна на модела на потребление на енергия и намаляване на емисиите на парникови газове. </w:t>
      </w:r>
    </w:p>
    <w:p w:rsidR="00AA4661" w:rsidRPr="00B73D7E" w:rsidRDefault="00AA4661" w:rsidP="00491557">
      <w:pPr>
        <w:pStyle w:val="Heading4"/>
        <w:rPr>
          <w:lang w:val="bg-BG"/>
        </w:rPr>
      </w:pPr>
      <w:r w:rsidRPr="00B73D7E">
        <w:rPr>
          <w:lang w:val="bg-BG"/>
        </w:rPr>
        <w:t>Наводнения</w:t>
      </w:r>
    </w:p>
    <w:p w:rsidR="00AA4661" w:rsidRPr="00B73D7E" w:rsidRDefault="00AA4661" w:rsidP="00CF297A">
      <w:pPr>
        <w:pStyle w:val="BodyText"/>
        <w:numPr>
          <w:ilvl w:val="0"/>
          <w:numId w:val="41"/>
        </w:numPr>
        <w:spacing w:after="60"/>
        <w:ind w:left="0" w:firstLine="0"/>
        <w:rPr>
          <w:bCs/>
          <w:lang w:val="bg-BG"/>
        </w:rPr>
      </w:pPr>
      <w:r w:rsidRPr="00B73D7E">
        <w:rPr>
          <w:lang w:val="bg-BG"/>
        </w:rPr>
        <w:t>Предвидените мерки за намаляване на риска от наводнения в населените места съгласно Националната програма за защита при бедствия 2014–2018 г. са насочени към градската среда и директно към урбанизираните територии</w:t>
      </w:r>
      <w:r w:rsidRPr="00B73D7E">
        <w:rPr>
          <w:bCs/>
          <w:vertAlign w:val="superscript"/>
          <w:lang w:val="bg-BG"/>
        </w:rPr>
        <w:footnoteReference w:id="131"/>
      </w:r>
      <w:r w:rsidRPr="00B73D7E">
        <w:rPr>
          <w:lang w:val="bg-BG"/>
        </w:rPr>
        <w:t>. Те са разделени на две групи - за крайградски територии и за градската среда. Мерките в първата група са важни за защитата на населението в населените места, разположени в близост до язовири, диги и реки. Програмата предлага следните мерки в крайградските територии:</w:t>
      </w:r>
    </w:p>
    <w:p w:rsidR="00AA4661" w:rsidRPr="00B73D7E" w:rsidRDefault="00AA4661" w:rsidP="00E21095">
      <w:pPr>
        <w:pStyle w:val="ListParagraph1"/>
        <w:numPr>
          <w:ilvl w:val="0"/>
          <w:numId w:val="17"/>
        </w:numPr>
        <w:tabs>
          <w:tab w:val="left" w:pos="810"/>
        </w:tabs>
        <w:spacing w:after="60"/>
        <w:ind w:left="720"/>
        <w:contextualSpacing w:val="0"/>
        <w:jc w:val="both"/>
        <w:rPr>
          <w:rFonts w:ascii="Times New Roman" w:hAnsi="Times New Roman"/>
          <w:color w:val="000000"/>
          <w:sz w:val="24"/>
          <w:szCs w:val="24"/>
          <w:lang w:val="bg-BG"/>
        </w:rPr>
      </w:pPr>
      <w:r w:rsidRPr="00B73D7E">
        <w:rPr>
          <w:rFonts w:ascii="Times New Roman" w:hAnsi="Times New Roman"/>
          <w:color w:val="000000"/>
          <w:sz w:val="24"/>
          <w:szCs w:val="24"/>
          <w:lang w:val="bg-BG"/>
        </w:rPr>
        <w:t>Поддържане на проводимостта на речното корито, включително 500-метровата зона след язовирите;</w:t>
      </w:r>
    </w:p>
    <w:p w:rsidR="00AA4661" w:rsidRPr="00B73D7E" w:rsidRDefault="00AA4661" w:rsidP="00E21095">
      <w:pPr>
        <w:pStyle w:val="ListParagraph1"/>
        <w:numPr>
          <w:ilvl w:val="0"/>
          <w:numId w:val="17"/>
        </w:numPr>
        <w:tabs>
          <w:tab w:val="left" w:pos="810"/>
        </w:tabs>
        <w:spacing w:after="60"/>
        <w:ind w:left="720"/>
        <w:contextualSpacing w:val="0"/>
        <w:jc w:val="both"/>
        <w:rPr>
          <w:rFonts w:ascii="Times New Roman" w:hAnsi="Times New Roman"/>
          <w:color w:val="000000"/>
          <w:sz w:val="24"/>
          <w:szCs w:val="24"/>
          <w:lang w:val="bg-BG"/>
        </w:rPr>
      </w:pPr>
      <w:r w:rsidRPr="00B73D7E">
        <w:rPr>
          <w:rFonts w:ascii="Times New Roman" w:hAnsi="Times New Roman"/>
          <w:color w:val="000000"/>
          <w:sz w:val="24"/>
          <w:szCs w:val="24"/>
          <w:lang w:val="bg-BG"/>
        </w:rPr>
        <w:t>Поддържане и експлоатация на диги, корекции на реки и дерета и други хидротехнически и защитни съоръжения, дренажни системи и полета, дренажни помпени станции;</w:t>
      </w:r>
    </w:p>
    <w:p w:rsidR="00AA4661" w:rsidRPr="00B73D7E" w:rsidRDefault="00AA4661" w:rsidP="00E21095">
      <w:pPr>
        <w:pStyle w:val="ListParagraph1"/>
        <w:numPr>
          <w:ilvl w:val="0"/>
          <w:numId w:val="17"/>
        </w:numPr>
        <w:tabs>
          <w:tab w:val="left" w:pos="810"/>
        </w:tabs>
        <w:spacing w:after="60"/>
        <w:ind w:left="720"/>
        <w:contextualSpacing w:val="0"/>
        <w:jc w:val="both"/>
        <w:rPr>
          <w:rFonts w:ascii="Times New Roman" w:hAnsi="Times New Roman"/>
          <w:color w:val="000000"/>
          <w:sz w:val="24"/>
          <w:szCs w:val="24"/>
          <w:lang w:val="bg-BG"/>
        </w:rPr>
      </w:pPr>
      <w:r w:rsidRPr="00B73D7E">
        <w:rPr>
          <w:rFonts w:ascii="Times New Roman" w:hAnsi="Times New Roman"/>
          <w:color w:val="000000"/>
          <w:sz w:val="24"/>
          <w:szCs w:val="24"/>
          <w:lang w:val="bg-BG"/>
        </w:rPr>
        <w:t>Годишни пролетни и есенни технически проверки на хидротехническите съоръжения и планиране на ремонтните и инвестиционните работи за следващата година;</w:t>
      </w:r>
    </w:p>
    <w:p w:rsidR="00AA4661" w:rsidRPr="00B73D7E" w:rsidRDefault="00AA4661" w:rsidP="00E21095">
      <w:pPr>
        <w:pStyle w:val="ListParagraph1"/>
        <w:numPr>
          <w:ilvl w:val="0"/>
          <w:numId w:val="17"/>
        </w:numPr>
        <w:tabs>
          <w:tab w:val="left" w:pos="810"/>
        </w:tabs>
        <w:spacing w:after="60"/>
        <w:ind w:left="720"/>
        <w:contextualSpacing w:val="0"/>
        <w:jc w:val="both"/>
        <w:rPr>
          <w:rFonts w:ascii="Times New Roman" w:hAnsi="Times New Roman"/>
          <w:color w:val="000000"/>
          <w:sz w:val="24"/>
          <w:szCs w:val="24"/>
          <w:lang w:val="bg-BG"/>
        </w:rPr>
      </w:pPr>
      <w:r w:rsidRPr="00B73D7E">
        <w:rPr>
          <w:rFonts w:ascii="Times New Roman" w:hAnsi="Times New Roman"/>
          <w:color w:val="000000"/>
          <w:sz w:val="24"/>
          <w:szCs w:val="24"/>
          <w:lang w:val="bg-BG"/>
        </w:rPr>
        <w:t>Изготвяне и тестване на аварийни планове на язовири и изграждане на аварийни депа, снабдени с необходимото оборудване и материали;</w:t>
      </w:r>
    </w:p>
    <w:p w:rsidR="00AA4661" w:rsidRPr="00B73D7E" w:rsidRDefault="00AA4661" w:rsidP="00E21095">
      <w:pPr>
        <w:pStyle w:val="ListParagraph1"/>
        <w:numPr>
          <w:ilvl w:val="0"/>
          <w:numId w:val="17"/>
        </w:numPr>
        <w:tabs>
          <w:tab w:val="left" w:pos="810"/>
        </w:tabs>
        <w:spacing w:after="60"/>
        <w:ind w:left="720"/>
        <w:contextualSpacing w:val="0"/>
        <w:jc w:val="both"/>
        <w:rPr>
          <w:rFonts w:ascii="Times New Roman" w:hAnsi="Times New Roman"/>
          <w:color w:val="000000"/>
          <w:sz w:val="24"/>
          <w:szCs w:val="24"/>
          <w:lang w:val="bg-BG"/>
        </w:rPr>
      </w:pPr>
      <w:r w:rsidRPr="00B73D7E">
        <w:rPr>
          <w:rFonts w:ascii="Times New Roman" w:hAnsi="Times New Roman"/>
          <w:color w:val="000000"/>
          <w:sz w:val="24"/>
          <w:szCs w:val="24"/>
          <w:lang w:val="bg-BG"/>
        </w:rPr>
        <w:t>Разработване на модерни системи за ранно предупреждение (района на язовирите Искър и Кърджали); и</w:t>
      </w:r>
    </w:p>
    <w:p w:rsidR="00AA4661" w:rsidRPr="00B73D7E" w:rsidRDefault="00AA4661" w:rsidP="00E21095">
      <w:pPr>
        <w:pStyle w:val="ListParagraph1"/>
        <w:numPr>
          <w:ilvl w:val="0"/>
          <w:numId w:val="17"/>
        </w:numPr>
        <w:tabs>
          <w:tab w:val="left" w:pos="810"/>
        </w:tabs>
        <w:ind w:left="720"/>
        <w:contextualSpacing w:val="0"/>
        <w:jc w:val="both"/>
        <w:rPr>
          <w:rFonts w:ascii="Times New Roman" w:hAnsi="Times New Roman"/>
          <w:color w:val="000000"/>
          <w:sz w:val="24"/>
          <w:szCs w:val="24"/>
          <w:lang w:val="bg-BG"/>
        </w:rPr>
      </w:pPr>
      <w:r w:rsidRPr="00B73D7E">
        <w:rPr>
          <w:rFonts w:ascii="Times New Roman" w:hAnsi="Times New Roman"/>
          <w:color w:val="000000"/>
          <w:sz w:val="24"/>
          <w:szCs w:val="24"/>
          <w:lang w:val="bg-BG"/>
        </w:rPr>
        <w:t>Разрушаване на потенциално опасни язовири.</w:t>
      </w:r>
    </w:p>
    <w:p w:rsidR="00AA4661" w:rsidRPr="00B73D7E" w:rsidRDefault="00AA4661" w:rsidP="00CF297A">
      <w:pPr>
        <w:pStyle w:val="ListParagraph1"/>
        <w:numPr>
          <w:ilvl w:val="0"/>
          <w:numId w:val="41"/>
        </w:numPr>
        <w:spacing w:after="60"/>
        <w:contextualSpacing w:val="0"/>
        <w:jc w:val="both"/>
        <w:rPr>
          <w:rFonts w:ascii="Times New Roman" w:hAnsi="Times New Roman"/>
          <w:color w:val="000000"/>
          <w:sz w:val="24"/>
          <w:szCs w:val="24"/>
          <w:lang w:val="bg-BG"/>
        </w:rPr>
      </w:pPr>
      <w:r w:rsidRPr="00B73D7E">
        <w:rPr>
          <w:rFonts w:ascii="Times New Roman" w:hAnsi="Times New Roman"/>
          <w:color w:val="000000"/>
          <w:sz w:val="24"/>
          <w:szCs w:val="24"/>
          <w:lang w:val="bg-BG"/>
        </w:rPr>
        <w:t>Мерките в градската среда включват:</w:t>
      </w:r>
    </w:p>
    <w:p w:rsidR="00AA4661" w:rsidRPr="00B73D7E" w:rsidRDefault="00AA4661" w:rsidP="00E21095">
      <w:pPr>
        <w:pStyle w:val="ListParagraph1"/>
        <w:numPr>
          <w:ilvl w:val="0"/>
          <w:numId w:val="18"/>
        </w:numPr>
        <w:tabs>
          <w:tab w:val="left" w:pos="810"/>
        </w:tabs>
        <w:spacing w:after="60"/>
        <w:ind w:left="720"/>
        <w:contextualSpacing w:val="0"/>
        <w:jc w:val="both"/>
        <w:rPr>
          <w:rFonts w:ascii="Times New Roman" w:hAnsi="Times New Roman"/>
          <w:color w:val="000000"/>
          <w:sz w:val="24"/>
          <w:szCs w:val="24"/>
          <w:lang w:val="bg-BG"/>
        </w:rPr>
      </w:pPr>
      <w:r w:rsidRPr="00B73D7E">
        <w:rPr>
          <w:rFonts w:ascii="Times New Roman" w:hAnsi="Times New Roman"/>
          <w:color w:val="000000"/>
          <w:sz w:val="24"/>
          <w:szCs w:val="24"/>
          <w:lang w:val="bg-BG"/>
        </w:rPr>
        <w:t>Изграждане и поддържане на канализационни системи за дъждовна вода;</w:t>
      </w:r>
    </w:p>
    <w:p w:rsidR="00AA4661" w:rsidRPr="00B73D7E" w:rsidRDefault="00AA4661" w:rsidP="00E21095">
      <w:pPr>
        <w:pStyle w:val="ListParagraph1"/>
        <w:numPr>
          <w:ilvl w:val="0"/>
          <w:numId w:val="18"/>
        </w:numPr>
        <w:tabs>
          <w:tab w:val="left" w:pos="810"/>
        </w:tabs>
        <w:spacing w:after="60"/>
        <w:ind w:left="720"/>
        <w:contextualSpacing w:val="0"/>
        <w:jc w:val="both"/>
        <w:rPr>
          <w:rFonts w:ascii="Times New Roman" w:hAnsi="Times New Roman"/>
          <w:color w:val="000000"/>
          <w:sz w:val="24"/>
          <w:szCs w:val="24"/>
          <w:lang w:val="bg-BG"/>
        </w:rPr>
      </w:pPr>
      <w:r w:rsidRPr="00B73D7E">
        <w:rPr>
          <w:rFonts w:ascii="Times New Roman" w:hAnsi="Times New Roman"/>
          <w:color w:val="000000"/>
          <w:sz w:val="24"/>
          <w:szCs w:val="24"/>
          <w:lang w:val="bg-BG"/>
        </w:rPr>
        <w:t>Изграждане на бариери при входа на сградите в застрашените ниски участъци на терена;</w:t>
      </w:r>
    </w:p>
    <w:p w:rsidR="00AA4661" w:rsidRPr="00B73D7E" w:rsidRDefault="00AA4661" w:rsidP="00E21095">
      <w:pPr>
        <w:pStyle w:val="ListParagraph1"/>
        <w:numPr>
          <w:ilvl w:val="0"/>
          <w:numId w:val="18"/>
        </w:numPr>
        <w:tabs>
          <w:tab w:val="left" w:pos="810"/>
        </w:tabs>
        <w:spacing w:after="60"/>
        <w:ind w:left="720"/>
        <w:contextualSpacing w:val="0"/>
        <w:jc w:val="both"/>
        <w:rPr>
          <w:rFonts w:ascii="Times New Roman" w:hAnsi="Times New Roman"/>
          <w:color w:val="000000"/>
          <w:sz w:val="24"/>
          <w:szCs w:val="24"/>
          <w:lang w:val="bg-BG"/>
        </w:rPr>
      </w:pPr>
      <w:r w:rsidRPr="00B73D7E">
        <w:rPr>
          <w:rFonts w:ascii="Times New Roman" w:hAnsi="Times New Roman"/>
          <w:color w:val="000000"/>
          <w:sz w:val="24"/>
          <w:szCs w:val="24"/>
          <w:lang w:val="bg-BG"/>
        </w:rPr>
        <w:t>Плътно затворени съдове в шахтите, в които се съхраняват замърсяващи материали и опасни отпадъци.</w:t>
      </w:r>
    </w:p>
    <w:p w:rsidR="00AA4661" w:rsidRPr="00B73D7E" w:rsidRDefault="00AA4661" w:rsidP="00E21095">
      <w:pPr>
        <w:pStyle w:val="ListParagraph1"/>
        <w:numPr>
          <w:ilvl w:val="0"/>
          <w:numId w:val="18"/>
        </w:numPr>
        <w:tabs>
          <w:tab w:val="left" w:pos="810"/>
        </w:tabs>
        <w:spacing w:after="60"/>
        <w:ind w:left="720"/>
        <w:contextualSpacing w:val="0"/>
        <w:jc w:val="both"/>
        <w:rPr>
          <w:rFonts w:ascii="Times New Roman" w:hAnsi="Times New Roman"/>
          <w:color w:val="000000"/>
          <w:sz w:val="24"/>
          <w:szCs w:val="24"/>
          <w:lang w:val="bg-BG"/>
        </w:rPr>
      </w:pPr>
      <w:r w:rsidRPr="00B73D7E">
        <w:rPr>
          <w:rFonts w:ascii="Times New Roman" w:hAnsi="Times New Roman"/>
          <w:color w:val="000000"/>
          <w:sz w:val="24"/>
          <w:szCs w:val="24"/>
          <w:lang w:val="bg-BG"/>
        </w:rPr>
        <w:lastRenderedPageBreak/>
        <w:t>Осигуряване на необходимите средства за защита и спасителни дейности и за първа помощ и периодична проверка на тяхната годност;</w:t>
      </w:r>
    </w:p>
    <w:p w:rsidR="00AA4661" w:rsidRPr="00B73D7E" w:rsidRDefault="00AA4661" w:rsidP="00E21095">
      <w:pPr>
        <w:pStyle w:val="ListParagraph1"/>
        <w:numPr>
          <w:ilvl w:val="0"/>
          <w:numId w:val="18"/>
        </w:numPr>
        <w:tabs>
          <w:tab w:val="left" w:pos="810"/>
        </w:tabs>
        <w:spacing w:after="60"/>
        <w:ind w:left="720"/>
        <w:contextualSpacing w:val="0"/>
        <w:jc w:val="both"/>
        <w:rPr>
          <w:rFonts w:ascii="Times New Roman" w:hAnsi="Times New Roman"/>
          <w:color w:val="000000"/>
          <w:sz w:val="24"/>
          <w:szCs w:val="24"/>
          <w:lang w:val="bg-BG"/>
        </w:rPr>
      </w:pPr>
      <w:r w:rsidRPr="00B73D7E">
        <w:rPr>
          <w:rFonts w:ascii="Times New Roman" w:hAnsi="Times New Roman"/>
          <w:color w:val="000000"/>
          <w:sz w:val="24"/>
          <w:szCs w:val="24"/>
          <w:lang w:val="bg-BG"/>
        </w:rPr>
        <w:t>Осигуряване и поддържане на системи за предупреждение;</w:t>
      </w:r>
    </w:p>
    <w:p w:rsidR="00AA4661" w:rsidRPr="00B73D7E" w:rsidRDefault="00AA4661" w:rsidP="00E21095">
      <w:pPr>
        <w:pStyle w:val="ListParagraph1"/>
        <w:numPr>
          <w:ilvl w:val="0"/>
          <w:numId w:val="18"/>
        </w:numPr>
        <w:tabs>
          <w:tab w:val="left" w:pos="810"/>
        </w:tabs>
        <w:spacing w:after="60"/>
        <w:ind w:left="720"/>
        <w:contextualSpacing w:val="0"/>
        <w:jc w:val="both"/>
        <w:rPr>
          <w:rFonts w:ascii="Times New Roman" w:hAnsi="Times New Roman"/>
          <w:color w:val="000000"/>
          <w:sz w:val="24"/>
          <w:szCs w:val="24"/>
          <w:lang w:val="bg-BG"/>
        </w:rPr>
      </w:pPr>
      <w:r w:rsidRPr="00B73D7E">
        <w:rPr>
          <w:rFonts w:ascii="Times New Roman" w:hAnsi="Times New Roman"/>
          <w:color w:val="000000"/>
          <w:sz w:val="24"/>
          <w:szCs w:val="24"/>
          <w:lang w:val="bg-BG"/>
        </w:rPr>
        <w:t>Осигуряване на навременна информация и необходимите средства за служителите и работниците в пристанищните терминали за извършване на спасителни и защитни дейности;</w:t>
      </w:r>
    </w:p>
    <w:p w:rsidR="00AA4661" w:rsidRPr="00B73D7E" w:rsidRDefault="00AA4661" w:rsidP="00E21095">
      <w:pPr>
        <w:pStyle w:val="ListParagraph1"/>
        <w:numPr>
          <w:ilvl w:val="0"/>
          <w:numId w:val="18"/>
        </w:numPr>
        <w:tabs>
          <w:tab w:val="left" w:pos="810"/>
        </w:tabs>
        <w:spacing w:after="60"/>
        <w:ind w:left="720"/>
        <w:contextualSpacing w:val="0"/>
        <w:jc w:val="both"/>
        <w:rPr>
          <w:rFonts w:ascii="Times New Roman" w:hAnsi="Times New Roman"/>
          <w:color w:val="000000"/>
          <w:sz w:val="24"/>
          <w:szCs w:val="24"/>
          <w:lang w:val="bg-BG"/>
        </w:rPr>
      </w:pPr>
      <w:r w:rsidRPr="00B73D7E">
        <w:rPr>
          <w:rFonts w:ascii="Times New Roman" w:hAnsi="Times New Roman"/>
          <w:color w:val="000000"/>
          <w:sz w:val="24"/>
          <w:szCs w:val="24"/>
          <w:lang w:val="bg-BG"/>
        </w:rPr>
        <w:t>Провеждане на периодични инструктажи и обучение на населението и персонала; и</w:t>
      </w:r>
    </w:p>
    <w:p w:rsidR="00AA4661" w:rsidRPr="00B73D7E" w:rsidRDefault="00AA4661" w:rsidP="00E21095">
      <w:pPr>
        <w:pStyle w:val="ListParagraph1"/>
        <w:numPr>
          <w:ilvl w:val="0"/>
          <w:numId w:val="18"/>
        </w:numPr>
        <w:tabs>
          <w:tab w:val="left" w:pos="810"/>
        </w:tabs>
        <w:ind w:left="720"/>
        <w:contextualSpacing w:val="0"/>
        <w:jc w:val="both"/>
        <w:rPr>
          <w:rFonts w:ascii="Times New Roman" w:hAnsi="Times New Roman"/>
          <w:color w:val="000000"/>
          <w:sz w:val="24"/>
          <w:szCs w:val="24"/>
          <w:lang w:val="bg-BG"/>
        </w:rPr>
      </w:pPr>
      <w:r w:rsidRPr="00B73D7E">
        <w:rPr>
          <w:rFonts w:ascii="Times New Roman" w:hAnsi="Times New Roman"/>
          <w:color w:val="000000"/>
          <w:sz w:val="24"/>
          <w:szCs w:val="24"/>
          <w:lang w:val="bg-BG"/>
        </w:rPr>
        <w:t>Осигуряване на готовност за извършване на ремонтни и възстановителни работи на територията на общината (района, обекта), в случай на унищожаване и повреда.</w:t>
      </w:r>
    </w:p>
    <w:p w:rsidR="00AA4661" w:rsidRPr="00B73D7E" w:rsidRDefault="00AA4661" w:rsidP="00CF297A">
      <w:pPr>
        <w:pStyle w:val="ListParagraph1"/>
        <w:numPr>
          <w:ilvl w:val="0"/>
          <w:numId w:val="41"/>
        </w:numPr>
        <w:ind w:left="0" w:firstLine="0"/>
        <w:jc w:val="both"/>
        <w:rPr>
          <w:rFonts w:ascii="Times New Roman" w:hAnsi="Times New Roman"/>
          <w:color w:val="000000"/>
          <w:sz w:val="24"/>
          <w:szCs w:val="24"/>
          <w:lang w:val="bg-BG"/>
        </w:rPr>
      </w:pPr>
      <w:r w:rsidRPr="00B73D7E">
        <w:rPr>
          <w:rFonts w:ascii="Times New Roman" w:hAnsi="Times New Roman"/>
          <w:color w:val="000000"/>
          <w:sz w:val="24"/>
          <w:szCs w:val="24"/>
          <w:lang w:val="bg-BG"/>
        </w:rPr>
        <w:t>В документа са описани и общите мерки за управление на риска от наводнения, насочени към конкретни участници и отговорни институции.</w:t>
      </w:r>
    </w:p>
    <w:p w:rsidR="00AA4661" w:rsidRPr="00B73D7E" w:rsidRDefault="00AA4661" w:rsidP="00491557">
      <w:pPr>
        <w:pStyle w:val="Heading4"/>
        <w:rPr>
          <w:lang w:val="bg-BG"/>
        </w:rPr>
      </w:pPr>
      <w:r w:rsidRPr="00B73D7E">
        <w:rPr>
          <w:lang w:val="bg-BG"/>
        </w:rPr>
        <w:t>Свлачища</w:t>
      </w:r>
    </w:p>
    <w:p w:rsidR="00AA4661" w:rsidRPr="00B73D7E" w:rsidRDefault="00AA4661" w:rsidP="00CF297A">
      <w:pPr>
        <w:pStyle w:val="BodyText"/>
        <w:numPr>
          <w:ilvl w:val="0"/>
          <w:numId w:val="41"/>
        </w:numPr>
        <w:spacing w:after="60"/>
        <w:ind w:left="0" w:firstLine="0"/>
        <w:rPr>
          <w:lang w:val="bg-BG"/>
        </w:rPr>
      </w:pPr>
      <w:r w:rsidRPr="00B73D7E">
        <w:rPr>
          <w:lang w:val="bg-BG"/>
        </w:rPr>
        <w:t>Мерките за предотвратяване на свлачища са получени от Националната програма за ограничаване и предотвратяване на свлачища на територията на Република България, ерозия и абразия на река Дунав и черноморското крайбрежие 2015–2020 г. След класифицирането на свлачищата, мерките са представени в таблиците на приложенията към документа. В документа са дадени допълнителни мерки, включващи следните части:</w:t>
      </w:r>
    </w:p>
    <w:p w:rsidR="00AA4661" w:rsidRPr="00B73D7E" w:rsidRDefault="00AA4661" w:rsidP="00E21095">
      <w:pPr>
        <w:pStyle w:val="ListParagraph1"/>
        <w:numPr>
          <w:ilvl w:val="0"/>
          <w:numId w:val="21"/>
        </w:numPr>
        <w:autoSpaceDE w:val="0"/>
        <w:autoSpaceDN w:val="0"/>
        <w:adjustRightInd w:val="0"/>
        <w:spacing w:before="60" w:after="0"/>
        <w:contextualSpacing w:val="0"/>
        <w:jc w:val="both"/>
        <w:rPr>
          <w:rFonts w:ascii="Times New Roman" w:hAnsi="Times New Roman"/>
          <w:sz w:val="24"/>
          <w:szCs w:val="24"/>
          <w:lang w:val="bg-BG"/>
        </w:rPr>
      </w:pPr>
      <w:r w:rsidRPr="00B73D7E">
        <w:rPr>
          <w:rFonts w:ascii="Times New Roman" w:hAnsi="Times New Roman"/>
          <w:b/>
          <w:sz w:val="24"/>
          <w:szCs w:val="24"/>
          <w:lang w:val="bg-BG"/>
        </w:rPr>
        <w:t xml:space="preserve">Законодателна </w:t>
      </w:r>
      <w:r w:rsidRPr="00B73D7E">
        <w:rPr>
          <w:rFonts w:ascii="Times New Roman" w:hAnsi="Times New Roman"/>
          <w:sz w:val="24"/>
          <w:szCs w:val="24"/>
          <w:lang w:val="bg-BG"/>
        </w:rPr>
        <w:t>- защита на изградените укрепвания и конструкции за намаляване на процесите и по-добро укрепване на свлачищата;</w:t>
      </w:r>
    </w:p>
    <w:p w:rsidR="00AA4661" w:rsidRPr="00B73D7E" w:rsidRDefault="00AA4661" w:rsidP="00E21095">
      <w:pPr>
        <w:pStyle w:val="ListParagraph1"/>
        <w:numPr>
          <w:ilvl w:val="0"/>
          <w:numId w:val="21"/>
        </w:numPr>
        <w:autoSpaceDE w:val="0"/>
        <w:autoSpaceDN w:val="0"/>
        <w:adjustRightInd w:val="0"/>
        <w:spacing w:before="60" w:after="0"/>
        <w:contextualSpacing w:val="0"/>
        <w:jc w:val="both"/>
        <w:rPr>
          <w:rFonts w:ascii="Times New Roman" w:hAnsi="Times New Roman"/>
          <w:sz w:val="24"/>
          <w:szCs w:val="24"/>
          <w:lang w:val="bg-BG"/>
        </w:rPr>
      </w:pPr>
      <w:r w:rsidRPr="00B73D7E">
        <w:rPr>
          <w:rFonts w:ascii="Times New Roman" w:hAnsi="Times New Roman"/>
          <w:b/>
          <w:sz w:val="24"/>
          <w:szCs w:val="24"/>
          <w:lang w:val="bg-BG"/>
        </w:rPr>
        <w:t>Образование</w:t>
      </w:r>
      <w:r w:rsidRPr="00B73D7E">
        <w:rPr>
          <w:rFonts w:ascii="Times New Roman" w:hAnsi="Times New Roman"/>
          <w:sz w:val="24"/>
          <w:szCs w:val="24"/>
          <w:lang w:val="bg-BG"/>
        </w:rPr>
        <w:t xml:space="preserve"> - изграждане на база от знания за професионално развитие на специалистите, работещи в областта; осигуряване на акредитация на програми и дипломирани студенти за по-добро качество;</w:t>
      </w:r>
    </w:p>
    <w:p w:rsidR="00AA4661" w:rsidRPr="00B73D7E" w:rsidRDefault="00AA4661" w:rsidP="00E21095">
      <w:pPr>
        <w:pStyle w:val="ListParagraph1"/>
        <w:numPr>
          <w:ilvl w:val="0"/>
          <w:numId w:val="21"/>
        </w:numPr>
        <w:autoSpaceDE w:val="0"/>
        <w:autoSpaceDN w:val="0"/>
        <w:adjustRightInd w:val="0"/>
        <w:spacing w:before="60" w:after="0"/>
        <w:contextualSpacing w:val="0"/>
        <w:jc w:val="both"/>
        <w:rPr>
          <w:rFonts w:ascii="Times New Roman" w:hAnsi="Times New Roman"/>
          <w:sz w:val="24"/>
          <w:szCs w:val="24"/>
          <w:lang w:val="bg-BG"/>
        </w:rPr>
      </w:pPr>
      <w:r w:rsidRPr="00B73D7E">
        <w:rPr>
          <w:rFonts w:ascii="Times New Roman" w:hAnsi="Times New Roman"/>
          <w:b/>
          <w:sz w:val="24"/>
          <w:szCs w:val="24"/>
          <w:lang w:val="bg-BG"/>
        </w:rPr>
        <w:t>Планиране и проектиране</w:t>
      </w:r>
      <w:r w:rsidRPr="00B73D7E">
        <w:rPr>
          <w:rFonts w:ascii="Times New Roman" w:hAnsi="Times New Roman"/>
          <w:sz w:val="24"/>
          <w:szCs w:val="24"/>
          <w:lang w:val="bg-BG"/>
        </w:rPr>
        <w:t xml:space="preserve"> - картографиране на геоложки процеси, цифрово форматиране на съществуващата информация, изготвяне на карти на зони на опасност;</w:t>
      </w:r>
    </w:p>
    <w:p w:rsidR="00AA4661" w:rsidRPr="00B73D7E" w:rsidRDefault="00AA4661" w:rsidP="00E21095">
      <w:pPr>
        <w:pStyle w:val="ListParagraph1"/>
        <w:numPr>
          <w:ilvl w:val="0"/>
          <w:numId w:val="21"/>
        </w:numPr>
        <w:autoSpaceDE w:val="0"/>
        <w:autoSpaceDN w:val="0"/>
        <w:adjustRightInd w:val="0"/>
        <w:spacing w:before="60" w:after="0"/>
        <w:contextualSpacing w:val="0"/>
        <w:jc w:val="both"/>
        <w:rPr>
          <w:rFonts w:ascii="Times New Roman" w:hAnsi="Times New Roman"/>
          <w:sz w:val="24"/>
          <w:szCs w:val="24"/>
          <w:lang w:val="bg-BG"/>
        </w:rPr>
      </w:pPr>
      <w:r w:rsidRPr="00B73D7E">
        <w:rPr>
          <w:rFonts w:ascii="Times New Roman" w:hAnsi="Times New Roman"/>
          <w:b/>
          <w:sz w:val="24"/>
          <w:szCs w:val="24"/>
          <w:lang w:val="bg-BG"/>
        </w:rPr>
        <w:t>Мониторинг</w:t>
      </w:r>
      <w:r w:rsidRPr="00B73D7E">
        <w:rPr>
          <w:rFonts w:ascii="Times New Roman" w:hAnsi="Times New Roman"/>
          <w:sz w:val="24"/>
          <w:szCs w:val="24"/>
          <w:lang w:val="bg-BG"/>
        </w:rPr>
        <w:t xml:space="preserve"> - наблюдение на свлачищни зони със завършени строителни работи;</w:t>
      </w:r>
    </w:p>
    <w:p w:rsidR="00AA4661" w:rsidRPr="00B73D7E" w:rsidRDefault="00AA4661" w:rsidP="00E21095">
      <w:pPr>
        <w:pStyle w:val="ListParagraph1"/>
        <w:numPr>
          <w:ilvl w:val="0"/>
          <w:numId w:val="21"/>
        </w:numPr>
        <w:autoSpaceDE w:val="0"/>
        <w:autoSpaceDN w:val="0"/>
        <w:adjustRightInd w:val="0"/>
        <w:spacing w:before="60" w:after="0"/>
        <w:contextualSpacing w:val="0"/>
        <w:jc w:val="both"/>
        <w:rPr>
          <w:rFonts w:ascii="Times New Roman" w:hAnsi="Times New Roman"/>
          <w:sz w:val="24"/>
          <w:szCs w:val="24"/>
          <w:lang w:val="bg-BG"/>
        </w:rPr>
      </w:pPr>
      <w:r w:rsidRPr="00B73D7E">
        <w:rPr>
          <w:rFonts w:ascii="Times New Roman" w:hAnsi="Times New Roman"/>
          <w:b/>
          <w:sz w:val="24"/>
          <w:szCs w:val="24"/>
          <w:lang w:val="bg-BG"/>
        </w:rPr>
        <w:t xml:space="preserve">Научни изследвания </w:t>
      </w:r>
      <w:r w:rsidRPr="00B73D7E">
        <w:rPr>
          <w:rFonts w:ascii="Times New Roman" w:hAnsi="Times New Roman"/>
          <w:sz w:val="24"/>
          <w:szCs w:val="24"/>
          <w:lang w:val="bg-BG"/>
        </w:rPr>
        <w:t>- наблюдение, анализ и оценка на състоянието на районите в близост до свлачищни зони;</w:t>
      </w:r>
    </w:p>
    <w:p w:rsidR="00AA4661" w:rsidRPr="00B73D7E" w:rsidRDefault="00AA4661" w:rsidP="00E21095">
      <w:pPr>
        <w:pStyle w:val="ListParagraph1"/>
        <w:numPr>
          <w:ilvl w:val="0"/>
          <w:numId w:val="21"/>
        </w:numPr>
        <w:autoSpaceDE w:val="0"/>
        <w:autoSpaceDN w:val="0"/>
        <w:adjustRightInd w:val="0"/>
        <w:spacing w:before="60" w:after="0"/>
        <w:contextualSpacing w:val="0"/>
        <w:jc w:val="both"/>
        <w:rPr>
          <w:rFonts w:ascii="Times New Roman" w:hAnsi="Times New Roman"/>
          <w:sz w:val="24"/>
          <w:szCs w:val="24"/>
          <w:lang w:val="bg-BG"/>
        </w:rPr>
      </w:pPr>
      <w:r w:rsidRPr="00B73D7E">
        <w:rPr>
          <w:rFonts w:ascii="Times New Roman" w:hAnsi="Times New Roman"/>
          <w:b/>
          <w:sz w:val="24"/>
          <w:szCs w:val="24"/>
          <w:lang w:val="bg-BG"/>
        </w:rPr>
        <w:t>Информация</w:t>
      </w:r>
      <w:r w:rsidRPr="00B73D7E">
        <w:rPr>
          <w:rFonts w:ascii="Times New Roman" w:hAnsi="Times New Roman"/>
          <w:sz w:val="24"/>
          <w:szCs w:val="24"/>
          <w:lang w:val="bg-BG"/>
        </w:rPr>
        <w:t xml:space="preserve"> - създаване на надеждна база данни за свлачища в България; и</w:t>
      </w:r>
    </w:p>
    <w:p w:rsidR="00AA4661" w:rsidRPr="00B73D7E" w:rsidRDefault="00AA4661" w:rsidP="00E21095">
      <w:pPr>
        <w:pStyle w:val="ListParagraph1"/>
        <w:numPr>
          <w:ilvl w:val="0"/>
          <w:numId w:val="21"/>
        </w:numPr>
        <w:autoSpaceDE w:val="0"/>
        <w:autoSpaceDN w:val="0"/>
        <w:adjustRightInd w:val="0"/>
        <w:spacing w:before="60"/>
        <w:contextualSpacing w:val="0"/>
        <w:jc w:val="both"/>
        <w:rPr>
          <w:rFonts w:ascii="Times New Roman" w:hAnsi="Times New Roman"/>
          <w:sz w:val="24"/>
          <w:szCs w:val="24"/>
          <w:lang w:val="bg-BG"/>
        </w:rPr>
      </w:pPr>
      <w:r w:rsidRPr="00B73D7E">
        <w:rPr>
          <w:rFonts w:ascii="Times New Roman" w:hAnsi="Times New Roman"/>
          <w:b/>
          <w:sz w:val="24"/>
          <w:szCs w:val="24"/>
          <w:lang w:val="bg-BG"/>
        </w:rPr>
        <w:t>Информираност</w:t>
      </w:r>
      <w:r w:rsidRPr="00B73D7E">
        <w:rPr>
          <w:rFonts w:ascii="Times New Roman" w:hAnsi="Times New Roman"/>
          <w:i/>
          <w:sz w:val="24"/>
          <w:szCs w:val="24"/>
          <w:lang w:val="bg-BG"/>
        </w:rPr>
        <w:t xml:space="preserve"> </w:t>
      </w:r>
      <w:r w:rsidRPr="00B73D7E">
        <w:rPr>
          <w:rFonts w:ascii="Times New Roman" w:hAnsi="Times New Roman"/>
          <w:sz w:val="24"/>
          <w:szCs w:val="24"/>
          <w:lang w:val="bg-BG"/>
        </w:rPr>
        <w:t>- разпространение на нов тип култура сред населението, специалистите по планиране и строителство и предприемачите.</w:t>
      </w:r>
    </w:p>
    <w:p w:rsidR="00AA4661" w:rsidRPr="00B73D7E" w:rsidRDefault="00AA4661" w:rsidP="00CF297A">
      <w:pPr>
        <w:pStyle w:val="ListParagraph1"/>
        <w:numPr>
          <w:ilvl w:val="0"/>
          <w:numId w:val="41"/>
        </w:numPr>
        <w:autoSpaceDE w:val="0"/>
        <w:autoSpaceDN w:val="0"/>
        <w:adjustRightInd w:val="0"/>
        <w:ind w:left="0" w:firstLine="0"/>
        <w:jc w:val="both"/>
        <w:rPr>
          <w:rFonts w:ascii="Times New Roman" w:hAnsi="Times New Roman"/>
          <w:sz w:val="24"/>
          <w:szCs w:val="24"/>
          <w:lang w:val="bg-BG"/>
        </w:rPr>
      </w:pPr>
      <w:r w:rsidRPr="00B73D7E">
        <w:rPr>
          <w:rFonts w:ascii="Times New Roman" w:hAnsi="Times New Roman"/>
          <w:sz w:val="24"/>
          <w:szCs w:val="24"/>
          <w:lang w:val="bg-BG"/>
        </w:rPr>
        <w:t xml:space="preserve">Допълнителна информация за съществуващите и новооткрити свлачища е дадена в </w:t>
      </w:r>
      <w:r w:rsidRPr="00B73D7E">
        <w:rPr>
          <w:rFonts w:ascii="Times New Roman" w:hAnsi="Times New Roman"/>
          <w:b/>
          <w:i/>
          <w:iCs/>
          <w:sz w:val="24"/>
          <w:szCs w:val="24"/>
          <w:lang w:val="bg-BG"/>
        </w:rPr>
        <w:t>таблица 2</w:t>
      </w:r>
      <w:r w:rsidR="00B57A8F" w:rsidRPr="00B73D7E">
        <w:rPr>
          <w:rFonts w:ascii="Times New Roman" w:hAnsi="Times New Roman"/>
          <w:b/>
          <w:i/>
          <w:iCs/>
          <w:sz w:val="24"/>
          <w:szCs w:val="24"/>
          <w:lang w:val="bg-BG"/>
        </w:rPr>
        <w:t>6</w:t>
      </w:r>
      <w:r w:rsidRPr="00B73D7E">
        <w:rPr>
          <w:rFonts w:ascii="Times New Roman" w:hAnsi="Times New Roman"/>
          <w:sz w:val="24"/>
          <w:szCs w:val="24"/>
          <w:lang w:val="bg-BG"/>
        </w:rPr>
        <w:t xml:space="preserve"> в </w:t>
      </w:r>
      <w:r w:rsidR="00B57A8F" w:rsidRPr="00B73D7E">
        <w:rPr>
          <w:rFonts w:ascii="Times New Roman" w:hAnsi="Times New Roman"/>
          <w:b/>
          <w:i/>
          <w:iCs/>
          <w:sz w:val="24"/>
          <w:szCs w:val="24"/>
          <w:lang w:val="bg-BG"/>
        </w:rPr>
        <w:t>приложение 7</w:t>
      </w:r>
      <w:r w:rsidRPr="00B73D7E">
        <w:rPr>
          <w:rFonts w:ascii="Times New Roman" w:hAnsi="Times New Roman"/>
          <w:b/>
          <w:i/>
          <w:iCs/>
          <w:sz w:val="24"/>
          <w:szCs w:val="24"/>
          <w:lang w:val="bg-BG"/>
        </w:rPr>
        <w:t xml:space="preserve"> </w:t>
      </w:r>
      <w:r w:rsidRPr="00B73D7E">
        <w:rPr>
          <w:rFonts w:ascii="Times New Roman" w:hAnsi="Times New Roman"/>
          <w:iCs/>
          <w:sz w:val="24"/>
          <w:szCs w:val="24"/>
          <w:lang w:val="bg-BG"/>
        </w:rPr>
        <w:t>[Свлачища]</w:t>
      </w:r>
      <w:r w:rsidRPr="00B73D7E">
        <w:rPr>
          <w:rFonts w:ascii="Times New Roman" w:hAnsi="Times New Roman"/>
          <w:i/>
          <w:iCs/>
          <w:sz w:val="24"/>
          <w:szCs w:val="24"/>
          <w:lang w:val="bg-BG"/>
        </w:rPr>
        <w:t>.</w:t>
      </w:r>
    </w:p>
    <w:p w:rsidR="00AA4661" w:rsidRPr="00B73D7E" w:rsidRDefault="00AA4661" w:rsidP="00491557">
      <w:pPr>
        <w:pStyle w:val="Heading4"/>
        <w:rPr>
          <w:lang w:val="bg-BG"/>
        </w:rPr>
      </w:pPr>
      <w:r w:rsidRPr="00B73D7E">
        <w:rPr>
          <w:lang w:val="bg-BG"/>
        </w:rPr>
        <w:t>Пожари</w:t>
      </w:r>
    </w:p>
    <w:p w:rsidR="00AA4661" w:rsidRPr="00B73D7E" w:rsidRDefault="00AA4661" w:rsidP="00CF297A">
      <w:pPr>
        <w:pStyle w:val="BodyText"/>
        <w:numPr>
          <w:ilvl w:val="0"/>
          <w:numId w:val="41"/>
        </w:numPr>
        <w:ind w:left="0" w:firstLine="0"/>
        <w:rPr>
          <w:i/>
          <w:lang w:val="bg-BG"/>
        </w:rPr>
      </w:pPr>
      <w:r w:rsidRPr="00B73D7E">
        <w:rPr>
          <w:lang w:val="bg-BG"/>
        </w:rPr>
        <w:t xml:space="preserve">Предвидените в Националната програма за защита при бедствия 2014–2018 г. </w:t>
      </w:r>
      <w:r w:rsidRPr="00B73D7E">
        <w:rPr>
          <w:lang w:val="bg-BG"/>
        </w:rPr>
        <w:lastRenderedPageBreak/>
        <w:t>мерки се отнасят основно до горските пожари и пожари в земеделските земи, а най-важните, свързани с пространственото и устройствено планиране, са предложеното картографиране и класификация на горските и селскостопанските територии по степен на пожароопасност.</w:t>
      </w:r>
    </w:p>
    <w:p w:rsidR="00AA4661" w:rsidRPr="00B73D7E" w:rsidRDefault="00AA4661" w:rsidP="00491557">
      <w:pPr>
        <w:pStyle w:val="Heading4"/>
        <w:rPr>
          <w:lang w:val="bg-BG"/>
        </w:rPr>
      </w:pPr>
      <w:r w:rsidRPr="00B73D7E">
        <w:rPr>
          <w:lang w:val="bg-BG"/>
        </w:rPr>
        <w:t>Водни ресурси</w:t>
      </w:r>
    </w:p>
    <w:p w:rsidR="00AA4661" w:rsidRPr="00B73D7E" w:rsidRDefault="00AA4661" w:rsidP="00CF297A">
      <w:pPr>
        <w:pStyle w:val="BodyText"/>
        <w:numPr>
          <w:ilvl w:val="0"/>
          <w:numId w:val="41"/>
        </w:numPr>
        <w:ind w:left="0" w:firstLine="0"/>
        <w:rPr>
          <w:lang w:val="bg-BG"/>
        </w:rPr>
      </w:pPr>
      <w:r w:rsidRPr="00B73D7E">
        <w:rPr>
          <w:lang w:val="bg-BG"/>
        </w:rPr>
        <w:t>Мерките, свързани с градските води, са описани в настоящия План за действие на Националната стратегия за управление и развитие на водния сектор в Република България в краткосрочен план (2013–2015 г.), средносрочен план (2016–2021 г.) и Дългосрочна перспектива (2022–2037 г.).</w:t>
      </w:r>
    </w:p>
    <w:p w:rsidR="00AA4661" w:rsidRPr="00B73D7E" w:rsidRDefault="00AA4661" w:rsidP="00CF297A">
      <w:pPr>
        <w:pStyle w:val="BodyText"/>
        <w:numPr>
          <w:ilvl w:val="0"/>
          <w:numId w:val="41"/>
        </w:numPr>
        <w:ind w:left="0" w:firstLine="0"/>
        <w:rPr>
          <w:lang w:val="bg-BG"/>
        </w:rPr>
      </w:pPr>
      <w:r w:rsidRPr="00B73D7E">
        <w:rPr>
          <w:lang w:val="bg-BG"/>
        </w:rPr>
        <w:t>Най-важната цел за градската среда е първата стратегическа цел - да се осигурят необходимите количества вода за населението и за бизнеса в условия на климатични промени, водещи до засушаване.</w:t>
      </w:r>
    </w:p>
    <w:p w:rsidR="00AA4661" w:rsidRPr="00B73D7E" w:rsidRDefault="00AA4661" w:rsidP="00CF297A">
      <w:pPr>
        <w:pStyle w:val="BodyText"/>
        <w:numPr>
          <w:ilvl w:val="0"/>
          <w:numId w:val="41"/>
        </w:numPr>
        <w:ind w:left="0" w:firstLine="0"/>
        <w:rPr>
          <w:lang w:val="bg-BG"/>
        </w:rPr>
      </w:pPr>
      <w:r w:rsidRPr="00B73D7E">
        <w:rPr>
          <w:lang w:val="bg-BG"/>
        </w:rPr>
        <w:t>Основните средносрочни мерки за градската среда са насочени към опазване на качеството на повърхностните и подземните води, проектиране, изграждане и реконструкция на водоснабдителната мрежа и язовирите, изграждане и рехабилитация на пречиствателни станции за питейна вода и пречиствателни станции за отпадъчни води и мерки за подобряване на работата на институциите.</w:t>
      </w:r>
    </w:p>
    <w:p w:rsidR="00AA4661" w:rsidRPr="00B73D7E" w:rsidRDefault="00AA4661" w:rsidP="00CF297A">
      <w:pPr>
        <w:pStyle w:val="BodyText"/>
        <w:numPr>
          <w:ilvl w:val="0"/>
          <w:numId w:val="41"/>
        </w:numPr>
        <w:spacing w:after="60"/>
        <w:ind w:left="0" w:firstLine="0"/>
        <w:rPr>
          <w:lang w:val="bg-BG"/>
        </w:rPr>
      </w:pPr>
      <w:r w:rsidRPr="00B73D7E">
        <w:rPr>
          <w:lang w:val="bg-BG"/>
        </w:rPr>
        <w:t>Основните мерки в областта на водоснабдяването и канализацията в населените места са предвидени и в Стратегията за развитие и управление на водоснабдяването и канализацията в Република България за периода 2014–2020 г., както следва:</w:t>
      </w:r>
    </w:p>
    <w:p w:rsidR="00AA4661" w:rsidRPr="00F8728A" w:rsidRDefault="00AA4661" w:rsidP="00E21095">
      <w:pPr>
        <w:numPr>
          <w:ilvl w:val="0"/>
          <w:numId w:val="19"/>
        </w:numPr>
        <w:autoSpaceDE w:val="0"/>
        <w:autoSpaceDN w:val="0"/>
        <w:adjustRightInd w:val="0"/>
        <w:spacing w:before="60" w:after="60" w:line="276" w:lineRule="auto"/>
        <w:jc w:val="both"/>
        <w:rPr>
          <w:rFonts w:ascii="Times New Roman" w:hAnsi="Times New Roman"/>
          <w:sz w:val="24"/>
          <w:szCs w:val="24"/>
        </w:rPr>
      </w:pPr>
      <w:r w:rsidRPr="00F8728A">
        <w:rPr>
          <w:rFonts w:ascii="Times New Roman" w:hAnsi="Times New Roman"/>
          <w:sz w:val="24"/>
          <w:szCs w:val="24"/>
        </w:rPr>
        <w:t>Изготвяне и одобряване на висококачествени регионални генерални планове;</w:t>
      </w:r>
    </w:p>
    <w:p w:rsidR="00AA4661" w:rsidRPr="00F8728A" w:rsidRDefault="00AA4661" w:rsidP="00E21095">
      <w:pPr>
        <w:numPr>
          <w:ilvl w:val="0"/>
          <w:numId w:val="19"/>
        </w:numPr>
        <w:autoSpaceDE w:val="0"/>
        <w:autoSpaceDN w:val="0"/>
        <w:adjustRightInd w:val="0"/>
        <w:spacing w:before="60" w:after="60" w:line="276" w:lineRule="auto"/>
        <w:jc w:val="both"/>
        <w:rPr>
          <w:rFonts w:ascii="Times New Roman" w:hAnsi="Times New Roman"/>
          <w:sz w:val="24"/>
          <w:szCs w:val="24"/>
        </w:rPr>
      </w:pPr>
      <w:r w:rsidRPr="00F8728A">
        <w:rPr>
          <w:rFonts w:ascii="Times New Roman" w:hAnsi="Times New Roman"/>
          <w:sz w:val="24"/>
          <w:szCs w:val="24"/>
        </w:rPr>
        <w:t>Инвестиране в енергийна и ресурсна ефективност в сектора, въз основа на общите разходи за водоснабдителната и канализационната инфраструктура; и</w:t>
      </w:r>
    </w:p>
    <w:p w:rsidR="00AA4661" w:rsidRPr="00F8728A" w:rsidRDefault="00AA4661" w:rsidP="00E21095">
      <w:pPr>
        <w:numPr>
          <w:ilvl w:val="0"/>
          <w:numId w:val="19"/>
        </w:numPr>
        <w:autoSpaceDE w:val="0"/>
        <w:autoSpaceDN w:val="0"/>
        <w:adjustRightInd w:val="0"/>
        <w:spacing w:before="60" w:after="120" w:line="276" w:lineRule="auto"/>
        <w:jc w:val="both"/>
        <w:rPr>
          <w:rFonts w:ascii="Times New Roman" w:hAnsi="Times New Roman"/>
          <w:sz w:val="24"/>
          <w:szCs w:val="24"/>
        </w:rPr>
      </w:pPr>
      <w:r w:rsidRPr="00F8728A">
        <w:rPr>
          <w:rFonts w:ascii="Times New Roman" w:hAnsi="Times New Roman"/>
          <w:sz w:val="24"/>
          <w:szCs w:val="24"/>
        </w:rPr>
        <w:t xml:space="preserve">Осигуряване и защита на уязвимите групи от населението. </w:t>
      </w:r>
    </w:p>
    <w:p w:rsidR="00AA4661" w:rsidRPr="00B73D7E" w:rsidRDefault="00AA4661" w:rsidP="00CF297A">
      <w:pPr>
        <w:pStyle w:val="BodyText"/>
        <w:numPr>
          <w:ilvl w:val="0"/>
          <w:numId w:val="41"/>
        </w:numPr>
        <w:ind w:left="0" w:firstLine="0"/>
        <w:rPr>
          <w:lang w:val="bg-BG"/>
        </w:rPr>
      </w:pPr>
      <w:r w:rsidRPr="00B73D7E">
        <w:rPr>
          <w:lang w:val="bg-BG"/>
        </w:rPr>
        <w:t>Тези мерки са свързани и с осигуряването на качествени услуги за населението, подобряване на водоснабдителните и канализационните мрежи и съоръжения, които са сред основните стратегически цели.</w:t>
      </w:r>
    </w:p>
    <w:p w:rsidR="00AA4661" w:rsidRPr="00B73D7E" w:rsidRDefault="00AA4661" w:rsidP="00491557">
      <w:pPr>
        <w:pStyle w:val="Heading4"/>
        <w:rPr>
          <w:lang w:val="bg-BG"/>
        </w:rPr>
      </w:pPr>
      <w:r w:rsidRPr="00B73D7E">
        <w:rPr>
          <w:lang w:val="bg-BG"/>
        </w:rPr>
        <w:t>Управление на риска от бедствия</w:t>
      </w:r>
    </w:p>
    <w:p w:rsidR="00AA4661" w:rsidRPr="00B73D7E" w:rsidRDefault="00AA4661" w:rsidP="00B73D7E">
      <w:pPr>
        <w:pStyle w:val="BodyText"/>
        <w:numPr>
          <w:ilvl w:val="0"/>
          <w:numId w:val="41"/>
        </w:numPr>
        <w:spacing w:after="60"/>
        <w:ind w:left="0" w:firstLine="0"/>
        <w:rPr>
          <w:lang w:val="bg-BG"/>
        </w:rPr>
      </w:pPr>
      <w:r w:rsidRPr="00B73D7E">
        <w:rPr>
          <w:lang w:val="bg-BG"/>
        </w:rPr>
        <w:t>В Националната програма за защита при бедствия 2014–2018 г. са описани общо 26 мерки. Всички те могат да бъдат насочени и към градската среда, и към строителния сектор. Те покриват следните аспекти:</w:t>
      </w:r>
    </w:p>
    <w:p w:rsidR="00AA4661" w:rsidRPr="00F8728A" w:rsidRDefault="00AA4661" w:rsidP="00E21095">
      <w:pPr>
        <w:numPr>
          <w:ilvl w:val="0"/>
          <w:numId w:val="20"/>
        </w:numPr>
        <w:autoSpaceDE w:val="0"/>
        <w:autoSpaceDN w:val="0"/>
        <w:adjustRightInd w:val="0"/>
        <w:spacing w:before="60" w:after="60" w:line="276" w:lineRule="auto"/>
        <w:jc w:val="both"/>
        <w:rPr>
          <w:rFonts w:ascii="Times New Roman" w:hAnsi="Times New Roman"/>
          <w:sz w:val="24"/>
          <w:szCs w:val="24"/>
        </w:rPr>
      </w:pPr>
      <w:r w:rsidRPr="00F8728A">
        <w:rPr>
          <w:rFonts w:ascii="Times New Roman" w:hAnsi="Times New Roman"/>
          <w:sz w:val="24"/>
          <w:szCs w:val="24"/>
        </w:rPr>
        <w:t>Развитие на човешките ресурси в структурите на Българския червен кръст и поддържане на съоръжения;</w:t>
      </w:r>
    </w:p>
    <w:p w:rsidR="00AA4661" w:rsidRPr="00F8728A" w:rsidRDefault="00AA4661" w:rsidP="00E21095">
      <w:pPr>
        <w:numPr>
          <w:ilvl w:val="0"/>
          <w:numId w:val="20"/>
        </w:numPr>
        <w:autoSpaceDE w:val="0"/>
        <w:autoSpaceDN w:val="0"/>
        <w:adjustRightInd w:val="0"/>
        <w:spacing w:before="60" w:after="60" w:line="276" w:lineRule="auto"/>
        <w:jc w:val="both"/>
        <w:rPr>
          <w:rFonts w:ascii="Times New Roman" w:hAnsi="Times New Roman"/>
          <w:sz w:val="24"/>
          <w:szCs w:val="24"/>
        </w:rPr>
      </w:pPr>
      <w:r w:rsidRPr="00F8728A">
        <w:rPr>
          <w:rFonts w:ascii="Times New Roman" w:hAnsi="Times New Roman"/>
          <w:sz w:val="24"/>
          <w:szCs w:val="24"/>
        </w:rPr>
        <w:t>Обучение на населението и провеждане на информационни кампании;</w:t>
      </w:r>
    </w:p>
    <w:p w:rsidR="00AA4661" w:rsidRPr="00F8728A" w:rsidRDefault="00AA4661" w:rsidP="00E21095">
      <w:pPr>
        <w:numPr>
          <w:ilvl w:val="0"/>
          <w:numId w:val="20"/>
        </w:numPr>
        <w:autoSpaceDE w:val="0"/>
        <w:autoSpaceDN w:val="0"/>
        <w:adjustRightInd w:val="0"/>
        <w:spacing w:before="60" w:after="60" w:line="276" w:lineRule="auto"/>
        <w:jc w:val="both"/>
        <w:rPr>
          <w:rFonts w:ascii="Times New Roman" w:hAnsi="Times New Roman"/>
          <w:sz w:val="24"/>
          <w:szCs w:val="24"/>
        </w:rPr>
      </w:pPr>
      <w:r w:rsidRPr="00F8728A">
        <w:rPr>
          <w:rFonts w:ascii="Times New Roman" w:hAnsi="Times New Roman"/>
          <w:sz w:val="24"/>
          <w:szCs w:val="24"/>
        </w:rPr>
        <w:t>Поддържане на съществуващи системи за приемане и обработка на сателитни данни и увеличаване на възможностите за обмен на свързани с времето, климата и бедствията информация и данни с международни институции;</w:t>
      </w:r>
    </w:p>
    <w:p w:rsidR="00AA4661" w:rsidRPr="00F8728A" w:rsidRDefault="00AA4661" w:rsidP="00E21095">
      <w:pPr>
        <w:numPr>
          <w:ilvl w:val="0"/>
          <w:numId w:val="20"/>
        </w:numPr>
        <w:autoSpaceDE w:val="0"/>
        <w:autoSpaceDN w:val="0"/>
        <w:adjustRightInd w:val="0"/>
        <w:spacing w:before="60" w:after="60" w:line="276" w:lineRule="auto"/>
        <w:jc w:val="both"/>
        <w:rPr>
          <w:rFonts w:ascii="Times New Roman" w:hAnsi="Times New Roman"/>
          <w:sz w:val="24"/>
          <w:szCs w:val="24"/>
        </w:rPr>
      </w:pPr>
      <w:r w:rsidRPr="00F8728A">
        <w:rPr>
          <w:rFonts w:ascii="Times New Roman" w:hAnsi="Times New Roman"/>
          <w:sz w:val="24"/>
          <w:szCs w:val="24"/>
        </w:rPr>
        <w:t>Организиране на групи от доброволци и подготовката им за действия за предотвратяване и управление на бедствия;</w:t>
      </w:r>
    </w:p>
    <w:p w:rsidR="00AA4661" w:rsidRPr="00F8728A" w:rsidRDefault="00AA4661" w:rsidP="00E21095">
      <w:pPr>
        <w:numPr>
          <w:ilvl w:val="0"/>
          <w:numId w:val="20"/>
        </w:numPr>
        <w:autoSpaceDE w:val="0"/>
        <w:autoSpaceDN w:val="0"/>
        <w:adjustRightInd w:val="0"/>
        <w:spacing w:before="60" w:after="60" w:line="276" w:lineRule="auto"/>
        <w:jc w:val="both"/>
        <w:rPr>
          <w:rFonts w:ascii="Times New Roman" w:hAnsi="Times New Roman"/>
          <w:sz w:val="24"/>
          <w:szCs w:val="24"/>
        </w:rPr>
      </w:pPr>
      <w:r w:rsidRPr="00F8728A">
        <w:rPr>
          <w:rFonts w:ascii="Times New Roman" w:hAnsi="Times New Roman"/>
          <w:sz w:val="24"/>
          <w:szCs w:val="24"/>
        </w:rPr>
        <w:lastRenderedPageBreak/>
        <w:t xml:space="preserve">Модернизиране на Единната система за търсене и спасяване със съвременно оборудване и ресурси; осигуряване на финансова подкрепа за военните формирования за управление и/или преодоляване на последствията от бедствия; </w:t>
      </w:r>
    </w:p>
    <w:p w:rsidR="00AA4661" w:rsidRPr="00F8728A" w:rsidRDefault="00AA4661" w:rsidP="00E21095">
      <w:pPr>
        <w:numPr>
          <w:ilvl w:val="0"/>
          <w:numId w:val="20"/>
        </w:numPr>
        <w:autoSpaceDE w:val="0"/>
        <w:autoSpaceDN w:val="0"/>
        <w:adjustRightInd w:val="0"/>
        <w:spacing w:before="60" w:after="60" w:line="276" w:lineRule="auto"/>
        <w:jc w:val="both"/>
        <w:rPr>
          <w:rFonts w:ascii="Times New Roman" w:hAnsi="Times New Roman"/>
          <w:sz w:val="24"/>
          <w:szCs w:val="24"/>
        </w:rPr>
      </w:pPr>
      <w:r w:rsidRPr="00F8728A">
        <w:rPr>
          <w:rFonts w:ascii="Times New Roman" w:hAnsi="Times New Roman"/>
          <w:sz w:val="24"/>
          <w:szCs w:val="24"/>
        </w:rPr>
        <w:t>Разработване, подобряване и обслужване на системата за ранно предупреждение на морските опасности; и</w:t>
      </w:r>
    </w:p>
    <w:p w:rsidR="00AA4661" w:rsidRPr="00F8728A" w:rsidRDefault="00AA4661" w:rsidP="00E21095">
      <w:pPr>
        <w:numPr>
          <w:ilvl w:val="0"/>
          <w:numId w:val="20"/>
        </w:numPr>
        <w:autoSpaceDE w:val="0"/>
        <w:autoSpaceDN w:val="0"/>
        <w:adjustRightInd w:val="0"/>
        <w:spacing w:before="60" w:after="120" w:line="276" w:lineRule="auto"/>
        <w:jc w:val="both"/>
        <w:rPr>
          <w:rFonts w:ascii="Times New Roman" w:hAnsi="Times New Roman"/>
          <w:sz w:val="24"/>
          <w:szCs w:val="24"/>
        </w:rPr>
      </w:pPr>
      <w:r w:rsidRPr="00F8728A">
        <w:rPr>
          <w:rFonts w:ascii="Times New Roman" w:hAnsi="Times New Roman"/>
          <w:sz w:val="24"/>
          <w:szCs w:val="24"/>
        </w:rPr>
        <w:t>Обучение на изпълнителните органи, техните администрации и силите за реагиране при бедствия и актуализиране на учебните планове.</w:t>
      </w:r>
    </w:p>
    <w:p w:rsidR="00AA4661" w:rsidRPr="00B73D7E" w:rsidRDefault="00AA4661" w:rsidP="00CF297A">
      <w:pPr>
        <w:pStyle w:val="ListParagraph1"/>
        <w:numPr>
          <w:ilvl w:val="0"/>
          <w:numId w:val="41"/>
        </w:numPr>
        <w:autoSpaceDE w:val="0"/>
        <w:autoSpaceDN w:val="0"/>
        <w:adjustRightInd w:val="0"/>
        <w:spacing w:before="60" w:after="0"/>
        <w:ind w:left="0" w:firstLine="0"/>
        <w:jc w:val="both"/>
        <w:rPr>
          <w:rFonts w:ascii="Times New Roman" w:hAnsi="Times New Roman"/>
          <w:sz w:val="24"/>
          <w:szCs w:val="24"/>
          <w:lang w:val="bg-BG"/>
        </w:rPr>
      </w:pPr>
      <w:r w:rsidRPr="00B73D7E">
        <w:rPr>
          <w:rFonts w:ascii="Times New Roman" w:hAnsi="Times New Roman"/>
          <w:sz w:val="24"/>
          <w:szCs w:val="24"/>
          <w:lang w:val="bg-BG"/>
        </w:rPr>
        <w:t>Всички обобщени мерки, посочени по-горе, предложени в различни държавни документи, са насочени към основните пропуски и бариери в политиката на АИК и практиките за управление при бедствия в страната. Най-важните са свързани с мониторинга и контрола върху изпълнението на приетите стратегически документи и плановете и програмите им за действие, с осигуряването и достъпа до надеждна информация, развитие на знания и комуникация, изграждане на капацитет и повишаване на осведомеността.</w:t>
      </w:r>
    </w:p>
    <w:p w:rsidR="00AA4661" w:rsidRPr="00B73D7E" w:rsidRDefault="00AA4661" w:rsidP="00E21095">
      <w:pPr>
        <w:pStyle w:val="Heading3"/>
        <w:numPr>
          <w:ilvl w:val="2"/>
          <w:numId w:val="25"/>
        </w:numPr>
        <w:autoSpaceDE/>
        <w:autoSpaceDN/>
        <w:adjustRightInd/>
        <w:spacing w:before="160"/>
        <w:ind w:left="0" w:firstLine="0"/>
        <w:rPr>
          <w:lang w:val="bg-BG"/>
        </w:rPr>
      </w:pPr>
      <w:bookmarkStart w:id="282" w:name="_Toc486259783"/>
      <w:bookmarkStart w:id="283" w:name="_Toc486942191"/>
      <w:r w:rsidRPr="00B73D7E">
        <w:rPr>
          <w:lang w:val="bg-BG"/>
        </w:rPr>
        <w:t xml:space="preserve"> </w:t>
      </w:r>
      <w:bookmarkStart w:id="284" w:name="_Toc501454868"/>
      <w:bookmarkStart w:id="285" w:name="_Toc522030570"/>
      <w:bookmarkStart w:id="286" w:name="_Toc529285555"/>
      <w:r w:rsidRPr="00B73D7E">
        <w:rPr>
          <w:lang w:val="bg-BG"/>
        </w:rPr>
        <w:t>Конкретни текущи и планирани действия (свързани с АИК) в сектора на градската среда в местни документи</w:t>
      </w:r>
      <w:bookmarkEnd w:id="282"/>
      <w:bookmarkEnd w:id="283"/>
      <w:bookmarkEnd w:id="284"/>
      <w:bookmarkEnd w:id="285"/>
      <w:bookmarkEnd w:id="286"/>
    </w:p>
    <w:p w:rsidR="00AA4661" w:rsidRPr="00B73D7E" w:rsidRDefault="00AA4661" w:rsidP="00CF297A">
      <w:pPr>
        <w:pStyle w:val="BodyText"/>
        <w:numPr>
          <w:ilvl w:val="0"/>
          <w:numId w:val="41"/>
        </w:numPr>
        <w:spacing w:after="160"/>
        <w:ind w:left="0" w:firstLine="0"/>
        <w:rPr>
          <w:lang w:val="bg-BG"/>
        </w:rPr>
      </w:pPr>
      <w:r w:rsidRPr="00B73D7E">
        <w:rPr>
          <w:lang w:val="bg-BG"/>
        </w:rPr>
        <w:t>На общинско ниво най-пряко свързани с темата за адаптиране на градската среда към изменението на климата са стратегиите за АИК, подготвени от някои общини. Всички общински съвети са приели правила и процедури, насочени към намаляване на риска от природни бедствия.</w:t>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AA4661" w:rsidRPr="00F8728A" w:rsidTr="00AD7B74">
        <w:tc>
          <w:tcPr>
            <w:tcW w:w="8545" w:type="dxa"/>
            <w:shd w:val="clear" w:color="auto" w:fill="B8CCE4"/>
          </w:tcPr>
          <w:p w:rsidR="00AA4661" w:rsidRPr="00F8728A" w:rsidRDefault="00AA4661" w:rsidP="00AD7B74">
            <w:pPr>
              <w:spacing w:before="60" w:after="60" w:line="252" w:lineRule="auto"/>
              <w:jc w:val="center"/>
              <w:rPr>
                <w:rFonts w:ascii="Calibri" w:hAnsi="Calibri" w:cs="Calibri"/>
                <w:b/>
                <w:i/>
                <w:sz w:val="22"/>
              </w:rPr>
            </w:pPr>
            <w:bookmarkStart w:id="287" w:name="_Toc522030703"/>
            <w:r w:rsidRPr="00F8728A">
              <w:rPr>
                <w:rFonts w:ascii="Calibri" w:hAnsi="Calibri" w:cs="Calibri"/>
                <w:b/>
                <w:i/>
                <w:sz w:val="22"/>
              </w:rPr>
              <w:t xml:space="preserve">Каре </w:t>
            </w:r>
            <w:r w:rsidRPr="00F8728A">
              <w:rPr>
                <w:rFonts w:ascii="Calibri" w:hAnsi="Calibri" w:cs="Calibri"/>
                <w:b/>
                <w:i/>
                <w:sz w:val="22"/>
              </w:rPr>
              <w:fldChar w:fldCharType="begin"/>
            </w:r>
            <w:r w:rsidRPr="00F8728A">
              <w:rPr>
                <w:rFonts w:ascii="Calibri" w:hAnsi="Calibri" w:cs="Calibri"/>
                <w:b/>
                <w:i/>
                <w:sz w:val="22"/>
              </w:rPr>
              <w:instrText xml:space="preserve"> SEQ Box \* ARABIC </w:instrText>
            </w:r>
            <w:r w:rsidRPr="00F8728A">
              <w:rPr>
                <w:rFonts w:ascii="Calibri" w:hAnsi="Calibri" w:cs="Calibri"/>
                <w:b/>
                <w:i/>
                <w:sz w:val="22"/>
              </w:rPr>
              <w:fldChar w:fldCharType="separate"/>
            </w:r>
            <w:r w:rsidRPr="00F8728A">
              <w:rPr>
                <w:rFonts w:ascii="Calibri" w:hAnsi="Calibri" w:cs="Calibri"/>
                <w:b/>
                <w:i/>
                <w:sz w:val="22"/>
              </w:rPr>
              <w:t>2</w:t>
            </w:r>
            <w:r w:rsidRPr="00F8728A">
              <w:rPr>
                <w:rFonts w:ascii="Calibri" w:hAnsi="Calibri" w:cs="Calibri"/>
                <w:b/>
                <w:i/>
                <w:sz w:val="22"/>
              </w:rPr>
              <w:fldChar w:fldCharType="end"/>
            </w:r>
            <w:r w:rsidRPr="00F8728A">
              <w:rPr>
                <w:rFonts w:ascii="Calibri" w:hAnsi="Calibri" w:cs="Calibri"/>
                <w:b/>
                <w:i/>
                <w:sz w:val="22"/>
              </w:rPr>
              <w:t>. Стратегия за адаптация към изменението на климата на Столична община, 2016 г.</w:t>
            </w:r>
            <w:bookmarkEnd w:id="287"/>
          </w:p>
          <w:p w:rsidR="00AA4661" w:rsidRPr="00F8728A" w:rsidRDefault="00AA4661" w:rsidP="004E6701">
            <w:pPr>
              <w:spacing w:before="60" w:after="60" w:line="252" w:lineRule="auto"/>
              <w:jc w:val="both"/>
              <w:rPr>
                <w:rFonts w:ascii="Calibri" w:hAnsi="Calibri" w:cs="Calibri"/>
                <w:sz w:val="22"/>
              </w:rPr>
            </w:pPr>
            <w:r w:rsidRPr="00F8728A">
              <w:rPr>
                <w:rFonts w:ascii="Calibri" w:hAnsi="Calibri" w:cs="Calibri"/>
                <w:sz w:val="22"/>
              </w:rPr>
              <w:t>Стратегията е разработена в съответствие с изискванията на инициативата "Споразумение на кметовете". Оценката на бъдещото изменение на климата се основава на набор от показатели за климата, изчислени чрез отклонението от базовия период (1971–2000 г.) до периода 2046–2065 г. и в края на века (2081–2099 г.). Умереният сценарий предполага затопляне от 2,4°C до края на този век, а екстремният сценарий предполага затопляне от 4,9°C за същия период.</w:t>
            </w:r>
          </w:p>
          <w:p w:rsidR="00AA4661" w:rsidRPr="00F8728A" w:rsidRDefault="00AA4661" w:rsidP="004C2172">
            <w:pPr>
              <w:spacing w:after="20" w:line="252" w:lineRule="auto"/>
              <w:jc w:val="both"/>
              <w:rPr>
                <w:rFonts w:ascii="Calibri" w:hAnsi="Calibri" w:cs="Calibri"/>
                <w:sz w:val="22"/>
              </w:rPr>
            </w:pPr>
            <w:r w:rsidRPr="00F8728A">
              <w:rPr>
                <w:rFonts w:ascii="Calibri" w:hAnsi="Calibri" w:cs="Calibri"/>
                <w:sz w:val="22"/>
              </w:rPr>
              <w:t>Показатели за адаптация</w:t>
            </w:r>
            <w:r w:rsidRPr="00F8728A">
              <w:rPr>
                <w:rFonts w:ascii="Calibri" w:hAnsi="Calibri" w:cs="Calibri"/>
                <w:b/>
                <w:sz w:val="22"/>
              </w:rPr>
              <w:t xml:space="preserve"> </w:t>
            </w:r>
            <w:r w:rsidRPr="00F8728A">
              <w:rPr>
                <w:rFonts w:ascii="Calibri" w:hAnsi="Calibri" w:cs="Calibri"/>
                <w:sz w:val="22"/>
              </w:rPr>
              <w:t>– градски сектор:</w:t>
            </w:r>
          </w:p>
          <w:p w:rsidR="00AA4661" w:rsidRPr="00F8728A" w:rsidRDefault="00AA4661" w:rsidP="004E6701">
            <w:pPr>
              <w:pStyle w:val="ListParagraph1"/>
              <w:spacing w:after="20" w:line="252" w:lineRule="auto"/>
              <w:ind w:left="504" w:hanging="360"/>
              <w:contextualSpacing w:val="0"/>
              <w:jc w:val="both"/>
              <w:rPr>
                <w:rFonts w:ascii="Calibri" w:hAnsi="Calibri" w:cs="Calibri"/>
                <w:szCs w:val="22"/>
                <w:lang w:val="bg-BG" w:eastAsia="en-US"/>
              </w:rPr>
            </w:pPr>
            <w:r w:rsidRPr="00F8728A">
              <w:rPr>
                <w:rFonts w:ascii="Calibri" w:hAnsi="Calibri" w:cs="Calibri"/>
                <w:szCs w:val="22"/>
                <w:lang w:val="bg-BG" w:eastAsia="en-US"/>
              </w:rPr>
              <w:t>•</w:t>
            </w:r>
            <w:r w:rsidRPr="00F8728A">
              <w:rPr>
                <w:rFonts w:ascii="Calibri" w:hAnsi="Calibri" w:cs="Calibri"/>
                <w:szCs w:val="22"/>
                <w:lang w:val="bg-BG" w:eastAsia="en-US"/>
              </w:rPr>
              <w:tab/>
              <w:t>Дял на "зелените" градски райони (процента)</w:t>
            </w:r>
          </w:p>
          <w:p w:rsidR="00AA4661" w:rsidRPr="00F8728A" w:rsidRDefault="00AA4661" w:rsidP="004E6701">
            <w:pPr>
              <w:pStyle w:val="ListParagraph1"/>
              <w:spacing w:after="20" w:line="252" w:lineRule="auto"/>
              <w:ind w:left="504" w:hanging="360"/>
              <w:contextualSpacing w:val="0"/>
              <w:jc w:val="both"/>
              <w:rPr>
                <w:rFonts w:ascii="Calibri" w:hAnsi="Calibri" w:cs="Calibri"/>
                <w:szCs w:val="22"/>
                <w:lang w:val="bg-BG" w:eastAsia="en-US"/>
              </w:rPr>
            </w:pPr>
            <w:r w:rsidRPr="00F8728A">
              <w:rPr>
                <w:rFonts w:ascii="Calibri" w:hAnsi="Calibri" w:cs="Calibri"/>
                <w:szCs w:val="22"/>
                <w:lang w:val="bg-BG" w:eastAsia="en-US"/>
              </w:rPr>
              <w:t>•</w:t>
            </w:r>
            <w:r w:rsidRPr="00F8728A">
              <w:rPr>
                <w:rFonts w:ascii="Calibri" w:hAnsi="Calibri" w:cs="Calibri"/>
                <w:szCs w:val="22"/>
                <w:lang w:val="bg-BG" w:eastAsia="en-US"/>
              </w:rPr>
              <w:tab/>
              <w:t>Повреди в инфраструктурата, свързани с екстремни климатични фактори - бури, градушки, наводнения (години)</w:t>
            </w:r>
          </w:p>
          <w:p w:rsidR="00AA4661" w:rsidRPr="00F8728A" w:rsidRDefault="00AA4661" w:rsidP="004E6701">
            <w:pPr>
              <w:pStyle w:val="ListParagraph1"/>
              <w:spacing w:after="20" w:line="252" w:lineRule="auto"/>
              <w:ind w:left="504" w:hanging="360"/>
              <w:contextualSpacing w:val="0"/>
              <w:jc w:val="both"/>
              <w:rPr>
                <w:rFonts w:ascii="Calibri" w:hAnsi="Calibri" w:cs="Calibri"/>
                <w:szCs w:val="22"/>
                <w:lang w:val="bg-BG" w:eastAsia="en-US"/>
              </w:rPr>
            </w:pPr>
            <w:r w:rsidRPr="00F8728A">
              <w:rPr>
                <w:rFonts w:ascii="Calibri" w:hAnsi="Calibri" w:cs="Calibri"/>
                <w:szCs w:val="22"/>
                <w:lang w:val="bg-BG" w:eastAsia="en-US"/>
              </w:rPr>
              <w:t>•</w:t>
            </w:r>
            <w:r w:rsidRPr="00F8728A">
              <w:rPr>
                <w:rFonts w:ascii="Calibri" w:hAnsi="Calibri" w:cs="Calibri"/>
                <w:szCs w:val="22"/>
                <w:lang w:val="bg-BG" w:eastAsia="en-US"/>
              </w:rPr>
              <w:tab/>
              <w:t>Брой училища, детски градини, болници, институции, с налични мерки за управление на риска при горещо време</w:t>
            </w:r>
          </w:p>
          <w:p w:rsidR="00AA4661" w:rsidRPr="00F8728A" w:rsidRDefault="00AA4661" w:rsidP="004E6701">
            <w:pPr>
              <w:pStyle w:val="ListParagraph1"/>
              <w:spacing w:after="20" w:line="252" w:lineRule="auto"/>
              <w:ind w:left="504" w:hanging="360"/>
              <w:contextualSpacing w:val="0"/>
              <w:jc w:val="both"/>
              <w:rPr>
                <w:rFonts w:ascii="Calibri" w:hAnsi="Calibri" w:cs="Calibri"/>
                <w:szCs w:val="22"/>
                <w:lang w:val="bg-BG" w:eastAsia="en-US"/>
              </w:rPr>
            </w:pPr>
            <w:r w:rsidRPr="00F8728A">
              <w:rPr>
                <w:rFonts w:ascii="Calibri" w:hAnsi="Calibri" w:cs="Calibri"/>
                <w:szCs w:val="22"/>
                <w:lang w:val="bg-BG" w:eastAsia="en-US"/>
              </w:rPr>
              <w:t>•</w:t>
            </w:r>
            <w:r w:rsidRPr="00F8728A">
              <w:rPr>
                <w:rFonts w:ascii="Calibri" w:hAnsi="Calibri" w:cs="Calibri"/>
                <w:szCs w:val="22"/>
                <w:lang w:val="bg-BG" w:eastAsia="en-US"/>
              </w:rPr>
              <w:tab/>
              <w:t>Дял на сградите (жилища, търговски помещения, администрация и др.), които не са устойчиви на наводнения (м</w:t>
            </w:r>
            <w:r w:rsidRPr="00F8728A">
              <w:rPr>
                <w:rFonts w:ascii="Calibri" w:hAnsi="Calibri" w:cs="Calibri"/>
                <w:szCs w:val="22"/>
                <w:vertAlign w:val="superscript"/>
                <w:lang w:val="bg-BG" w:eastAsia="en-US"/>
              </w:rPr>
              <w:t>2</w:t>
            </w:r>
            <w:r w:rsidRPr="00F8728A">
              <w:rPr>
                <w:rFonts w:ascii="Calibri" w:hAnsi="Calibri" w:cs="Calibri"/>
                <w:szCs w:val="22"/>
                <w:lang w:val="bg-BG" w:eastAsia="en-US"/>
              </w:rPr>
              <w:t>)</w:t>
            </w:r>
          </w:p>
          <w:p w:rsidR="00AA4661" w:rsidRPr="00F8728A" w:rsidRDefault="00AA4661" w:rsidP="004E6701">
            <w:pPr>
              <w:pStyle w:val="ListParagraph1"/>
              <w:spacing w:after="20" w:line="252" w:lineRule="auto"/>
              <w:ind w:left="504" w:hanging="360"/>
              <w:contextualSpacing w:val="0"/>
              <w:jc w:val="both"/>
              <w:rPr>
                <w:rFonts w:ascii="Calibri" w:hAnsi="Calibri" w:cs="Calibri"/>
                <w:szCs w:val="22"/>
                <w:lang w:val="bg-BG" w:eastAsia="en-US"/>
              </w:rPr>
            </w:pPr>
            <w:r w:rsidRPr="00F8728A">
              <w:rPr>
                <w:rFonts w:ascii="Calibri" w:hAnsi="Calibri" w:cs="Calibri"/>
                <w:szCs w:val="22"/>
                <w:lang w:val="bg-BG" w:eastAsia="en-US"/>
              </w:rPr>
              <w:t>•</w:t>
            </w:r>
            <w:r w:rsidRPr="00F8728A">
              <w:rPr>
                <w:rFonts w:ascii="Calibri" w:hAnsi="Calibri" w:cs="Calibri"/>
                <w:szCs w:val="22"/>
                <w:lang w:val="bg-BG" w:eastAsia="en-US"/>
              </w:rPr>
              <w:tab/>
              <w:t>Индекс на топлинния комфорт</w:t>
            </w:r>
          </w:p>
          <w:p w:rsidR="00AA4661" w:rsidRPr="00F8728A" w:rsidRDefault="00AA4661" w:rsidP="004E6701">
            <w:pPr>
              <w:pStyle w:val="ListParagraph1"/>
              <w:spacing w:after="20" w:line="252" w:lineRule="auto"/>
              <w:ind w:left="504" w:hanging="360"/>
              <w:contextualSpacing w:val="0"/>
              <w:jc w:val="both"/>
              <w:rPr>
                <w:rFonts w:ascii="Calibri" w:hAnsi="Calibri" w:cs="Calibri"/>
                <w:szCs w:val="22"/>
                <w:lang w:val="bg-BG" w:eastAsia="en-US"/>
              </w:rPr>
            </w:pPr>
            <w:r w:rsidRPr="00F8728A">
              <w:rPr>
                <w:rFonts w:ascii="Calibri" w:hAnsi="Calibri" w:cs="Calibri"/>
                <w:szCs w:val="22"/>
                <w:lang w:val="bg-BG" w:eastAsia="en-US"/>
              </w:rPr>
              <w:t>•</w:t>
            </w:r>
            <w:r w:rsidRPr="00F8728A">
              <w:rPr>
                <w:rFonts w:ascii="Calibri" w:hAnsi="Calibri" w:cs="Calibri"/>
                <w:szCs w:val="22"/>
                <w:lang w:val="bg-BG" w:eastAsia="en-US"/>
              </w:rPr>
              <w:tab/>
              <w:t>Брой дни с максимална температура &gt;35°C (горещи дни) в годината и минимална температура &gt;20°C (тропически нощи)</w:t>
            </w:r>
          </w:p>
          <w:p w:rsidR="00AA4661" w:rsidRPr="00F8728A" w:rsidRDefault="00AA4661" w:rsidP="004E6701">
            <w:pPr>
              <w:pStyle w:val="ListParagraph1"/>
              <w:spacing w:after="20" w:line="252" w:lineRule="auto"/>
              <w:ind w:left="504" w:hanging="360"/>
              <w:contextualSpacing w:val="0"/>
              <w:jc w:val="both"/>
              <w:rPr>
                <w:rFonts w:ascii="Calibri" w:hAnsi="Calibri" w:cs="Calibri"/>
                <w:szCs w:val="22"/>
                <w:lang w:val="bg-BG" w:eastAsia="en-US"/>
              </w:rPr>
            </w:pPr>
            <w:r w:rsidRPr="00F8728A">
              <w:rPr>
                <w:rFonts w:ascii="Calibri" w:hAnsi="Calibri" w:cs="Calibri"/>
                <w:szCs w:val="22"/>
                <w:lang w:val="bg-BG" w:eastAsia="en-US"/>
              </w:rPr>
              <w:t>•</w:t>
            </w:r>
            <w:r w:rsidRPr="00F8728A">
              <w:rPr>
                <w:rFonts w:ascii="Calibri" w:hAnsi="Calibri" w:cs="Calibri"/>
                <w:szCs w:val="22"/>
                <w:lang w:val="bg-BG" w:eastAsia="en-US"/>
              </w:rPr>
              <w:tab/>
              <w:t>Запечатване (процента)</w:t>
            </w:r>
          </w:p>
          <w:p w:rsidR="00AA4661" w:rsidRPr="00F8728A" w:rsidRDefault="00AA4661" w:rsidP="004E6701">
            <w:pPr>
              <w:spacing w:before="60" w:after="20" w:line="252" w:lineRule="auto"/>
              <w:jc w:val="both"/>
              <w:rPr>
                <w:rFonts w:ascii="Calibri" w:hAnsi="Calibri" w:cs="Calibri"/>
                <w:sz w:val="22"/>
              </w:rPr>
            </w:pPr>
            <w:r w:rsidRPr="00F8728A">
              <w:rPr>
                <w:rFonts w:ascii="Calibri" w:hAnsi="Calibri" w:cs="Calibri"/>
                <w:sz w:val="22"/>
              </w:rPr>
              <w:t>Мерки за адаптация – градски сектор:</w:t>
            </w:r>
          </w:p>
          <w:p w:rsidR="00AA4661" w:rsidRPr="00F8728A" w:rsidRDefault="00AA4661" w:rsidP="004E6701">
            <w:pPr>
              <w:pStyle w:val="ListParagraph1"/>
              <w:spacing w:before="20" w:after="20" w:line="252" w:lineRule="auto"/>
              <w:ind w:left="504" w:hanging="360"/>
              <w:contextualSpacing w:val="0"/>
              <w:jc w:val="both"/>
              <w:rPr>
                <w:rFonts w:ascii="Calibri" w:hAnsi="Calibri" w:cs="Calibri"/>
                <w:szCs w:val="22"/>
                <w:lang w:val="bg-BG" w:eastAsia="en-US"/>
              </w:rPr>
            </w:pPr>
            <w:r w:rsidRPr="00F8728A">
              <w:rPr>
                <w:rFonts w:ascii="Calibri" w:hAnsi="Calibri" w:cs="Calibri"/>
                <w:szCs w:val="22"/>
                <w:lang w:val="bg-BG" w:eastAsia="en-US"/>
              </w:rPr>
              <w:t>•</w:t>
            </w:r>
            <w:r w:rsidRPr="00F8728A">
              <w:rPr>
                <w:rFonts w:ascii="Calibri" w:hAnsi="Calibri" w:cs="Calibri"/>
                <w:szCs w:val="22"/>
                <w:lang w:val="bg-BG" w:eastAsia="en-US"/>
              </w:rPr>
              <w:tab/>
              <w:t>Подобряване и поддръжка на жилищни блокове и мрежа от улично озеленяване</w:t>
            </w:r>
          </w:p>
          <w:p w:rsidR="00AA4661" w:rsidRPr="00F8728A" w:rsidRDefault="00AA4661" w:rsidP="004E6701">
            <w:pPr>
              <w:pStyle w:val="ListParagraph1"/>
              <w:spacing w:before="20" w:after="20" w:line="252" w:lineRule="auto"/>
              <w:ind w:left="504" w:hanging="360"/>
              <w:contextualSpacing w:val="0"/>
              <w:jc w:val="both"/>
              <w:rPr>
                <w:rFonts w:ascii="Calibri" w:hAnsi="Calibri" w:cs="Calibri"/>
                <w:szCs w:val="22"/>
                <w:lang w:val="bg-BG" w:eastAsia="en-US"/>
              </w:rPr>
            </w:pPr>
            <w:r w:rsidRPr="00F8728A">
              <w:rPr>
                <w:rFonts w:ascii="Calibri" w:hAnsi="Calibri" w:cs="Calibri"/>
                <w:szCs w:val="22"/>
                <w:lang w:val="bg-BG" w:eastAsia="en-US"/>
              </w:rPr>
              <w:t>•</w:t>
            </w:r>
            <w:r w:rsidRPr="00F8728A">
              <w:rPr>
                <w:rFonts w:ascii="Calibri" w:hAnsi="Calibri" w:cs="Calibri"/>
                <w:szCs w:val="22"/>
                <w:lang w:val="bg-BG" w:eastAsia="en-US"/>
              </w:rPr>
              <w:tab/>
              <w:t xml:space="preserve">Периодично почистване на градските водни пътища (речни корита и канали), за </w:t>
            </w:r>
            <w:r w:rsidRPr="00F8728A">
              <w:rPr>
                <w:rFonts w:ascii="Calibri" w:hAnsi="Calibri" w:cs="Calibri"/>
                <w:szCs w:val="22"/>
                <w:lang w:val="bg-BG" w:eastAsia="en-US"/>
              </w:rPr>
              <w:lastRenderedPageBreak/>
              <w:t>да се избегне наводняването на улуците по време на силни дъждове</w:t>
            </w:r>
          </w:p>
          <w:p w:rsidR="00AA4661" w:rsidRPr="00F8728A" w:rsidRDefault="00AA4661" w:rsidP="004E6701">
            <w:pPr>
              <w:pStyle w:val="ListParagraph1"/>
              <w:spacing w:before="20" w:after="20" w:line="252" w:lineRule="auto"/>
              <w:ind w:left="504" w:hanging="360"/>
              <w:contextualSpacing w:val="0"/>
              <w:jc w:val="both"/>
              <w:rPr>
                <w:rFonts w:ascii="Calibri" w:hAnsi="Calibri" w:cs="Calibri"/>
                <w:szCs w:val="22"/>
                <w:lang w:val="bg-BG" w:eastAsia="en-US"/>
              </w:rPr>
            </w:pPr>
            <w:r w:rsidRPr="00F8728A">
              <w:rPr>
                <w:rFonts w:ascii="Calibri" w:hAnsi="Calibri" w:cs="Calibri"/>
                <w:szCs w:val="22"/>
                <w:lang w:val="bg-BG" w:eastAsia="en-US"/>
              </w:rPr>
              <w:t>•</w:t>
            </w:r>
            <w:r w:rsidRPr="00F8728A">
              <w:rPr>
                <w:rFonts w:ascii="Calibri" w:hAnsi="Calibri" w:cs="Calibri"/>
                <w:szCs w:val="22"/>
                <w:lang w:val="bg-BG" w:eastAsia="en-US"/>
              </w:rPr>
              <w:tab/>
              <w:t>Инвестиции в синьо-зелена инфраструктура (например зелени покриви)</w:t>
            </w:r>
          </w:p>
          <w:p w:rsidR="00AA4661" w:rsidRPr="00F8728A" w:rsidRDefault="00AA4661" w:rsidP="004E6701">
            <w:pPr>
              <w:pStyle w:val="ListParagraph1"/>
              <w:spacing w:before="20" w:after="20" w:line="252" w:lineRule="auto"/>
              <w:ind w:left="504" w:hanging="360"/>
              <w:contextualSpacing w:val="0"/>
              <w:jc w:val="both"/>
              <w:rPr>
                <w:rFonts w:ascii="Calibri" w:hAnsi="Calibri" w:cs="Calibri"/>
                <w:szCs w:val="22"/>
                <w:lang w:val="bg-BG" w:eastAsia="en-US"/>
              </w:rPr>
            </w:pPr>
            <w:r w:rsidRPr="00F8728A">
              <w:rPr>
                <w:rFonts w:ascii="Calibri" w:hAnsi="Calibri" w:cs="Calibri"/>
                <w:szCs w:val="22"/>
                <w:lang w:val="bg-BG" w:eastAsia="en-US"/>
              </w:rPr>
              <w:t>•</w:t>
            </w:r>
            <w:r w:rsidRPr="00F8728A">
              <w:rPr>
                <w:rFonts w:ascii="Calibri" w:hAnsi="Calibri" w:cs="Calibri"/>
                <w:szCs w:val="22"/>
                <w:lang w:val="bg-BG" w:eastAsia="en-US"/>
              </w:rPr>
              <w:tab/>
              <w:t>Картографиране на районите с висок риск от наводнения в Столична община и подготовка на противодействащи мерки и реагиране</w:t>
            </w:r>
          </w:p>
          <w:p w:rsidR="00AA4661" w:rsidRPr="00F8728A" w:rsidRDefault="00AA4661" w:rsidP="004E6701">
            <w:pPr>
              <w:pStyle w:val="ListParagraph1"/>
              <w:spacing w:before="20" w:after="20" w:line="252" w:lineRule="auto"/>
              <w:ind w:left="504" w:hanging="360"/>
              <w:contextualSpacing w:val="0"/>
              <w:jc w:val="both"/>
              <w:rPr>
                <w:rFonts w:ascii="Calibri" w:hAnsi="Calibri" w:cs="Calibri"/>
                <w:szCs w:val="22"/>
                <w:lang w:val="bg-BG" w:eastAsia="en-US"/>
              </w:rPr>
            </w:pPr>
            <w:r w:rsidRPr="00F8728A">
              <w:rPr>
                <w:rFonts w:ascii="Calibri" w:hAnsi="Calibri" w:cs="Calibri"/>
                <w:szCs w:val="22"/>
                <w:lang w:val="bg-BG" w:eastAsia="en-US"/>
              </w:rPr>
              <w:t>•</w:t>
            </w:r>
            <w:r w:rsidRPr="00F8728A">
              <w:rPr>
                <w:rFonts w:ascii="Calibri" w:hAnsi="Calibri" w:cs="Calibri"/>
                <w:szCs w:val="22"/>
                <w:lang w:val="bg-BG" w:eastAsia="en-US"/>
              </w:rPr>
              <w:tab/>
              <w:t>Осигуряване на охлаждащи центрове - обществени сгради, които по време на горещи вълни предлагат услуги за уязвими хора</w:t>
            </w:r>
          </w:p>
          <w:p w:rsidR="00AA4661" w:rsidRPr="00F8728A" w:rsidRDefault="00AA4661" w:rsidP="004E6701">
            <w:pPr>
              <w:pStyle w:val="ListParagraph1"/>
              <w:spacing w:before="20" w:after="20" w:line="252" w:lineRule="auto"/>
              <w:ind w:left="504" w:hanging="360"/>
              <w:contextualSpacing w:val="0"/>
              <w:jc w:val="both"/>
              <w:rPr>
                <w:rFonts w:ascii="Calibri" w:hAnsi="Calibri" w:cs="Calibri"/>
                <w:szCs w:val="22"/>
                <w:lang w:val="bg-BG" w:eastAsia="en-US"/>
              </w:rPr>
            </w:pPr>
            <w:r w:rsidRPr="00F8728A">
              <w:rPr>
                <w:rFonts w:ascii="Calibri" w:hAnsi="Calibri" w:cs="Calibri"/>
                <w:szCs w:val="22"/>
                <w:lang w:val="bg-BG" w:eastAsia="en-US"/>
              </w:rPr>
              <w:t>•</w:t>
            </w:r>
            <w:r w:rsidRPr="00F8728A">
              <w:rPr>
                <w:rFonts w:ascii="Calibri" w:hAnsi="Calibri" w:cs="Calibri"/>
                <w:szCs w:val="22"/>
                <w:lang w:val="bg-BG" w:eastAsia="en-US"/>
              </w:rPr>
              <w:tab/>
              <w:t>Устойчиви системи за отводняване (УСО)</w:t>
            </w:r>
          </w:p>
          <w:p w:rsidR="00AA4661" w:rsidRPr="00F8728A" w:rsidRDefault="00AA4661" w:rsidP="004E6701">
            <w:pPr>
              <w:pStyle w:val="ListParagraph1"/>
              <w:spacing w:before="20" w:after="20" w:line="252" w:lineRule="auto"/>
              <w:ind w:left="504" w:hanging="360"/>
              <w:contextualSpacing w:val="0"/>
              <w:jc w:val="both"/>
              <w:rPr>
                <w:rFonts w:ascii="Calibri" w:hAnsi="Calibri" w:cs="Calibri"/>
                <w:szCs w:val="22"/>
                <w:lang w:val="bg-BG" w:eastAsia="en-US"/>
              </w:rPr>
            </w:pPr>
            <w:r w:rsidRPr="00F8728A">
              <w:rPr>
                <w:rFonts w:ascii="Calibri" w:hAnsi="Calibri" w:cs="Calibri"/>
                <w:szCs w:val="22"/>
                <w:lang w:val="bg-BG" w:eastAsia="en-US"/>
              </w:rPr>
              <w:t>•</w:t>
            </w:r>
            <w:r w:rsidRPr="00F8728A">
              <w:rPr>
                <w:rFonts w:ascii="Calibri" w:hAnsi="Calibri" w:cs="Calibri"/>
                <w:szCs w:val="22"/>
                <w:lang w:val="bg-BG" w:eastAsia="en-US"/>
              </w:rPr>
              <w:tab/>
              <w:t>Проектиране на адекватни системи за отводняване в нови сгради и инфраструктура</w:t>
            </w:r>
          </w:p>
          <w:p w:rsidR="00AA4661" w:rsidRPr="00F8728A" w:rsidRDefault="00AA4661" w:rsidP="004E6701">
            <w:pPr>
              <w:pStyle w:val="ListParagraph1"/>
              <w:spacing w:before="20" w:after="20" w:line="252" w:lineRule="auto"/>
              <w:ind w:left="504" w:hanging="360"/>
              <w:contextualSpacing w:val="0"/>
              <w:jc w:val="both"/>
              <w:rPr>
                <w:rFonts w:ascii="Calibri" w:hAnsi="Calibri" w:cs="Calibri"/>
                <w:szCs w:val="22"/>
                <w:lang w:val="bg-BG" w:eastAsia="en-US"/>
              </w:rPr>
            </w:pPr>
            <w:r w:rsidRPr="00F8728A">
              <w:rPr>
                <w:rFonts w:ascii="Calibri" w:hAnsi="Calibri" w:cs="Calibri"/>
                <w:szCs w:val="22"/>
                <w:lang w:val="bg-BG" w:eastAsia="en-US"/>
              </w:rPr>
              <w:t>•</w:t>
            </w:r>
            <w:r w:rsidRPr="00F8728A">
              <w:rPr>
                <w:rFonts w:ascii="Calibri" w:hAnsi="Calibri" w:cs="Calibri"/>
                <w:szCs w:val="22"/>
                <w:lang w:val="bg-BG" w:eastAsia="en-US"/>
              </w:rPr>
              <w:tab/>
              <w:t>Възстановяване и поддръжка на градски и селски чешми</w:t>
            </w:r>
          </w:p>
          <w:p w:rsidR="00AA4661" w:rsidRPr="00F8728A" w:rsidRDefault="00AA4661" w:rsidP="004E6701">
            <w:pPr>
              <w:pStyle w:val="ListParagraph1"/>
              <w:spacing w:before="20" w:after="20" w:line="252" w:lineRule="auto"/>
              <w:ind w:left="504" w:hanging="360"/>
              <w:contextualSpacing w:val="0"/>
              <w:jc w:val="both"/>
              <w:rPr>
                <w:rFonts w:ascii="Calibri" w:hAnsi="Calibri" w:cs="Calibri"/>
                <w:szCs w:val="22"/>
                <w:lang w:val="bg-BG" w:eastAsia="en-US"/>
              </w:rPr>
            </w:pPr>
            <w:r w:rsidRPr="00F8728A">
              <w:rPr>
                <w:rFonts w:ascii="Calibri" w:hAnsi="Calibri" w:cs="Calibri"/>
                <w:szCs w:val="22"/>
                <w:lang w:val="bg-BG" w:eastAsia="en-US"/>
              </w:rPr>
              <w:t>•</w:t>
            </w:r>
            <w:r w:rsidRPr="00F8728A">
              <w:rPr>
                <w:rFonts w:ascii="Calibri" w:hAnsi="Calibri" w:cs="Calibri"/>
                <w:szCs w:val="22"/>
                <w:lang w:val="bg-BG" w:eastAsia="en-US"/>
              </w:rPr>
              <w:tab/>
              <w:t>Засаждане на инфилтрираща растителност (дървета, храсти)</w:t>
            </w:r>
          </w:p>
          <w:p w:rsidR="00AA4661" w:rsidRPr="00F8728A" w:rsidRDefault="00AA4661" w:rsidP="004E6701">
            <w:pPr>
              <w:pStyle w:val="ListParagraph1"/>
              <w:spacing w:before="20" w:after="20" w:line="252" w:lineRule="auto"/>
              <w:ind w:left="504" w:hanging="360"/>
              <w:contextualSpacing w:val="0"/>
              <w:jc w:val="both"/>
              <w:rPr>
                <w:rFonts w:ascii="Calibri" w:hAnsi="Calibri" w:cs="Calibri"/>
                <w:szCs w:val="22"/>
                <w:lang w:val="bg-BG" w:eastAsia="en-US"/>
              </w:rPr>
            </w:pPr>
            <w:r w:rsidRPr="00F8728A">
              <w:rPr>
                <w:rFonts w:ascii="Calibri" w:hAnsi="Calibri" w:cs="Calibri"/>
                <w:szCs w:val="22"/>
                <w:lang w:val="bg-BG" w:eastAsia="en-US"/>
              </w:rPr>
              <w:t>•</w:t>
            </w:r>
            <w:r w:rsidRPr="00F8728A">
              <w:rPr>
                <w:rFonts w:ascii="Calibri" w:hAnsi="Calibri" w:cs="Calibri"/>
                <w:szCs w:val="22"/>
                <w:lang w:val="bg-BG" w:eastAsia="en-US"/>
              </w:rPr>
              <w:tab/>
              <w:t>Разширяване на съществуващи и изграждане на нови подземни паркинги.</w:t>
            </w:r>
          </w:p>
          <w:p w:rsidR="00AA4661" w:rsidRPr="00F8728A" w:rsidRDefault="00AA4661" w:rsidP="004E6701">
            <w:pPr>
              <w:pStyle w:val="ListParagraph1"/>
              <w:spacing w:before="20" w:after="20" w:line="252" w:lineRule="auto"/>
              <w:ind w:left="504" w:hanging="360"/>
              <w:contextualSpacing w:val="0"/>
              <w:jc w:val="both"/>
              <w:rPr>
                <w:rFonts w:ascii="Calibri" w:hAnsi="Calibri" w:cs="Calibri"/>
                <w:szCs w:val="22"/>
                <w:lang w:val="bg-BG" w:eastAsia="en-US"/>
              </w:rPr>
            </w:pPr>
            <w:r w:rsidRPr="00F8728A">
              <w:rPr>
                <w:rFonts w:ascii="Calibri" w:hAnsi="Calibri" w:cs="Calibri"/>
                <w:szCs w:val="22"/>
                <w:lang w:val="bg-BG" w:eastAsia="en-US"/>
              </w:rPr>
              <w:t>•</w:t>
            </w:r>
            <w:r w:rsidRPr="00F8728A">
              <w:rPr>
                <w:rFonts w:ascii="Calibri" w:hAnsi="Calibri" w:cs="Calibri"/>
                <w:szCs w:val="22"/>
                <w:lang w:val="bg-BG" w:eastAsia="en-US"/>
              </w:rPr>
              <w:tab/>
              <w:t>Въвеждане на охлаждащи покриви, които отразяват слънчевата светлина и топлина, за да заменят конвенционалните черни покриви, които абсорбират топлината и по този начин затоплят сградите и другите повърхности, като паркинги</w:t>
            </w:r>
          </w:p>
          <w:p w:rsidR="00AA4661" w:rsidRPr="00F8728A" w:rsidRDefault="00AA4661" w:rsidP="004E6701">
            <w:pPr>
              <w:pStyle w:val="ListParagraph1"/>
              <w:spacing w:before="20" w:after="20" w:line="252" w:lineRule="auto"/>
              <w:ind w:left="504" w:hanging="360"/>
              <w:contextualSpacing w:val="0"/>
              <w:jc w:val="both"/>
              <w:rPr>
                <w:rFonts w:ascii="Calibri" w:hAnsi="Calibri" w:cs="Calibri"/>
                <w:szCs w:val="22"/>
                <w:lang w:val="bg-BG" w:eastAsia="en-US"/>
              </w:rPr>
            </w:pPr>
            <w:r w:rsidRPr="00F8728A">
              <w:rPr>
                <w:rFonts w:ascii="Calibri" w:hAnsi="Calibri" w:cs="Calibri"/>
                <w:szCs w:val="22"/>
                <w:lang w:val="bg-BG" w:eastAsia="en-US"/>
              </w:rPr>
              <w:t>•</w:t>
            </w:r>
            <w:r w:rsidRPr="00F8728A">
              <w:rPr>
                <w:rFonts w:ascii="Calibri" w:hAnsi="Calibri" w:cs="Calibri"/>
                <w:szCs w:val="22"/>
                <w:lang w:val="bg-BG" w:eastAsia="en-US"/>
              </w:rPr>
              <w:tab/>
              <w:t>Създаване на временни водни резервоари под формата на водни площи в паркове и градини или подземни съоръжения.</w:t>
            </w:r>
          </w:p>
          <w:p w:rsidR="00AA4661" w:rsidRPr="00F8728A" w:rsidRDefault="00AA4661" w:rsidP="007F5E6B">
            <w:pPr>
              <w:pStyle w:val="Source"/>
              <w:spacing w:after="60"/>
              <w:jc w:val="center"/>
            </w:pPr>
            <w:r w:rsidRPr="00F8728A">
              <w:t>Източник: Столична община, 2016 г. (Стратегия за адаптация към изменението на климата).</w:t>
            </w:r>
          </w:p>
        </w:tc>
      </w:tr>
    </w:tbl>
    <w:p w:rsidR="00AA4661" w:rsidRPr="00B73D7E" w:rsidRDefault="00AA4661" w:rsidP="00CF297A">
      <w:pPr>
        <w:pStyle w:val="BodyText"/>
        <w:numPr>
          <w:ilvl w:val="0"/>
          <w:numId w:val="41"/>
        </w:numPr>
        <w:spacing w:before="200"/>
        <w:ind w:left="0" w:firstLine="0"/>
        <w:rPr>
          <w:lang w:val="bg-BG"/>
        </w:rPr>
      </w:pPr>
      <w:r w:rsidRPr="00B73D7E">
        <w:rPr>
          <w:lang w:val="bg-BG"/>
        </w:rPr>
        <w:lastRenderedPageBreak/>
        <w:t>Инвестициите в зелена инфраструктура, за да се намали риска от бедствия (включително настилки, зелени покриви за поглъщане на дъждовна вода), все още са ограничени до големите градове и новите сгради. Липсват актуални данни за градовете. Все пак, планирането, проектирането и инженеринговия процес формално отразяват изменението на климата. Например само големите производители на строителни материали се придържат към изискванията на ЕС за деклариране на екологични продукти - KNAUF за гипсокартон и ITONG за тухли.</w:t>
      </w:r>
    </w:p>
    <w:p w:rsidR="00AA4661" w:rsidRPr="00B73D7E" w:rsidRDefault="00AA4661" w:rsidP="00CF297A">
      <w:pPr>
        <w:pStyle w:val="BodyText"/>
        <w:numPr>
          <w:ilvl w:val="0"/>
          <w:numId w:val="41"/>
        </w:numPr>
        <w:ind w:left="0" w:firstLine="0"/>
        <w:rPr>
          <w:lang w:val="bg-BG"/>
        </w:rPr>
      </w:pPr>
      <w:r w:rsidRPr="00B73D7E">
        <w:rPr>
          <w:lang w:val="bg-BG"/>
        </w:rPr>
        <w:t>Друг вид конкретни планове за местно ниво са плановете за управление на крайбрежието в съответствие с проекта за Директива на Европейския парламент и на Съвета за морско пространствено планиране и интегрирано управление на крайбрежните зони. Териториалноустройствените планове изготвени за 14 общини на Черноморското крайбрежие в края на 90-те години на миналия век по съвместната програма на МРРБ и Програмата за глобален екологичен фонд на Световната банка, не бяха включени в обща регионална схема за координиране на инвестиционни планове и намаляване на строителния натиск. Проектът "Моето крайбрежие"</w:t>
      </w:r>
      <w:r w:rsidRPr="00B73D7E">
        <w:rPr>
          <w:vertAlign w:val="superscript"/>
          <w:lang w:val="bg-BG"/>
        </w:rPr>
        <w:footnoteReference w:id="132"/>
      </w:r>
      <w:r w:rsidRPr="00B73D7E">
        <w:rPr>
          <w:lang w:val="bg-BG"/>
        </w:rPr>
        <w:t>, финансиран от холандското Министерство за устройство на територията, жилищната политика и околната среда (VROM), също не даде стратегически документ за черноморското крайбрежие, а завърши с препоръки към ключови участници в управлението на тези територии.</w:t>
      </w:r>
    </w:p>
    <w:p w:rsidR="00AA4661" w:rsidRPr="00B73D7E" w:rsidRDefault="00AA4661" w:rsidP="00CF297A">
      <w:pPr>
        <w:pStyle w:val="BodyText"/>
        <w:numPr>
          <w:ilvl w:val="0"/>
          <w:numId w:val="41"/>
        </w:numPr>
        <w:ind w:left="0" w:firstLine="0"/>
        <w:rPr>
          <w:lang w:val="bg-BG"/>
        </w:rPr>
      </w:pPr>
      <w:r w:rsidRPr="00B73D7E">
        <w:rPr>
          <w:lang w:val="bg-BG"/>
        </w:rPr>
        <w:t>От 2016 г. МРРБ участва заедно с три други институции от България и осем от Румъния по проект "</w:t>
      </w:r>
      <w:r w:rsidRPr="00B73D7E">
        <w:rPr>
          <w:color w:val="333333"/>
          <w:shd w:val="clear" w:color="auto" w:fill="FFFFFF"/>
          <w:lang w:val="bg-BG"/>
        </w:rPr>
        <w:t xml:space="preserve">Трансграничен морски пространствен план за Черно море – </w:t>
      </w:r>
      <w:r w:rsidRPr="00B73D7E">
        <w:rPr>
          <w:color w:val="333333"/>
          <w:shd w:val="clear" w:color="auto" w:fill="FFFFFF"/>
          <w:lang w:val="bg-BG"/>
        </w:rPr>
        <w:lastRenderedPageBreak/>
        <w:t>Румъния, България</w:t>
      </w:r>
      <w:r w:rsidRPr="00B73D7E">
        <w:rPr>
          <w:lang w:val="bg-BG"/>
        </w:rPr>
        <w:t>" (MARSPLAN - BS)</w:t>
      </w:r>
      <w:r w:rsidRPr="00B73D7E">
        <w:rPr>
          <w:vertAlign w:val="superscript"/>
          <w:lang w:val="bg-BG"/>
        </w:rPr>
        <w:footnoteReference w:id="133"/>
      </w:r>
      <w:r w:rsidRPr="00B73D7E">
        <w:rPr>
          <w:lang w:val="bg-BG"/>
        </w:rPr>
        <w:t>, с цел изпълнение на Директивата за морско пространствено планиране</w:t>
      </w:r>
      <w:r w:rsidRPr="00B73D7E">
        <w:rPr>
          <w:vertAlign w:val="superscript"/>
          <w:lang w:val="bg-BG"/>
        </w:rPr>
        <w:footnoteReference w:id="134"/>
      </w:r>
      <w:r w:rsidRPr="00B73D7E">
        <w:rPr>
          <w:lang w:val="bg-BG"/>
        </w:rPr>
        <w:t>. Една от основните цели е да се координират пространственото планиране (за сухоземните и морските пространства), транспорта (включително корабоплаването), опазването на околната среда и интегрираното управление на крайбрежните зони (ИУКЗ). Очаква се да се разшири базата от знания, за да се улесни разработването на местни планове за най-уязвимите части на брега, които през последните 20 години са подложени на постоянен строителен натиск и за подобряване на строителния и екологичен контрол.</w:t>
      </w:r>
    </w:p>
    <w:p w:rsidR="00AA4661" w:rsidRPr="00B73D7E" w:rsidRDefault="00AA4661" w:rsidP="00CF297A">
      <w:pPr>
        <w:pStyle w:val="BodyText"/>
        <w:numPr>
          <w:ilvl w:val="0"/>
          <w:numId w:val="41"/>
        </w:numPr>
        <w:ind w:left="0" w:firstLine="0"/>
        <w:rPr>
          <w:lang w:val="bg-BG"/>
        </w:rPr>
      </w:pPr>
      <w:r w:rsidRPr="00B73D7E">
        <w:rPr>
          <w:lang w:val="bg-BG"/>
        </w:rPr>
        <w:t xml:space="preserve">Забрана или ограничения върху строителство в райони с висока степен на риск от наводнения и/или свлачища са сред прерогативите на устройственото планиране и трябва ясно да се посочат в нормативните документи за земеползване и зониране. Контролът върху сградите в рискови райони е в рамките на отговорностите на дирекциите за строителен контрол на национално и регионално ниво. Те трябва да се справят с два типа сгради - от една страна с незаконните, в повечето случаи на най-бедните и най-уязвимите групи от населението, а от друга - с луксозните сгради и предимно хотели, които заобикалят регулациите и приетите устройствени планове.  </w:t>
      </w:r>
    </w:p>
    <w:p w:rsidR="00AA4661" w:rsidRPr="00B73D7E" w:rsidRDefault="00AA4661" w:rsidP="00CF297A">
      <w:pPr>
        <w:pStyle w:val="BodyText"/>
        <w:numPr>
          <w:ilvl w:val="0"/>
          <w:numId w:val="41"/>
        </w:numPr>
        <w:ind w:left="0" w:firstLine="0"/>
        <w:rPr>
          <w:lang w:val="bg-BG"/>
        </w:rPr>
      </w:pPr>
      <w:r w:rsidRPr="00B73D7E">
        <w:rPr>
          <w:lang w:val="bg-BG"/>
        </w:rPr>
        <w:t>Физическите модификации на околната среда чрез адаптивна топография и адаптивна инфраструктура са все още само в списъка с възможности и много рядко се използват в професионалната практика. Това е още една задача за академичните институции в областта на урбанизма, инженерството, архитектурата и ландшафтната архитектура.</w:t>
      </w:r>
    </w:p>
    <w:p w:rsidR="00AA4661" w:rsidRPr="00B73D7E" w:rsidRDefault="00AA4661" w:rsidP="00E21095">
      <w:pPr>
        <w:pStyle w:val="Heading2"/>
        <w:numPr>
          <w:ilvl w:val="1"/>
          <w:numId w:val="25"/>
        </w:numPr>
        <w:spacing w:line="240" w:lineRule="auto"/>
        <w:ind w:left="0" w:firstLine="0"/>
        <w:rPr>
          <w:szCs w:val="20"/>
          <w:lang w:val="bg-BG"/>
        </w:rPr>
      </w:pPr>
      <w:bookmarkStart w:id="288" w:name="_Toc486259784"/>
      <w:bookmarkStart w:id="289" w:name="_Toc486942192"/>
      <w:bookmarkStart w:id="290" w:name="_Toc501454869"/>
      <w:bookmarkStart w:id="291" w:name="_Toc522030571"/>
      <w:bookmarkStart w:id="292" w:name="_Toc529285556"/>
      <w:r w:rsidRPr="00B73D7E">
        <w:rPr>
          <w:lang w:val="bg-BG"/>
        </w:rPr>
        <w:t>Пропуски и пречки, които възпрепятстват адекватния отговор за</w:t>
      </w:r>
      <w:bookmarkEnd w:id="288"/>
      <w:bookmarkEnd w:id="289"/>
      <w:r w:rsidRPr="00B73D7E">
        <w:rPr>
          <w:lang w:val="bg-BG"/>
        </w:rPr>
        <w:t xml:space="preserve"> АИК</w:t>
      </w:r>
      <w:bookmarkEnd w:id="290"/>
      <w:bookmarkEnd w:id="291"/>
      <w:bookmarkEnd w:id="292"/>
    </w:p>
    <w:p w:rsidR="00AA4661" w:rsidRPr="00B73D7E" w:rsidRDefault="00AA4661" w:rsidP="00CF297A">
      <w:pPr>
        <w:pStyle w:val="BodyText"/>
        <w:numPr>
          <w:ilvl w:val="0"/>
          <w:numId w:val="41"/>
        </w:numPr>
        <w:spacing w:after="60"/>
        <w:ind w:left="0" w:firstLine="0"/>
        <w:rPr>
          <w:lang w:val="bg-BG"/>
        </w:rPr>
      </w:pPr>
      <w:r w:rsidRPr="00B73D7E">
        <w:rPr>
          <w:lang w:val="bg-BG"/>
        </w:rPr>
        <w:t xml:space="preserve">Пропуските в знанията, свързани с въздействията от ИК в градската среда, анализирани по повод Споразумението на кметовете 2016 и използвани в препоръките за подпомагане на мерките за адаптация, могат да бъдат открити на всички административни нива в България. Анализът на научните публикации и експертните оценки позволява следното обобщение на съществуващите проблеми: </w:t>
      </w:r>
    </w:p>
    <w:p w:rsidR="00AA4661" w:rsidRPr="00F8728A" w:rsidRDefault="00AA4661" w:rsidP="00E21095">
      <w:pPr>
        <w:numPr>
          <w:ilvl w:val="0"/>
          <w:numId w:val="10"/>
        </w:numPr>
        <w:spacing w:after="60" w:line="276" w:lineRule="auto"/>
        <w:jc w:val="both"/>
        <w:rPr>
          <w:rFonts w:ascii="Times New Roman" w:hAnsi="Times New Roman"/>
          <w:sz w:val="24"/>
          <w:szCs w:val="24"/>
          <w:lang w:eastAsia="x-none"/>
        </w:rPr>
      </w:pPr>
      <w:r w:rsidRPr="00F8728A">
        <w:rPr>
          <w:rFonts w:ascii="Times New Roman" w:hAnsi="Times New Roman"/>
          <w:b/>
          <w:sz w:val="24"/>
          <w:szCs w:val="24"/>
          <w:lang w:eastAsia="x-none"/>
        </w:rPr>
        <w:t>Предоставяне на информация</w:t>
      </w:r>
      <w:r w:rsidRPr="00F8728A">
        <w:rPr>
          <w:rFonts w:ascii="Times New Roman" w:hAnsi="Times New Roman"/>
          <w:sz w:val="24"/>
          <w:szCs w:val="24"/>
          <w:lang w:eastAsia="x-none"/>
        </w:rPr>
        <w:t xml:space="preserve"> - непълна информация, разпръсната в отделни сектори, без да се обръща особено внимание на комплексната градска среда, която се събира най-вече за цялата страна, за отделните райони и области и по-рядко за общините и градовете; недостатъчни данни за щетите и възстановяването на разходите; лош достъп до специфични за градовете данни и информация; необходимост от ясна система от показатели за мониторинг на ефективността на мерките за адаптиране на градската среда, както и информационна подкрепа за тази система.</w:t>
      </w:r>
    </w:p>
    <w:p w:rsidR="00AA4661" w:rsidRPr="00F8728A" w:rsidRDefault="00AA4661" w:rsidP="00E21095">
      <w:pPr>
        <w:numPr>
          <w:ilvl w:val="0"/>
          <w:numId w:val="10"/>
        </w:numPr>
        <w:spacing w:after="60" w:line="276" w:lineRule="auto"/>
        <w:jc w:val="both"/>
        <w:rPr>
          <w:rFonts w:ascii="Times New Roman" w:hAnsi="Times New Roman"/>
          <w:sz w:val="24"/>
          <w:szCs w:val="24"/>
          <w:lang w:eastAsia="x-none"/>
        </w:rPr>
      </w:pPr>
      <w:r w:rsidRPr="00F8728A">
        <w:rPr>
          <w:rFonts w:ascii="Times New Roman" w:hAnsi="Times New Roman"/>
          <w:b/>
          <w:sz w:val="24"/>
          <w:szCs w:val="24"/>
          <w:lang w:eastAsia="x-none"/>
        </w:rPr>
        <w:t>Изследвания</w:t>
      </w:r>
      <w:r w:rsidRPr="00F8728A">
        <w:rPr>
          <w:rFonts w:ascii="Times New Roman" w:hAnsi="Times New Roman"/>
          <w:sz w:val="24"/>
          <w:szCs w:val="24"/>
          <w:lang w:eastAsia="x-none"/>
        </w:rPr>
        <w:t xml:space="preserve"> - недостатъчното покриване на темата в научния дневен ред на страната, оскъдното финансиране на изследванията върху изменението на </w:t>
      </w:r>
      <w:r w:rsidRPr="00F8728A">
        <w:rPr>
          <w:rFonts w:ascii="Times New Roman" w:hAnsi="Times New Roman"/>
          <w:sz w:val="24"/>
          <w:szCs w:val="24"/>
          <w:lang w:eastAsia="x-none"/>
        </w:rPr>
        <w:lastRenderedPageBreak/>
        <w:t>климата в областта на градската среда, обитаването, строителството и строителните материали, както и социалните и икономическите разходи при лошо адаптиране към изменението на климата; липса на мултидисциплинарни и трансдисциплинарни изследвания, особено важни за градската среда; липса на култура на общуване и споделяне на научни резултати и знания; недостатъчно присъствие на темата в националните научни и академични форуми; неизползвани възможности за тематично приоритетно финансиране на следдипломните и докторантските изследвания в областта. Допълнителни пропуски при предоставянето на информация и при изследванията, както и пречките за въвеждане на по-добро използване на земята и планиране на инфраструктурата въз основа на риска са липсата на подробно картографиране на опасностите, които засягат градските райони и липсата на оценка на риска и уязвимостта при наводнения, свлачища, земетресения  и екстремни температури в градовете.</w:t>
      </w:r>
    </w:p>
    <w:p w:rsidR="00AA4661" w:rsidRPr="00F8728A" w:rsidRDefault="00AA4661" w:rsidP="00E21095">
      <w:pPr>
        <w:numPr>
          <w:ilvl w:val="0"/>
          <w:numId w:val="10"/>
        </w:numPr>
        <w:spacing w:after="60" w:line="276" w:lineRule="auto"/>
        <w:jc w:val="both"/>
        <w:rPr>
          <w:rFonts w:ascii="Times New Roman" w:hAnsi="Times New Roman"/>
          <w:sz w:val="24"/>
          <w:szCs w:val="24"/>
          <w:lang w:eastAsia="x-none"/>
        </w:rPr>
      </w:pPr>
      <w:r w:rsidRPr="00F8728A">
        <w:rPr>
          <w:rFonts w:ascii="Times New Roman" w:hAnsi="Times New Roman"/>
          <w:b/>
          <w:sz w:val="24"/>
          <w:szCs w:val="24"/>
          <w:lang w:eastAsia="x-none"/>
        </w:rPr>
        <w:t>Законодателна подкрепа</w:t>
      </w:r>
      <w:r w:rsidRPr="00F8728A">
        <w:rPr>
          <w:rFonts w:ascii="Times New Roman" w:hAnsi="Times New Roman"/>
          <w:sz w:val="24"/>
          <w:szCs w:val="24"/>
          <w:lang w:eastAsia="x-none"/>
        </w:rPr>
        <w:t xml:space="preserve"> - темата за адаптиране към изменението на климата все още е слабо включена в законодателството за пространствено и градско планиране, инвестиционно проектиране и строителство; преобладаващите разпоредби са за земетресение, пожарна безопасност и енергийна ефективност; недостатъчно присъствие на темата за адаптиране на градската среда, сградите и хората към изменението на климата в обхвата и съдържанието на основните инструменти за пространствено и устройствено планиране - стратегии, планове и програми на различни нива; съществуването на многобройни и разнообразни стратегии, разработени на общинско ниво, сходни по съдържание, но лошо координирани (за зелената система, природните бедствия, енергийната ефективност и др.), при което тяхното разработване и внедряване е до голяма степен повърхностно и неефективно.</w:t>
      </w:r>
    </w:p>
    <w:p w:rsidR="00AA4661" w:rsidRPr="00F8728A" w:rsidRDefault="00AA4661" w:rsidP="00E21095">
      <w:pPr>
        <w:numPr>
          <w:ilvl w:val="0"/>
          <w:numId w:val="10"/>
        </w:numPr>
        <w:spacing w:after="60" w:line="276" w:lineRule="auto"/>
        <w:jc w:val="both"/>
        <w:rPr>
          <w:rFonts w:ascii="Times New Roman" w:hAnsi="Times New Roman"/>
          <w:sz w:val="24"/>
          <w:szCs w:val="24"/>
          <w:lang w:eastAsia="x-none"/>
        </w:rPr>
      </w:pPr>
      <w:r w:rsidRPr="00F8728A">
        <w:rPr>
          <w:rFonts w:ascii="Times New Roman" w:hAnsi="Times New Roman"/>
          <w:b/>
          <w:sz w:val="24"/>
          <w:szCs w:val="24"/>
          <w:lang w:eastAsia="x-none"/>
        </w:rPr>
        <w:t>Капацитет</w:t>
      </w:r>
      <w:r w:rsidRPr="00F8728A">
        <w:rPr>
          <w:rFonts w:ascii="Times New Roman" w:hAnsi="Times New Roman"/>
          <w:sz w:val="24"/>
          <w:szCs w:val="24"/>
          <w:lang w:eastAsia="x-none"/>
        </w:rPr>
        <w:t xml:space="preserve"> - недостатъчно развит институционален, административен и експертен капацитет; недостатъчно адекватни знания, обхващащи ИК и неговото въздействие върху човешкото здраве и градската среда, транспортната, техническата, социалната и туристическата инфраструктура и в същото време, обхващащи прогнозирането, планирането, изпълнението и мониторинга на стратегиите и плановете за адаптация; липса на стратегия за промяна на учебната програма за градско планиране и проектиране за урбанисти, архитекти, инженери и ландшафтни архитекти, с добавяне на подходящи знания и умения (настоящите програми се съсредоточават предимно върху устойчиво градско развитие и енергийна ефективност); недостатъчни умения за превръщане на информацията в ефективни действия за адаптиране; липса на гъвкавост от страна на образователната система по отношение на образователни форми и продължителност и предлагането на подходящи формати за политици, местен управленски персонал и специалисти в сродните дисциплини. </w:t>
      </w:r>
    </w:p>
    <w:p w:rsidR="00AA4661" w:rsidRPr="00F8728A" w:rsidRDefault="00AA4661" w:rsidP="00E21095">
      <w:pPr>
        <w:numPr>
          <w:ilvl w:val="0"/>
          <w:numId w:val="10"/>
        </w:numPr>
        <w:spacing w:after="60" w:line="276" w:lineRule="auto"/>
        <w:jc w:val="both"/>
        <w:rPr>
          <w:rFonts w:ascii="Times New Roman" w:hAnsi="Times New Roman"/>
          <w:sz w:val="24"/>
          <w:szCs w:val="24"/>
          <w:lang w:eastAsia="x-none"/>
        </w:rPr>
      </w:pPr>
      <w:r w:rsidRPr="00F8728A">
        <w:rPr>
          <w:rFonts w:ascii="Times New Roman" w:hAnsi="Times New Roman"/>
          <w:b/>
          <w:sz w:val="24"/>
          <w:szCs w:val="24"/>
          <w:lang w:eastAsia="x-none"/>
        </w:rPr>
        <w:t>Финансиране</w:t>
      </w:r>
      <w:r w:rsidRPr="00F8728A">
        <w:rPr>
          <w:rFonts w:ascii="Times New Roman" w:hAnsi="Times New Roman"/>
          <w:sz w:val="24"/>
          <w:szCs w:val="24"/>
          <w:lang w:eastAsia="x-none"/>
        </w:rPr>
        <w:t xml:space="preserve"> - липса на информация за финансовите ресурси, необходими за смекчаване на рисковете от природни бедствия и тяхното въздействие и за АИК на сградите и съоръженията в градската среда; липса на достатъчно познания за </w:t>
      </w:r>
      <w:r w:rsidRPr="00F8728A">
        <w:rPr>
          <w:rFonts w:ascii="Times New Roman" w:hAnsi="Times New Roman"/>
          <w:sz w:val="24"/>
          <w:szCs w:val="24"/>
          <w:lang w:eastAsia="x-none"/>
        </w:rPr>
        <w:lastRenderedPageBreak/>
        <w:t>възможните източници на финансиране, подходящи методи и подходи за създаване на адекватни бюджетни рамки; и недостиг на финансови ресурси, особено в малки градове и общини, за преоборудване и за адекватно оборудване на аварийните центрове и персонала.</w:t>
      </w:r>
    </w:p>
    <w:p w:rsidR="00AA4661" w:rsidRPr="00F8728A" w:rsidRDefault="00AA4661" w:rsidP="00E21095">
      <w:pPr>
        <w:numPr>
          <w:ilvl w:val="0"/>
          <w:numId w:val="10"/>
        </w:numPr>
        <w:spacing w:after="60" w:line="276" w:lineRule="auto"/>
        <w:jc w:val="both"/>
        <w:rPr>
          <w:rFonts w:ascii="Times New Roman" w:hAnsi="Times New Roman"/>
          <w:sz w:val="24"/>
          <w:szCs w:val="24"/>
          <w:lang w:eastAsia="x-none"/>
        </w:rPr>
      </w:pPr>
      <w:r w:rsidRPr="00F8728A">
        <w:rPr>
          <w:rFonts w:ascii="Times New Roman" w:hAnsi="Times New Roman"/>
          <w:b/>
          <w:sz w:val="24"/>
          <w:szCs w:val="24"/>
          <w:lang w:eastAsia="x-none"/>
        </w:rPr>
        <w:t>Информираност</w:t>
      </w:r>
      <w:r w:rsidRPr="00F8728A">
        <w:rPr>
          <w:rFonts w:ascii="Times New Roman" w:hAnsi="Times New Roman"/>
          <w:sz w:val="24"/>
          <w:szCs w:val="24"/>
          <w:lang w:eastAsia="x-none"/>
        </w:rPr>
        <w:t xml:space="preserve"> - липса на адекватни и подходящи знания сред широката общественост; липса на умения за подходяща реакция при природни бедствия; липса на добре развита система за участие на обществеността, въпреки големия брой екологични и други НПО в страната; липса на правилно разработени информационни материали и интерактивни платформи, подходящо настроени към различните аудитории; и недостатъчно участие на кметовете на българските градове в Инициативата на Споразумението на кметовете на ЕК, насочена към по-добро използване на създадените инструменти за поетапно ръководство при прилагането на мерките.</w:t>
      </w:r>
    </w:p>
    <w:p w:rsidR="00AA4661" w:rsidRPr="00B73D7E" w:rsidRDefault="00AA4661" w:rsidP="00E21095">
      <w:pPr>
        <w:pStyle w:val="ListParagraph1"/>
        <w:widowControl w:val="0"/>
        <w:numPr>
          <w:ilvl w:val="0"/>
          <w:numId w:val="1"/>
        </w:numPr>
        <w:spacing w:before="200" w:after="60" w:line="264" w:lineRule="auto"/>
        <w:ind w:left="0" w:firstLine="0"/>
        <w:contextualSpacing w:val="0"/>
        <w:jc w:val="both"/>
        <w:outlineLvl w:val="1"/>
        <w:rPr>
          <w:rFonts w:ascii="Calibri" w:hAnsi="Calibri"/>
          <w:b/>
          <w:vanish/>
          <w:color w:val="365F91"/>
          <w:sz w:val="28"/>
          <w:szCs w:val="26"/>
          <w:lang w:val="bg-BG"/>
        </w:rPr>
      </w:pPr>
      <w:bookmarkStart w:id="293" w:name="_Toc486937265"/>
      <w:bookmarkStart w:id="294" w:name="_Toc486937362"/>
      <w:bookmarkStart w:id="295" w:name="_Toc486939163"/>
      <w:bookmarkStart w:id="296" w:name="_Toc486940431"/>
      <w:bookmarkStart w:id="297" w:name="_Toc486942193"/>
      <w:bookmarkStart w:id="298" w:name="_Toc487981783"/>
      <w:bookmarkStart w:id="299" w:name="_Toc487981879"/>
      <w:bookmarkStart w:id="300" w:name="_Toc487983004"/>
      <w:bookmarkStart w:id="301" w:name="_Toc487983525"/>
      <w:bookmarkStart w:id="302" w:name="_Toc487992897"/>
      <w:bookmarkStart w:id="303" w:name="_Toc487993851"/>
      <w:bookmarkStart w:id="304" w:name="_Toc488061410"/>
      <w:bookmarkStart w:id="305" w:name="_Toc488061662"/>
      <w:bookmarkStart w:id="306" w:name="_Toc488066572"/>
      <w:bookmarkStart w:id="307" w:name="_Toc488677682"/>
      <w:bookmarkStart w:id="308" w:name="_Toc501454870"/>
      <w:bookmarkStart w:id="309" w:name="_Toc501712700"/>
      <w:bookmarkStart w:id="310" w:name="_Toc501712927"/>
      <w:bookmarkStart w:id="311" w:name="_Toc506146517"/>
      <w:bookmarkStart w:id="312" w:name="_Toc506289774"/>
      <w:bookmarkStart w:id="313" w:name="_Toc508793662"/>
      <w:bookmarkStart w:id="314" w:name="_Toc508793755"/>
      <w:bookmarkStart w:id="315" w:name="_Toc508799934"/>
      <w:bookmarkStart w:id="316" w:name="_Toc519604828"/>
      <w:bookmarkStart w:id="317" w:name="_Toc522030572"/>
      <w:bookmarkStart w:id="318" w:name="_Toc529285004"/>
      <w:bookmarkStart w:id="319" w:name="_Toc529285227"/>
      <w:bookmarkStart w:id="320" w:name="_Toc529285454"/>
      <w:bookmarkStart w:id="321" w:name="_Toc529285557"/>
      <w:bookmarkStart w:id="322" w:name="_Toc486259785"/>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p>
    <w:p w:rsidR="00AA4661" w:rsidRPr="00B73D7E" w:rsidRDefault="00AA4661" w:rsidP="00E21095">
      <w:pPr>
        <w:pStyle w:val="ListParagraph1"/>
        <w:widowControl w:val="0"/>
        <w:numPr>
          <w:ilvl w:val="1"/>
          <w:numId w:val="1"/>
        </w:numPr>
        <w:spacing w:before="200" w:after="60" w:line="264" w:lineRule="auto"/>
        <w:ind w:left="0" w:firstLine="0"/>
        <w:contextualSpacing w:val="0"/>
        <w:jc w:val="both"/>
        <w:outlineLvl w:val="1"/>
        <w:rPr>
          <w:rFonts w:ascii="Calibri" w:hAnsi="Calibri"/>
          <w:b/>
          <w:vanish/>
          <w:color w:val="365F91"/>
          <w:sz w:val="28"/>
          <w:szCs w:val="26"/>
          <w:lang w:val="bg-BG"/>
        </w:rPr>
      </w:pPr>
      <w:bookmarkStart w:id="323" w:name="_Toc486937266"/>
      <w:bookmarkStart w:id="324" w:name="_Toc486937363"/>
      <w:bookmarkStart w:id="325" w:name="_Toc486939164"/>
      <w:bookmarkStart w:id="326" w:name="_Toc486940432"/>
      <w:bookmarkStart w:id="327" w:name="_Toc486942194"/>
      <w:bookmarkStart w:id="328" w:name="_Toc487981784"/>
      <w:bookmarkStart w:id="329" w:name="_Toc487981880"/>
      <w:bookmarkStart w:id="330" w:name="_Toc487983005"/>
      <w:bookmarkStart w:id="331" w:name="_Toc487983526"/>
      <w:bookmarkStart w:id="332" w:name="_Toc487992898"/>
      <w:bookmarkStart w:id="333" w:name="_Toc487993852"/>
      <w:bookmarkStart w:id="334" w:name="_Toc488061411"/>
      <w:bookmarkStart w:id="335" w:name="_Toc488061663"/>
      <w:bookmarkStart w:id="336" w:name="_Toc488066573"/>
      <w:bookmarkStart w:id="337" w:name="_Toc488677683"/>
      <w:bookmarkStart w:id="338" w:name="_Toc501454871"/>
      <w:bookmarkStart w:id="339" w:name="_Toc501712701"/>
      <w:bookmarkStart w:id="340" w:name="_Toc501712928"/>
      <w:bookmarkStart w:id="341" w:name="_Toc506146518"/>
      <w:bookmarkStart w:id="342" w:name="_Toc506289775"/>
      <w:bookmarkStart w:id="343" w:name="_Toc508793663"/>
      <w:bookmarkStart w:id="344" w:name="_Toc508793756"/>
      <w:bookmarkStart w:id="345" w:name="_Toc508799935"/>
      <w:bookmarkStart w:id="346" w:name="_Toc519604829"/>
      <w:bookmarkStart w:id="347" w:name="_Toc522030573"/>
      <w:bookmarkStart w:id="348" w:name="_Toc529285005"/>
      <w:bookmarkStart w:id="349" w:name="_Toc529285228"/>
      <w:bookmarkStart w:id="350" w:name="_Toc529285455"/>
      <w:bookmarkStart w:id="351" w:name="_Toc529285558"/>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p>
    <w:p w:rsidR="00AA4661" w:rsidRPr="00B73D7E" w:rsidRDefault="00AA4661" w:rsidP="00E21095">
      <w:pPr>
        <w:pStyle w:val="ListParagraph1"/>
        <w:widowControl w:val="0"/>
        <w:numPr>
          <w:ilvl w:val="1"/>
          <w:numId w:val="1"/>
        </w:numPr>
        <w:spacing w:before="200" w:after="60" w:line="264" w:lineRule="auto"/>
        <w:ind w:left="0" w:firstLine="0"/>
        <w:contextualSpacing w:val="0"/>
        <w:jc w:val="both"/>
        <w:outlineLvl w:val="1"/>
        <w:rPr>
          <w:rFonts w:ascii="Calibri" w:hAnsi="Calibri"/>
          <w:b/>
          <w:vanish/>
          <w:color w:val="365F91"/>
          <w:sz w:val="28"/>
          <w:szCs w:val="26"/>
          <w:lang w:val="bg-BG"/>
        </w:rPr>
      </w:pPr>
      <w:bookmarkStart w:id="352" w:name="_Toc486937267"/>
      <w:bookmarkStart w:id="353" w:name="_Toc486937364"/>
      <w:bookmarkStart w:id="354" w:name="_Toc486939165"/>
      <w:bookmarkStart w:id="355" w:name="_Toc486940433"/>
      <w:bookmarkStart w:id="356" w:name="_Toc486942195"/>
      <w:bookmarkStart w:id="357" w:name="_Toc487981785"/>
      <w:bookmarkStart w:id="358" w:name="_Toc487981881"/>
      <w:bookmarkStart w:id="359" w:name="_Toc487983006"/>
      <w:bookmarkStart w:id="360" w:name="_Toc487983527"/>
      <w:bookmarkStart w:id="361" w:name="_Toc487992899"/>
      <w:bookmarkStart w:id="362" w:name="_Toc487993853"/>
      <w:bookmarkStart w:id="363" w:name="_Toc488061412"/>
      <w:bookmarkStart w:id="364" w:name="_Toc488061664"/>
      <w:bookmarkStart w:id="365" w:name="_Toc488066574"/>
      <w:bookmarkStart w:id="366" w:name="_Toc488677684"/>
      <w:bookmarkStart w:id="367" w:name="_Toc501454872"/>
      <w:bookmarkStart w:id="368" w:name="_Toc501712702"/>
      <w:bookmarkStart w:id="369" w:name="_Toc501712929"/>
      <w:bookmarkStart w:id="370" w:name="_Toc506146519"/>
      <w:bookmarkStart w:id="371" w:name="_Toc506289776"/>
      <w:bookmarkStart w:id="372" w:name="_Toc508793664"/>
      <w:bookmarkStart w:id="373" w:name="_Toc508793757"/>
      <w:bookmarkStart w:id="374" w:name="_Toc508799936"/>
      <w:bookmarkStart w:id="375" w:name="_Toc519604830"/>
      <w:bookmarkStart w:id="376" w:name="_Toc522030574"/>
      <w:bookmarkStart w:id="377" w:name="_Toc529285006"/>
      <w:bookmarkStart w:id="378" w:name="_Toc529285229"/>
      <w:bookmarkStart w:id="379" w:name="_Toc529285456"/>
      <w:bookmarkStart w:id="380" w:name="_Toc529285559"/>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p>
    <w:p w:rsidR="00AA4661" w:rsidRPr="00B73D7E" w:rsidRDefault="00AA4661" w:rsidP="00E21095">
      <w:pPr>
        <w:pStyle w:val="ListParagraph1"/>
        <w:widowControl w:val="0"/>
        <w:numPr>
          <w:ilvl w:val="1"/>
          <w:numId w:val="1"/>
        </w:numPr>
        <w:spacing w:before="200" w:after="60" w:line="264" w:lineRule="auto"/>
        <w:ind w:left="0" w:firstLine="0"/>
        <w:contextualSpacing w:val="0"/>
        <w:jc w:val="both"/>
        <w:outlineLvl w:val="1"/>
        <w:rPr>
          <w:rFonts w:ascii="Calibri" w:hAnsi="Calibri"/>
          <w:b/>
          <w:vanish/>
          <w:color w:val="365F91"/>
          <w:sz w:val="28"/>
          <w:szCs w:val="26"/>
          <w:lang w:val="bg-BG"/>
        </w:rPr>
      </w:pPr>
      <w:bookmarkStart w:id="381" w:name="_Toc486937268"/>
      <w:bookmarkStart w:id="382" w:name="_Toc486937365"/>
      <w:bookmarkStart w:id="383" w:name="_Toc486939166"/>
      <w:bookmarkStart w:id="384" w:name="_Toc486940434"/>
      <w:bookmarkStart w:id="385" w:name="_Toc486942196"/>
      <w:bookmarkStart w:id="386" w:name="_Toc487981786"/>
      <w:bookmarkStart w:id="387" w:name="_Toc487981882"/>
      <w:bookmarkStart w:id="388" w:name="_Toc487983007"/>
      <w:bookmarkStart w:id="389" w:name="_Toc487983528"/>
      <w:bookmarkStart w:id="390" w:name="_Toc487992900"/>
      <w:bookmarkStart w:id="391" w:name="_Toc487993854"/>
      <w:bookmarkStart w:id="392" w:name="_Toc488061413"/>
      <w:bookmarkStart w:id="393" w:name="_Toc488061665"/>
      <w:bookmarkStart w:id="394" w:name="_Toc488066575"/>
      <w:bookmarkStart w:id="395" w:name="_Toc488677685"/>
      <w:bookmarkStart w:id="396" w:name="_Toc501454873"/>
      <w:bookmarkStart w:id="397" w:name="_Toc501712703"/>
      <w:bookmarkStart w:id="398" w:name="_Toc501712930"/>
      <w:bookmarkStart w:id="399" w:name="_Toc506146520"/>
      <w:bookmarkStart w:id="400" w:name="_Toc506289777"/>
      <w:bookmarkStart w:id="401" w:name="_Toc508793665"/>
      <w:bookmarkStart w:id="402" w:name="_Toc508793758"/>
      <w:bookmarkStart w:id="403" w:name="_Toc508799937"/>
      <w:bookmarkStart w:id="404" w:name="_Toc519604831"/>
      <w:bookmarkStart w:id="405" w:name="_Toc522030575"/>
      <w:bookmarkStart w:id="406" w:name="_Toc529285007"/>
      <w:bookmarkStart w:id="407" w:name="_Toc529285230"/>
      <w:bookmarkStart w:id="408" w:name="_Toc529285457"/>
      <w:bookmarkStart w:id="409" w:name="_Toc52928556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p>
    <w:p w:rsidR="00AA4661" w:rsidRPr="00B73D7E" w:rsidRDefault="00AA4661" w:rsidP="00E21095">
      <w:pPr>
        <w:pStyle w:val="ListParagraph1"/>
        <w:widowControl w:val="0"/>
        <w:numPr>
          <w:ilvl w:val="1"/>
          <w:numId w:val="1"/>
        </w:numPr>
        <w:spacing w:before="200" w:after="60" w:line="264" w:lineRule="auto"/>
        <w:ind w:left="0" w:firstLine="0"/>
        <w:contextualSpacing w:val="0"/>
        <w:jc w:val="both"/>
        <w:outlineLvl w:val="1"/>
        <w:rPr>
          <w:rFonts w:ascii="Calibri" w:hAnsi="Calibri"/>
          <w:b/>
          <w:vanish/>
          <w:color w:val="365F91"/>
          <w:sz w:val="28"/>
          <w:szCs w:val="26"/>
          <w:lang w:val="bg-BG"/>
        </w:rPr>
      </w:pPr>
      <w:bookmarkStart w:id="410" w:name="_Toc486937269"/>
      <w:bookmarkStart w:id="411" w:name="_Toc486937366"/>
      <w:bookmarkStart w:id="412" w:name="_Toc486939167"/>
      <w:bookmarkStart w:id="413" w:name="_Toc486940435"/>
      <w:bookmarkStart w:id="414" w:name="_Toc486942197"/>
      <w:bookmarkStart w:id="415" w:name="_Toc487981787"/>
      <w:bookmarkStart w:id="416" w:name="_Toc487981883"/>
      <w:bookmarkStart w:id="417" w:name="_Toc487983008"/>
      <w:bookmarkStart w:id="418" w:name="_Toc487983529"/>
      <w:bookmarkStart w:id="419" w:name="_Toc487992901"/>
      <w:bookmarkStart w:id="420" w:name="_Toc487993855"/>
      <w:bookmarkStart w:id="421" w:name="_Toc488061414"/>
      <w:bookmarkStart w:id="422" w:name="_Toc488061666"/>
      <w:bookmarkStart w:id="423" w:name="_Toc488066576"/>
      <w:bookmarkStart w:id="424" w:name="_Toc488677686"/>
      <w:bookmarkStart w:id="425" w:name="_Toc501454874"/>
      <w:bookmarkStart w:id="426" w:name="_Toc501712704"/>
      <w:bookmarkStart w:id="427" w:name="_Toc501712931"/>
      <w:bookmarkStart w:id="428" w:name="_Toc506146521"/>
      <w:bookmarkStart w:id="429" w:name="_Toc506289778"/>
      <w:bookmarkStart w:id="430" w:name="_Toc508793666"/>
      <w:bookmarkStart w:id="431" w:name="_Toc508793759"/>
      <w:bookmarkStart w:id="432" w:name="_Toc508799938"/>
      <w:bookmarkStart w:id="433" w:name="_Toc519604832"/>
      <w:bookmarkStart w:id="434" w:name="_Toc522030576"/>
      <w:bookmarkStart w:id="435" w:name="_Toc529285008"/>
      <w:bookmarkStart w:id="436" w:name="_Toc529285231"/>
      <w:bookmarkStart w:id="437" w:name="_Toc529285458"/>
      <w:bookmarkStart w:id="438" w:name="_Toc529285561"/>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p>
    <w:p w:rsidR="00AA4661" w:rsidRPr="00B73D7E" w:rsidRDefault="00AA4661" w:rsidP="00E21095">
      <w:pPr>
        <w:pStyle w:val="ListParagraph1"/>
        <w:widowControl w:val="0"/>
        <w:numPr>
          <w:ilvl w:val="1"/>
          <w:numId w:val="1"/>
        </w:numPr>
        <w:spacing w:before="200" w:after="60" w:line="264" w:lineRule="auto"/>
        <w:ind w:left="0" w:firstLine="0"/>
        <w:contextualSpacing w:val="0"/>
        <w:jc w:val="both"/>
        <w:outlineLvl w:val="1"/>
        <w:rPr>
          <w:rFonts w:ascii="Calibri" w:hAnsi="Calibri"/>
          <w:b/>
          <w:vanish/>
          <w:color w:val="365F91"/>
          <w:sz w:val="28"/>
          <w:szCs w:val="26"/>
          <w:lang w:val="bg-BG"/>
        </w:rPr>
      </w:pPr>
      <w:bookmarkStart w:id="439" w:name="_Toc486937270"/>
      <w:bookmarkStart w:id="440" w:name="_Toc486937367"/>
      <w:bookmarkStart w:id="441" w:name="_Toc486939168"/>
      <w:bookmarkStart w:id="442" w:name="_Toc486940436"/>
      <w:bookmarkStart w:id="443" w:name="_Toc486942198"/>
      <w:bookmarkStart w:id="444" w:name="_Toc487981788"/>
      <w:bookmarkStart w:id="445" w:name="_Toc487981884"/>
      <w:bookmarkStart w:id="446" w:name="_Toc487983009"/>
      <w:bookmarkStart w:id="447" w:name="_Toc487983530"/>
      <w:bookmarkStart w:id="448" w:name="_Toc487992902"/>
      <w:bookmarkStart w:id="449" w:name="_Toc487993856"/>
      <w:bookmarkStart w:id="450" w:name="_Toc488061415"/>
      <w:bookmarkStart w:id="451" w:name="_Toc488061667"/>
      <w:bookmarkStart w:id="452" w:name="_Toc488066577"/>
      <w:bookmarkStart w:id="453" w:name="_Toc488677687"/>
      <w:bookmarkStart w:id="454" w:name="_Toc501454875"/>
      <w:bookmarkStart w:id="455" w:name="_Toc501712705"/>
      <w:bookmarkStart w:id="456" w:name="_Toc501712932"/>
      <w:bookmarkStart w:id="457" w:name="_Toc506146522"/>
      <w:bookmarkStart w:id="458" w:name="_Toc506289779"/>
      <w:bookmarkStart w:id="459" w:name="_Toc508793667"/>
      <w:bookmarkStart w:id="460" w:name="_Toc508793760"/>
      <w:bookmarkStart w:id="461" w:name="_Toc508799939"/>
      <w:bookmarkStart w:id="462" w:name="_Toc519604833"/>
      <w:bookmarkStart w:id="463" w:name="_Toc522030577"/>
      <w:bookmarkStart w:id="464" w:name="_Toc529285009"/>
      <w:bookmarkStart w:id="465" w:name="_Toc529285232"/>
      <w:bookmarkStart w:id="466" w:name="_Toc529285459"/>
      <w:bookmarkStart w:id="467" w:name="_Toc529285562"/>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p>
    <w:p w:rsidR="00AA4661" w:rsidRPr="00B73D7E" w:rsidRDefault="00AA4661" w:rsidP="00E21095">
      <w:pPr>
        <w:pStyle w:val="ListParagraph1"/>
        <w:widowControl w:val="0"/>
        <w:numPr>
          <w:ilvl w:val="1"/>
          <w:numId w:val="1"/>
        </w:numPr>
        <w:spacing w:before="200" w:after="60" w:line="264" w:lineRule="auto"/>
        <w:ind w:left="0" w:firstLine="0"/>
        <w:contextualSpacing w:val="0"/>
        <w:jc w:val="both"/>
        <w:outlineLvl w:val="1"/>
        <w:rPr>
          <w:rFonts w:ascii="Calibri" w:hAnsi="Calibri"/>
          <w:b/>
          <w:vanish/>
          <w:color w:val="365F91"/>
          <w:sz w:val="28"/>
          <w:szCs w:val="26"/>
          <w:lang w:val="bg-BG"/>
        </w:rPr>
      </w:pPr>
      <w:bookmarkStart w:id="468" w:name="_Toc486937271"/>
      <w:bookmarkStart w:id="469" w:name="_Toc486937368"/>
      <w:bookmarkStart w:id="470" w:name="_Toc486939169"/>
      <w:bookmarkStart w:id="471" w:name="_Toc486940437"/>
      <w:bookmarkStart w:id="472" w:name="_Toc486942199"/>
      <w:bookmarkStart w:id="473" w:name="_Toc487981789"/>
      <w:bookmarkStart w:id="474" w:name="_Toc487981885"/>
      <w:bookmarkStart w:id="475" w:name="_Toc487983010"/>
      <w:bookmarkStart w:id="476" w:name="_Toc487983531"/>
      <w:bookmarkStart w:id="477" w:name="_Toc487992903"/>
      <w:bookmarkStart w:id="478" w:name="_Toc487993857"/>
      <w:bookmarkStart w:id="479" w:name="_Toc488061416"/>
      <w:bookmarkStart w:id="480" w:name="_Toc488061668"/>
      <w:bookmarkStart w:id="481" w:name="_Toc488066578"/>
      <w:bookmarkStart w:id="482" w:name="_Toc488677688"/>
      <w:bookmarkStart w:id="483" w:name="_Toc501454876"/>
      <w:bookmarkStart w:id="484" w:name="_Toc501712706"/>
      <w:bookmarkStart w:id="485" w:name="_Toc501712933"/>
      <w:bookmarkStart w:id="486" w:name="_Toc506146523"/>
      <w:bookmarkStart w:id="487" w:name="_Toc506289780"/>
      <w:bookmarkStart w:id="488" w:name="_Toc508793668"/>
      <w:bookmarkStart w:id="489" w:name="_Toc508793761"/>
      <w:bookmarkStart w:id="490" w:name="_Toc508799940"/>
      <w:bookmarkStart w:id="491" w:name="_Toc519604834"/>
      <w:bookmarkStart w:id="492" w:name="_Toc522030578"/>
      <w:bookmarkStart w:id="493" w:name="_Toc529285010"/>
      <w:bookmarkStart w:id="494" w:name="_Toc529285233"/>
      <w:bookmarkStart w:id="495" w:name="_Toc529285460"/>
      <w:bookmarkStart w:id="496" w:name="_Toc529285563"/>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p>
    <w:p w:rsidR="00AA4661" w:rsidRPr="00B73D7E" w:rsidRDefault="00AA4661" w:rsidP="00E21095">
      <w:pPr>
        <w:pStyle w:val="ListParagraph1"/>
        <w:widowControl w:val="0"/>
        <w:numPr>
          <w:ilvl w:val="1"/>
          <w:numId w:val="1"/>
        </w:numPr>
        <w:spacing w:before="200" w:after="60" w:line="264" w:lineRule="auto"/>
        <w:ind w:left="0" w:firstLine="0"/>
        <w:contextualSpacing w:val="0"/>
        <w:jc w:val="both"/>
        <w:outlineLvl w:val="1"/>
        <w:rPr>
          <w:rFonts w:ascii="Calibri" w:hAnsi="Calibri"/>
          <w:b/>
          <w:vanish/>
          <w:color w:val="365F91"/>
          <w:sz w:val="28"/>
          <w:szCs w:val="26"/>
          <w:lang w:val="bg-BG"/>
        </w:rPr>
      </w:pPr>
      <w:bookmarkStart w:id="497" w:name="_Toc486937272"/>
      <w:bookmarkStart w:id="498" w:name="_Toc486937369"/>
      <w:bookmarkStart w:id="499" w:name="_Toc486939170"/>
      <w:bookmarkStart w:id="500" w:name="_Toc486940438"/>
      <w:bookmarkStart w:id="501" w:name="_Toc486942200"/>
      <w:bookmarkStart w:id="502" w:name="_Toc487981790"/>
      <w:bookmarkStart w:id="503" w:name="_Toc487981886"/>
      <w:bookmarkStart w:id="504" w:name="_Toc487983011"/>
      <w:bookmarkStart w:id="505" w:name="_Toc487983532"/>
      <w:bookmarkStart w:id="506" w:name="_Toc487992904"/>
      <w:bookmarkStart w:id="507" w:name="_Toc487993858"/>
      <w:bookmarkStart w:id="508" w:name="_Toc488061417"/>
      <w:bookmarkStart w:id="509" w:name="_Toc488061669"/>
      <w:bookmarkStart w:id="510" w:name="_Toc488066579"/>
      <w:bookmarkStart w:id="511" w:name="_Toc488677689"/>
      <w:bookmarkStart w:id="512" w:name="_Toc501454877"/>
      <w:bookmarkStart w:id="513" w:name="_Toc501712707"/>
      <w:bookmarkStart w:id="514" w:name="_Toc501712934"/>
      <w:bookmarkStart w:id="515" w:name="_Toc506146524"/>
      <w:bookmarkStart w:id="516" w:name="_Toc506289781"/>
      <w:bookmarkStart w:id="517" w:name="_Toc508793669"/>
      <w:bookmarkStart w:id="518" w:name="_Toc508793762"/>
      <w:bookmarkStart w:id="519" w:name="_Toc508799941"/>
      <w:bookmarkStart w:id="520" w:name="_Toc519604835"/>
      <w:bookmarkStart w:id="521" w:name="_Toc522030579"/>
      <w:bookmarkStart w:id="522" w:name="_Toc529285011"/>
      <w:bookmarkStart w:id="523" w:name="_Toc529285234"/>
      <w:bookmarkStart w:id="524" w:name="_Toc529285461"/>
      <w:bookmarkStart w:id="525" w:name="_Toc529285564"/>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p>
    <w:p w:rsidR="00AA4661" w:rsidRPr="00B73D7E" w:rsidRDefault="00AA4661" w:rsidP="00E21095">
      <w:pPr>
        <w:pStyle w:val="ListParagraph1"/>
        <w:widowControl w:val="0"/>
        <w:numPr>
          <w:ilvl w:val="1"/>
          <w:numId w:val="1"/>
        </w:numPr>
        <w:spacing w:before="200" w:after="60" w:line="264" w:lineRule="auto"/>
        <w:ind w:left="0" w:firstLine="0"/>
        <w:contextualSpacing w:val="0"/>
        <w:jc w:val="both"/>
        <w:outlineLvl w:val="1"/>
        <w:rPr>
          <w:rFonts w:ascii="Calibri" w:hAnsi="Calibri"/>
          <w:b/>
          <w:vanish/>
          <w:color w:val="365F91"/>
          <w:sz w:val="28"/>
          <w:szCs w:val="26"/>
          <w:lang w:val="bg-BG"/>
        </w:rPr>
      </w:pPr>
      <w:bookmarkStart w:id="526" w:name="_Toc486937273"/>
      <w:bookmarkStart w:id="527" w:name="_Toc486937370"/>
      <w:bookmarkStart w:id="528" w:name="_Toc486939171"/>
      <w:bookmarkStart w:id="529" w:name="_Toc486940439"/>
      <w:bookmarkStart w:id="530" w:name="_Toc486942201"/>
      <w:bookmarkStart w:id="531" w:name="_Toc487981791"/>
      <w:bookmarkStart w:id="532" w:name="_Toc487981887"/>
      <w:bookmarkStart w:id="533" w:name="_Toc487983012"/>
      <w:bookmarkStart w:id="534" w:name="_Toc487983533"/>
      <w:bookmarkStart w:id="535" w:name="_Toc487992905"/>
      <w:bookmarkStart w:id="536" w:name="_Toc487993859"/>
      <w:bookmarkStart w:id="537" w:name="_Toc488061418"/>
      <w:bookmarkStart w:id="538" w:name="_Toc488061670"/>
      <w:bookmarkStart w:id="539" w:name="_Toc488066580"/>
      <w:bookmarkStart w:id="540" w:name="_Toc488677690"/>
      <w:bookmarkStart w:id="541" w:name="_Toc501454878"/>
      <w:bookmarkStart w:id="542" w:name="_Toc501712708"/>
      <w:bookmarkStart w:id="543" w:name="_Toc501712935"/>
      <w:bookmarkStart w:id="544" w:name="_Toc506146525"/>
      <w:bookmarkStart w:id="545" w:name="_Toc506289782"/>
      <w:bookmarkStart w:id="546" w:name="_Toc508793670"/>
      <w:bookmarkStart w:id="547" w:name="_Toc508793763"/>
      <w:bookmarkStart w:id="548" w:name="_Toc508799942"/>
      <w:bookmarkStart w:id="549" w:name="_Toc519604836"/>
      <w:bookmarkStart w:id="550" w:name="_Toc522030580"/>
      <w:bookmarkStart w:id="551" w:name="_Toc529285012"/>
      <w:bookmarkStart w:id="552" w:name="_Toc529285235"/>
      <w:bookmarkStart w:id="553" w:name="_Toc529285462"/>
      <w:bookmarkStart w:id="554" w:name="_Toc52928556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p>
    <w:p w:rsidR="00AA4661" w:rsidRPr="00B73D7E" w:rsidRDefault="00AA4661" w:rsidP="00E21095">
      <w:pPr>
        <w:pStyle w:val="ListParagraph1"/>
        <w:widowControl w:val="0"/>
        <w:numPr>
          <w:ilvl w:val="1"/>
          <w:numId w:val="1"/>
        </w:numPr>
        <w:spacing w:before="200" w:after="60" w:line="264" w:lineRule="auto"/>
        <w:ind w:left="0" w:firstLine="0"/>
        <w:contextualSpacing w:val="0"/>
        <w:jc w:val="both"/>
        <w:outlineLvl w:val="1"/>
        <w:rPr>
          <w:rFonts w:ascii="Calibri" w:hAnsi="Calibri"/>
          <w:b/>
          <w:vanish/>
          <w:color w:val="365F91"/>
          <w:sz w:val="28"/>
          <w:szCs w:val="26"/>
          <w:lang w:val="bg-BG"/>
        </w:rPr>
      </w:pPr>
      <w:bookmarkStart w:id="555" w:name="_Toc486937274"/>
      <w:bookmarkStart w:id="556" w:name="_Toc486937371"/>
      <w:bookmarkStart w:id="557" w:name="_Toc486939172"/>
      <w:bookmarkStart w:id="558" w:name="_Toc486940440"/>
      <w:bookmarkStart w:id="559" w:name="_Toc486942202"/>
      <w:bookmarkStart w:id="560" w:name="_Toc487981792"/>
      <w:bookmarkStart w:id="561" w:name="_Toc487981888"/>
      <w:bookmarkStart w:id="562" w:name="_Toc487983013"/>
      <w:bookmarkStart w:id="563" w:name="_Toc487983534"/>
      <w:bookmarkStart w:id="564" w:name="_Toc487992906"/>
      <w:bookmarkStart w:id="565" w:name="_Toc487993860"/>
      <w:bookmarkStart w:id="566" w:name="_Toc488061419"/>
      <w:bookmarkStart w:id="567" w:name="_Toc488061671"/>
      <w:bookmarkStart w:id="568" w:name="_Toc488066581"/>
      <w:bookmarkStart w:id="569" w:name="_Toc488677691"/>
      <w:bookmarkStart w:id="570" w:name="_Toc501454879"/>
      <w:bookmarkStart w:id="571" w:name="_Toc501712709"/>
      <w:bookmarkStart w:id="572" w:name="_Toc501712936"/>
      <w:bookmarkStart w:id="573" w:name="_Toc506146526"/>
      <w:bookmarkStart w:id="574" w:name="_Toc506289783"/>
      <w:bookmarkStart w:id="575" w:name="_Toc508793671"/>
      <w:bookmarkStart w:id="576" w:name="_Toc508793764"/>
      <w:bookmarkStart w:id="577" w:name="_Toc508799943"/>
      <w:bookmarkStart w:id="578" w:name="_Toc519604837"/>
      <w:bookmarkStart w:id="579" w:name="_Toc522030581"/>
      <w:bookmarkStart w:id="580" w:name="_Toc529285013"/>
      <w:bookmarkStart w:id="581" w:name="_Toc529285236"/>
      <w:bookmarkStart w:id="582" w:name="_Toc529285463"/>
      <w:bookmarkStart w:id="583" w:name="_Toc529285566"/>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p>
    <w:p w:rsidR="00AA4661" w:rsidRPr="00B73D7E" w:rsidRDefault="00AA4661" w:rsidP="00676435">
      <w:pPr>
        <w:pStyle w:val="Heading2"/>
        <w:ind w:left="0" w:firstLine="0"/>
        <w:rPr>
          <w:lang w:val="bg-BG"/>
        </w:rPr>
      </w:pPr>
      <w:bookmarkStart w:id="584" w:name="_Toc486942203"/>
      <w:bookmarkStart w:id="585" w:name="_Toc501454880"/>
      <w:bookmarkStart w:id="586" w:name="_Toc522030582"/>
      <w:bookmarkStart w:id="587" w:name="_Toc529285567"/>
      <w:r w:rsidRPr="00B73D7E">
        <w:rPr>
          <w:lang w:val="bg-BG"/>
        </w:rPr>
        <w:t>Заключения</w:t>
      </w:r>
      <w:bookmarkEnd w:id="322"/>
      <w:bookmarkEnd w:id="584"/>
      <w:bookmarkEnd w:id="585"/>
      <w:bookmarkEnd w:id="586"/>
      <w:bookmarkEnd w:id="587"/>
    </w:p>
    <w:p w:rsidR="00AA4661" w:rsidRPr="00B73D7E" w:rsidRDefault="00AA4661" w:rsidP="00CF297A">
      <w:pPr>
        <w:pStyle w:val="BodyText"/>
        <w:numPr>
          <w:ilvl w:val="0"/>
          <w:numId w:val="41"/>
        </w:numPr>
        <w:ind w:left="0" w:firstLine="0"/>
        <w:rPr>
          <w:lang w:val="bg-BG"/>
        </w:rPr>
      </w:pPr>
      <w:r w:rsidRPr="00B73D7E">
        <w:rPr>
          <w:lang w:val="bg-BG"/>
        </w:rPr>
        <w:t>АИК (но и ограничаването на риска) в градската среда следва да се основава на интегриран подход на всички нива на управление, в съответствие със съществуващото законодателство в различните сектори. Следователно необходим е задълбочен преглед на това законодателство и евентуално създаване на нови разпоредби в областта на планирането и действията за ограничаване на бедствията. Тези промени трябва да изясняват ролите и отговорностите на национално, регионално, общинско и градско ниво, да подобряват сътрудничеството и комуникацията между всички сектори, държавните и общинските власти, НПО, представителите на бизнеса и всички други заинтересовани страни.</w:t>
      </w:r>
    </w:p>
    <w:p w:rsidR="00AA4661" w:rsidRPr="00B73D7E" w:rsidRDefault="00AA4661" w:rsidP="00CF297A">
      <w:pPr>
        <w:pStyle w:val="BodyText"/>
        <w:numPr>
          <w:ilvl w:val="0"/>
          <w:numId w:val="41"/>
        </w:numPr>
        <w:ind w:left="0" w:firstLine="0"/>
        <w:rPr>
          <w:lang w:val="bg-BG"/>
        </w:rPr>
      </w:pPr>
      <w:r w:rsidRPr="00B73D7E">
        <w:rPr>
          <w:lang w:val="bg-BG"/>
        </w:rPr>
        <w:t xml:space="preserve">Пространственото и градското планиране следва да са базирани на подробни оценки на опасностите, уязвимостта и риска. Стратегиите за адаптиране, плановете и вариантите следва да бъдат разработени в съответствие с рисковете, които са специфични за съответното място. Необходимо е да бъдат разработени специфични строителни кодове и зониране и да се прилагат по-строги правила за проектиране на сгради, за да се гарантира, че инфраструктурата е устойчива на местния риск и на установеното ниво на риск. </w:t>
      </w:r>
    </w:p>
    <w:p w:rsidR="00AA4661" w:rsidRPr="00B73D7E" w:rsidRDefault="00AA4661" w:rsidP="00CF297A">
      <w:pPr>
        <w:pStyle w:val="BodyText"/>
        <w:numPr>
          <w:ilvl w:val="0"/>
          <w:numId w:val="41"/>
        </w:numPr>
        <w:ind w:left="0" w:firstLine="0"/>
        <w:rPr>
          <w:lang w:val="bg-BG"/>
        </w:rPr>
      </w:pPr>
      <w:r w:rsidRPr="00B73D7E">
        <w:rPr>
          <w:lang w:val="bg-BG"/>
        </w:rPr>
        <w:t>Намаляването на риска от бедствия изисква солидна институционална основа, която следва да бъде укрепена чрез изграждане на капацитет, добро управление, насърчаване на подходящи политики, улесняване на потока от информация, приемане на ефективни механизми за координация и подходящо образование. Всичко това може да допринесе за ефективността на общинските действия за адаптация.</w:t>
      </w:r>
    </w:p>
    <w:p w:rsidR="00AA4661" w:rsidRPr="00F8728A" w:rsidRDefault="00AA4661" w:rsidP="00676435">
      <w:pPr>
        <w:widowControl w:val="0"/>
        <w:spacing w:after="0"/>
        <w:jc w:val="both"/>
        <w:rPr>
          <w:rFonts w:ascii="Calibri" w:eastAsia="MS Gothic" w:hAnsi="Calibri"/>
          <w:b/>
          <w:bCs/>
          <w:color w:val="365F91"/>
          <w:sz w:val="32"/>
          <w:szCs w:val="28"/>
        </w:rPr>
      </w:pPr>
      <w:bookmarkStart w:id="588" w:name="_Hlk480278399"/>
      <w:bookmarkEnd w:id="588"/>
      <w:r w:rsidRPr="00F8728A">
        <w:br w:type="page"/>
      </w:r>
    </w:p>
    <w:p w:rsidR="00AA4661" w:rsidRPr="00B73D7E" w:rsidRDefault="00AA4661" w:rsidP="00B73D7E">
      <w:pPr>
        <w:pStyle w:val="Heading1"/>
        <w:spacing w:before="0" w:after="120"/>
        <w:jc w:val="both"/>
        <w:rPr>
          <w:rFonts w:eastAsia="Times New Roman"/>
          <w:bCs w:val="0"/>
          <w:color w:val="2F5496"/>
          <w:sz w:val="32"/>
          <w:szCs w:val="32"/>
          <w:lang w:val="bg-BG" w:eastAsia="en-US"/>
        </w:rPr>
      </w:pPr>
      <w:bookmarkStart w:id="589" w:name="_Toc484688376"/>
      <w:bookmarkStart w:id="590" w:name="_Toc485001828"/>
      <w:bookmarkStart w:id="591" w:name="_Toc486513824"/>
      <w:bookmarkStart w:id="592" w:name="_Toc486942204"/>
      <w:bookmarkStart w:id="593" w:name="_Toc501454881"/>
      <w:bookmarkStart w:id="594" w:name="_Toc522030583"/>
      <w:bookmarkStart w:id="595" w:name="_Toc529285568"/>
      <w:r w:rsidRPr="00B73D7E">
        <w:rPr>
          <w:rFonts w:eastAsia="Times New Roman"/>
          <w:bCs w:val="0"/>
          <w:color w:val="2F5496"/>
          <w:sz w:val="32"/>
          <w:szCs w:val="32"/>
          <w:lang w:val="bg-BG" w:eastAsia="en-US"/>
        </w:rPr>
        <w:lastRenderedPageBreak/>
        <w:t>Глава 3. Варианти за адаптация на градската среда</w:t>
      </w:r>
      <w:bookmarkEnd w:id="589"/>
      <w:bookmarkEnd w:id="590"/>
      <w:bookmarkEnd w:id="591"/>
      <w:bookmarkEnd w:id="592"/>
      <w:bookmarkEnd w:id="593"/>
      <w:bookmarkEnd w:id="594"/>
      <w:bookmarkEnd w:id="595"/>
    </w:p>
    <w:p w:rsidR="00AA4661" w:rsidRPr="00B73D7E" w:rsidRDefault="00AA4661" w:rsidP="00CF297A">
      <w:pPr>
        <w:pStyle w:val="BodyText"/>
        <w:numPr>
          <w:ilvl w:val="0"/>
          <w:numId w:val="41"/>
        </w:numPr>
        <w:ind w:left="0" w:firstLine="0"/>
        <w:rPr>
          <w:lang w:val="bg-BG"/>
        </w:rPr>
      </w:pPr>
      <w:r w:rsidRPr="00B73D7E">
        <w:rPr>
          <w:lang w:val="bg-BG"/>
        </w:rPr>
        <w:t>Настоящата глава представя актуалните познания и добрата практика за АИК в градска среда. Анализът на опита в България и други страни показва многообразието на подходите към процеса на оценка и селекция, което отразява обхвата и мащаба на въздействията на промените в климата върху градовете, населението и човешките дейности. Възможните подходи за адаптация с цел овладяване на екстремни атмосферни явления и бедствия, включително грижата за най-уязвимите групи, се разглеждат въз основа на възприетите принципи и избраните групи критерии. Представянето на действията за адаптация и мерките, интегрирани в тях, се фокусира върху типологията, ограниченията им и предлаганите от тях възможности и върху по-общи въпроси, и отразява сложността на градската среда и резултатите от процеса на консултации със заинтересованите страни.</w:t>
      </w:r>
    </w:p>
    <w:p w:rsidR="00AA4661" w:rsidRPr="00B73D7E" w:rsidRDefault="00AA4661" w:rsidP="00E21095">
      <w:pPr>
        <w:pStyle w:val="ListParagraph1"/>
        <w:widowControl w:val="0"/>
        <w:numPr>
          <w:ilvl w:val="0"/>
          <w:numId w:val="1"/>
        </w:numPr>
        <w:spacing w:before="200" w:after="60" w:line="264" w:lineRule="auto"/>
        <w:ind w:left="0" w:firstLine="0"/>
        <w:contextualSpacing w:val="0"/>
        <w:jc w:val="both"/>
        <w:outlineLvl w:val="1"/>
        <w:rPr>
          <w:rFonts w:ascii="Calibri" w:hAnsi="Calibri"/>
          <w:b/>
          <w:vanish/>
          <w:color w:val="365F91"/>
          <w:sz w:val="28"/>
          <w:szCs w:val="26"/>
          <w:lang w:val="bg-BG"/>
        </w:rPr>
      </w:pPr>
      <w:bookmarkStart w:id="596" w:name="_Toc486937096"/>
      <w:bookmarkStart w:id="597" w:name="_Toc486937180"/>
      <w:bookmarkStart w:id="598" w:name="_Toc486937277"/>
      <w:bookmarkStart w:id="599" w:name="_Toc486937374"/>
      <w:bookmarkStart w:id="600" w:name="_Toc486939175"/>
      <w:bookmarkStart w:id="601" w:name="_Toc486940443"/>
      <w:bookmarkStart w:id="602" w:name="_Toc486942205"/>
      <w:bookmarkStart w:id="603" w:name="_Toc487981795"/>
      <w:bookmarkStart w:id="604" w:name="_Toc487981891"/>
      <w:bookmarkStart w:id="605" w:name="_Toc487983016"/>
      <w:bookmarkStart w:id="606" w:name="_Toc487983537"/>
      <w:bookmarkStart w:id="607" w:name="_Toc487992909"/>
      <w:bookmarkStart w:id="608" w:name="_Toc487993863"/>
      <w:bookmarkStart w:id="609" w:name="_Toc488061422"/>
      <w:bookmarkStart w:id="610" w:name="_Toc488061674"/>
      <w:bookmarkStart w:id="611" w:name="_Toc488066584"/>
      <w:bookmarkStart w:id="612" w:name="_Toc488677694"/>
      <w:bookmarkStart w:id="613" w:name="_Toc501454882"/>
      <w:bookmarkStart w:id="614" w:name="_Toc501712712"/>
      <w:bookmarkStart w:id="615" w:name="_Toc501712939"/>
      <w:bookmarkStart w:id="616" w:name="_Toc506146529"/>
      <w:bookmarkStart w:id="617" w:name="_Toc506289786"/>
      <w:bookmarkStart w:id="618" w:name="_Toc508793674"/>
      <w:bookmarkStart w:id="619" w:name="_Toc508793767"/>
      <w:bookmarkStart w:id="620" w:name="_Toc508799946"/>
      <w:bookmarkStart w:id="621" w:name="_Toc519604840"/>
      <w:bookmarkStart w:id="622" w:name="_Toc522030584"/>
      <w:bookmarkStart w:id="623" w:name="_Toc529285016"/>
      <w:bookmarkStart w:id="624" w:name="_Toc529285239"/>
      <w:bookmarkStart w:id="625" w:name="_Toc529285466"/>
      <w:bookmarkStart w:id="626" w:name="_Toc529285569"/>
      <w:bookmarkStart w:id="627" w:name="_Toc48651382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p>
    <w:p w:rsidR="00AA4661" w:rsidRPr="00B73D7E" w:rsidRDefault="00AA4661" w:rsidP="00676435">
      <w:pPr>
        <w:pStyle w:val="Heading2"/>
        <w:ind w:left="0" w:firstLine="0"/>
        <w:rPr>
          <w:lang w:val="bg-BG"/>
        </w:rPr>
      </w:pPr>
      <w:bookmarkStart w:id="628" w:name="_Toc486942206"/>
      <w:bookmarkStart w:id="629" w:name="_Toc501454883"/>
      <w:bookmarkStart w:id="630" w:name="_Toc522030585"/>
      <w:bookmarkStart w:id="631" w:name="_Toc529285570"/>
      <w:r w:rsidRPr="00B73D7E">
        <w:rPr>
          <w:lang w:val="bg-BG"/>
        </w:rPr>
        <w:t>Идентифицирани варианти за адаптация</w:t>
      </w:r>
      <w:bookmarkEnd w:id="627"/>
      <w:bookmarkEnd w:id="628"/>
      <w:bookmarkEnd w:id="629"/>
      <w:bookmarkEnd w:id="630"/>
      <w:bookmarkEnd w:id="631"/>
    </w:p>
    <w:p w:rsidR="00AA4661" w:rsidRPr="00B73D7E" w:rsidRDefault="00AA4661" w:rsidP="00CF297A">
      <w:pPr>
        <w:pStyle w:val="BodyText"/>
        <w:numPr>
          <w:ilvl w:val="0"/>
          <w:numId w:val="41"/>
        </w:numPr>
        <w:ind w:left="0" w:firstLine="0"/>
        <w:rPr>
          <w:lang w:val="bg-BG"/>
        </w:rPr>
      </w:pPr>
      <w:r w:rsidRPr="00B73D7E">
        <w:rPr>
          <w:lang w:val="bg-BG"/>
        </w:rPr>
        <w:t>Вариантите за адаптация се определят като възможни начини на действие, които могат да намалят уязвимостта към климата и да повишат издръжливостта. Има разнообразни подходи към вариантите за адаптация, категоризирани според пространствения и времевия обхват (Tol, 1997 г.), сроковете (Smithers и Smith, 1997 г.), адресата (Burton, 1997 г., Tol, 1997 г., Smithers и Smith, 1997 г.), разходите и ползите (Hulme и колектив, 2002 г.), типа мерки за адаптация (Burton, 1997 г.), способността за адаптация (Biagnini и колектив, 2014 г.), управленското планиране и поведение (Dixit, 2013 г.). Веднъж избрани, вариантите се включват в планове и дейности.</w:t>
      </w:r>
      <w:bookmarkStart w:id="632" w:name="_Toc486512709"/>
      <w:bookmarkStart w:id="633" w:name="_Toc486512803"/>
      <w:bookmarkStart w:id="634" w:name="_Toc486512710"/>
      <w:bookmarkStart w:id="635" w:name="_Toc486512804"/>
      <w:bookmarkStart w:id="636" w:name="_Toc486512711"/>
      <w:bookmarkStart w:id="637" w:name="_Toc486512805"/>
      <w:bookmarkEnd w:id="632"/>
      <w:bookmarkEnd w:id="633"/>
      <w:bookmarkEnd w:id="634"/>
      <w:bookmarkEnd w:id="635"/>
      <w:bookmarkEnd w:id="636"/>
      <w:bookmarkEnd w:id="637"/>
    </w:p>
    <w:p w:rsidR="00AA4661" w:rsidRPr="00B73D7E" w:rsidRDefault="00AA4661" w:rsidP="00B73D7E">
      <w:pPr>
        <w:pStyle w:val="Heading3"/>
        <w:spacing w:before="160"/>
        <w:ind w:left="0" w:firstLine="0"/>
        <w:rPr>
          <w:b w:val="0"/>
          <w:i w:val="0"/>
        </w:rPr>
      </w:pPr>
      <w:bookmarkStart w:id="638" w:name="_Toc522030586"/>
      <w:bookmarkStart w:id="639" w:name="_Toc529285571"/>
      <w:bookmarkStart w:id="640" w:name="_Toc486513826"/>
      <w:bookmarkStart w:id="641" w:name="_Toc486942207"/>
      <w:bookmarkStart w:id="642" w:name="_Toc501454884"/>
      <w:r w:rsidRPr="00B73D7E">
        <w:rPr>
          <w:lang w:val="bg-BG"/>
        </w:rPr>
        <w:t>Идентифицирани варианти за адаптация на градската среда</w:t>
      </w:r>
      <w:bookmarkEnd w:id="638"/>
      <w:bookmarkEnd w:id="639"/>
      <w:r w:rsidRPr="00B73D7E">
        <w:rPr>
          <w:lang w:val="bg-BG"/>
        </w:rPr>
        <w:t xml:space="preserve"> </w:t>
      </w:r>
      <w:bookmarkEnd w:id="640"/>
      <w:bookmarkEnd w:id="641"/>
      <w:bookmarkEnd w:id="642"/>
    </w:p>
    <w:p w:rsidR="00AA4661" w:rsidRPr="00B73D7E" w:rsidRDefault="00AA4661" w:rsidP="00CF297A">
      <w:pPr>
        <w:pStyle w:val="BodyText"/>
        <w:numPr>
          <w:ilvl w:val="0"/>
          <w:numId w:val="41"/>
        </w:numPr>
        <w:ind w:left="0" w:firstLine="0"/>
        <w:rPr>
          <w:lang w:val="bg-BG"/>
        </w:rPr>
      </w:pPr>
      <w:r w:rsidRPr="00B73D7E">
        <w:rPr>
          <w:lang w:val="bg-BG"/>
        </w:rPr>
        <w:t>Вариантите за АИК на градската среда включват множество мерки и действия, пряко или непряко насочени към всички стадии на УРБ – идентификация, планиране, организация, осъществяване и контрол. Те включват също мерките за възстановяване, рехабилитация и реконструкция при настъпило бедствие и за справяне с последствията и стреса. Ефективността на тези действия за адаптация зависи от подходящото съчетание от мерки, действия и ресурси според мащаба, продължителността, характера на въздействието, спецификата на обкръжението, институционалния и експертния капацитет, политическата, законодателната и финансовата рамка и културния контекст.</w:t>
      </w:r>
    </w:p>
    <w:p w:rsidR="00AA4661" w:rsidRPr="00B73D7E" w:rsidRDefault="00AA4661" w:rsidP="00CF297A">
      <w:pPr>
        <w:pStyle w:val="BodyText"/>
        <w:numPr>
          <w:ilvl w:val="0"/>
          <w:numId w:val="41"/>
        </w:numPr>
        <w:ind w:left="0" w:firstLine="0"/>
        <w:rPr>
          <w:lang w:val="bg-BG"/>
        </w:rPr>
      </w:pPr>
      <w:r w:rsidRPr="00B73D7E">
        <w:rPr>
          <w:lang w:val="bg-BG"/>
        </w:rPr>
        <w:t xml:space="preserve">Идентифицираните варианти за АИК (вж. </w:t>
      </w:r>
      <w:r w:rsidRPr="00B73D7E">
        <w:rPr>
          <w:b/>
          <w:i/>
          <w:lang w:val="bg-BG"/>
        </w:rPr>
        <w:t>приложение 2</w:t>
      </w:r>
      <w:r w:rsidRPr="00B73D7E">
        <w:rPr>
          <w:lang w:val="bg-BG"/>
        </w:rPr>
        <w:t xml:space="preserve">) на градската среда в България са резултат от цялостния анализ и оценка на сектора) и са систематизирани в 10 категории  в таблиците по-долу. Те са представени в логична последователност, отразяваща тяхната значимост и взаимна зависимост. </w:t>
      </w:r>
    </w:p>
    <w:p w:rsidR="00AA4661" w:rsidRPr="00F8728A" w:rsidRDefault="00AA4661" w:rsidP="00716CFD">
      <w:pPr>
        <w:keepNext/>
        <w:keepLines/>
        <w:autoSpaceDE w:val="0"/>
        <w:autoSpaceDN w:val="0"/>
        <w:adjustRightInd w:val="0"/>
        <w:spacing w:before="60" w:after="60"/>
        <w:jc w:val="both"/>
        <w:outlineLvl w:val="3"/>
        <w:rPr>
          <w:rFonts w:ascii="Calibri" w:hAnsi="Calibri"/>
          <w:bCs/>
          <w:i/>
          <w:iCs/>
          <w:color w:val="2F5496"/>
          <w:sz w:val="24"/>
          <w:szCs w:val="24"/>
          <w:lang w:eastAsia="bg-BG"/>
        </w:rPr>
      </w:pPr>
      <w:r w:rsidRPr="00F8728A">
        <w:rPr>
          <w:rFonts w:ascii="Calibri" w:hAnsi="Calibri"/>
          <w:bCs/>
          <w:i/>
          <w:iCs/>
          <w:color w:val="2F5496"/>
          <w:sz w:val="24"/>
          <w:szCs w:val="24"/>
          <w:lang w:eastAsia="bg-BG"/>
        </w:rPr>
        <w:t>Категория „Политика“</w:t>
      </w:r>
    </w:p>
    <w:p w:rsidR="00AA4661" w:rsidRPr="00B73D7E" w:rsidRDefault="00AA4661" w:rsidP="00CF297A">
      <w:pPr>
        <w:pStyle w:val="BodyText"/>
        <w:numPr>
          <w:ilvl w:val="0"/>
          <w:numId w:val="41"/>
        </w:numPr>
        <w:ind w:left="0" w:firstLine="0"/>
        <w:rPr>
          <w:lang w:val="bg-BG"/>
        </w:rPr>
      </w:pPr>
      <w:r w:rsidRPr="00B73D7E">
        <w:rPr>
          <w:lang w:val="bg-BG"/>
        </w:rPr>
        <w:t xml:space="preserve">Успехът на всички варианти за АИК в градската среда зависи от политическата ангажираност, от включването им в политиките за регионално и градско развитие. Голямото значение на категорията „Политика“ и на необходимите действия за постигане на консенсус върху целите на АИК са свързани с подготовката на България за следващия програмен период, с новия подход към регионалната политика, с актуализирането на секторните стратегии, и с необходимостта от постигане на по-добра </w:t>
      </w:r>
      <w:r w:rsidRPr="00B73D7E">
        <w:rPr>
          <w:lang w:val="bg-BG"/>
        </w:rPr>
        <w:lastRenderedPageBreak/>
        <w:t xml:space="preserve">социална, икономическа и териториална кохезия. Част от дългосрочните цели на кохезионната политика са също мерките за намаляване на въздействието на климатичните промени върху градската среда, човешкото здраве и качеството на живот. Основно изискване за успеха е прилагането на интегриран подход при формулирането и прилагането на политиките. Добър пример за координираща платформа на секторните пространствени политики е Националната концепция за пространствено развитие (НКПР). В контекста на този документ за стратегическо планиране, политиката за АИК може да се превърне в референтна точка за всички останали политики. </w:t>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0A0" w:firstRow="1" w:lastRow="0" w:firstColumn="1" w:lastColumn="0" w:noHBand="0" w:noVBand="0"/>
      </w:tblPr>
      <w:tblGrid>
        <w:gridCol w:w="9000"/>
      </w:tblGrid>
      <w:tr w:rsidR="00AA4661" w:rsidRPr="00F8728A" w:rsidTr="00716CFD">
        <w:trPr>
          <w:trHeight w:val="70"/>
          <w:jc w:val="center"/>
        </w:trPr>
        <w:tc>
          <w:tcPr>
            <w:tcW w:w="9000" w:type="dxa"/>
            <w:shd w:val="clear" w:color="auto" w:fill="365F91"/>
          </w:tcPr>
          <w:p w:rsidR="00AA4661" w:rsidRPr="00F8728A" w:rsidRDefault="00AA4661" w:rsidP="006A65EE">
            <w:pPr>
              <w:spacing w:before="40" w:after="40"/>
              <w:jc w:val="center"/>
              <w:rPr>
                <w:rFonts w:ascii="Calibri" w:hAnsi="Calibri" w:cs="Calibri"/>
                <w:b/>
                <w:bCs/>
                <w:color w:val="FFFFFF"/>
                <w:sz w:val="26"/>
                <w:szCs w:val="26"/>
              </w:rPr>
            </w:pPr>
            <w:r w:rsidRPr="00F8728A">
              <w:rPr>
                <w:rFonts w:ascii="Calibri" w:hAnsi="Calibri" w:cs="Calibri"/>
                <w:b/>
                <w:bCs/>
                <w:color w:val="FFFFFF"/>
                <w:sz w:val="26"/>
                <w:szCs w:val="26"/>
              </w:rPr>
              <w:t>ОПЦИИ ЗА АДАПТАЦИЯ КЪМ ИЗМЕНЕНИЕТО НА КЛИМАТА</w:t>
            </w:r>
          </w:p>
        </w:tc>
      </w:tr>
      <w:tr w:rsidR="00AA4661" w:rsidRPr="00F8728A" w:rsidTr="00716CFD">
        <w:trPr>
          <w:trHeight w:val="36"/>
          <w:jc w:val="center"/>
        </w:trPr>
        <w:tc>
          <w:tcPr>
            <w:tcW w:w="9000" w:type="dxa"/>
            <w:shd w:val="clear" w:color="auto" w:fill="A8D08D"/>
          </w:tcPr>
          <w:p w:rsidR="00AA4661" w:rsidRPr="00F8728A" w:rsidRDefault="00AA4661" w:rsidP="00CF297A">
            <w:pPr>
              <w:numPr>
                <w:ilvl w:val="0"/>
                <w:numId w:val="47"/>
              </w:numPr>
              <w:spacing w:before="60" w:after="60"/>
              <w:ind w:left="734" w:hanging="547"/>
              <w:jc w:val="both"/>
              <w:rPr>
                <w:rFonts w:ascii="Calibri" w:hAnsi="Calibri" w:cs="Calibri"/>
                <w:b/>
                <w:bCs/>
                <w:color w:val="000000"/>
                <w:sz w:val="24"/>
                <w:szCs w:val="24"/>
              </w:rPr>
            </w:pPr>
            <w:r w:rsidRPr="00F8728A">
              <w:rPr>
                <w:rFonts w:ascii="Calibri" w:hAnsi="Calibri" w:cs="Calibri"/>
                <w:b/>
                <w:bCs/>
                <w:smallCaps/>
                <w:color w:val="000000"/>
                <w:sz w:val="24"/>
                <w:szCs w:val="24"/>
                <w:shd w:val="clear" w:color="auto" w:fill="A8D08D"/>
              </w:rPr>
              <w:t xml:space="preserve">Политика – </w:t>
            </w:r>
            <w:r w:rsidRPr="00F8728A">
              <w:rPr>
                <w:rFonts w:ascii="Calibri" w:hAnsi="Calibri" w:cs="Calibri"/>
                <w:b/>
                <w:bCs/>
                <w:color w:val="000000"/>
                <w:sz w:val="24"/>
                <w:szCs w:val="24"/>
                <w:shd w:val="clear" w:color="auto" w:fill="A8D08D"/>
              </w:rPr>
              <w:t>Включване на АИК в регионалното и градското</w:t>
            </w:r>
            <w:r w:rsidRPr="00F8728A">
              <w:rPr>
                <w:rFonts w:ascii="Calibri" w:hAnsi="Calibri" w:cs="Calibri"/>
                <w:b/>
                <w:bCs/>
                <w:color w:val="000000"/>
                <w:sz w:val="24"/>
                <w:szCs w:val="24"/>
              </w:rPr>
              <w:t xml:space="preserve"> развитие</w:t>
            </w:r>
          </w:p>
        </w:tc>
      </w:tr>
      <w:tr w:rsidR="00AA4661" w:rsidRPr="00F8728A" w:rsidTr="006C5D2A">
        <w:trPr>
          <w:trHeight w:val="314"/>
          <w:jc w:val="center"/>
        </w:trPr>
        <w:tc>
          <w:tcPr>
            <w:tcW w:w="9000" w:type="dxa"/>
            <w:vAlign w:val="center"/>
          </w:tcPr>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Организиране  на дискусионен форум за достигане на обща визия и постигане на общо разбиране за политика и стратегия за АИК</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Включване на АИК в политиките за регионално и градско развитие, включително жилищна политика и строителство, чрез преразглеждане на Закона за устройство на територията</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Включване на АИК в новата Национална жилищна стратегия</w:t>
            </w:r>
          </w:p>
        </w:tc>
      </w:tr>
    </w:tbl>
    <w:p w:rsidR="00AA4661" w:rsidRPr="00F8728A" w:rsidRDefault="00AA4661" w:rsidP="00656190">
      <w:pPr>
        <w:keepNext/>
        <w:keepLines/>
        <w:autoSpaceDE w:val="0"/>
        <w:autoSpaceDN w:val="0"/>
        <w:adjustRightInd w:val="0"/>
        <w:spacing w:before="240" w:after="60"/>
        <w:jc w:val="both"/>
        <w:outlineLvl w:val="3"/>
        <w:rPr>
          <w:rFonts w:ascii="Calibri" w:hAnsi="Calibri"/>
          <w:bCs/>
          <w:i/>
          <w:iCs/>
          <w:color w:val="2F5496"/>
          <w:sz w:val="24"/>
          <w:szCs w:val="24"/>
          <w:lang w:eastAsia="bg-BG"/>
        </w:rPr>
      </w:pPr>
      <w:r w:rsidRPr="00F8728A">
        <w:rPr>
          <w:rFonts w:ascii="Calibri" w:hAnsi="Calibri"/>
          <w:bCs/>
          <w:i/>
          <w:iCs/>
          <w:color w:val="2F5496"/>
          <w:sz w:val="24"/>
          <w:szCs w:val="24"/>
          <w:lang w:eastAsia="bg-BG"/>
        </w:rPr>
        <w:t xml:space="preserve">Категория „Информация“ </w:t>
      </w:r>
    </w:p>
    <w:p w:rsidR="00AA4661" w:rsidRPr="00B73D7E" w:rsidRDefault="00AA4661" w:rsidP="00CF297A">
      <w:pPr>
        <w:pStyle w:val="BodyText"/>
        <w:numPr>
          <w:ilvl w:val="0"/>
          <w:numId w:val="41"/>
        </w:numPr>
        <w:ind w:left="0" w:firstLine="0"/>
        <w:rPr>
          <w:lang w:val="bg-BG"/>
        </w:rPr>
      </w:pPr>
      <w:r w:rsidRPr="00B73D7E">
        <w:rPr>
          <w:lang w:val="bg-BG"/>
        </w:rPr>
        <w:t xml:space="preserve">Идентифицирането на главните пропуски и бариери в осигуряването на надеждна, точна и актуална информация за развитието и прилагането на варианти за АИК и необходимостта от научни данни на градско равнище правят тази категория втора по важност. Това ще позволи своевременна организация на национална база от метаданни и данни и определяне на специфичните информационни изисквания за градската среда. По-доброто прилагане на директивата INSPIRE и осигуряването на свободен достъп до информация за въздействието на климатичните промени върху градската среда ще улесни картографирането на опасностите и оценката на риска, както и  информираното вземане на решения  в развитието на всички секторни политики. Вариантите за АИК в тази категория имат силни връзки с категория „Научни изследвания“, но също с управлението на процеса на адаптиране и развитието на капацитет. </w:t>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0A0" w:firstRow="1" w:lastRow="0" w:firstColumn="1" w:lastColumn="0" w:noHBand="0" w:noVBand="0"/>
      </w:tblPr>
      <w:tblGrid>
        <w:gridCol w:w="9000"/>
      </w:tblGrid>
      <w:tr w:rsidR="00AA4661" w:rsidRPr="00F8728A" w:rsidTr="00716CFD">
        <w:trPr>
          <w:trHeight w:val="314"/>
          <w:jc w:val="center"/>
        </w:trPr>
        <w:tc>
          <w:tcPr>
            <w:tcW w:w="9000" w:type="dxa"/>
            <w:shd w:val="clear" w:color="auto" w:fill="365F91"/>
          </w:tcPr>
          <w:p w:rsidR="00AA4661" w:rsidRPr="00F8728A" w:rsidRDefault="00AA4661" w:rsidP="00716CFD">
            <w:pPr>
              <w:spacing w:before="60" w:after="60"/>
              <w:ind w:left="360"/>
              <w:jc w:val="center"/>
              <w:rPr>
                <w:rFonts w:ascii="Calibri" w:hAnsi="Calibri" w:cs="Calibri"/>
                <w:color w:val="000000"/>
                <w:sz w:val="22"/>
              </w:rPr>
            </w:pPr>
            <w:r w:rsidRPr="00F8728A">
              <w:rPr>
                <w:rFonts w:ascii="Calibri" w:hAnsi="Calibri" w:cs="Calibri"/>
                <w:b/>
                <w:bCs/>
                <w:color w:val="FFFFFF"/>
                <w:sz w:val="26"/>
                <w:szCs w:val="26"/>
              </w:rPr>
              <w:t>ОПЦИИ ЗА АДАПТАЦИЯ КЪМ ИЗМЕНЕНИЕТО НА КЛИМАТА</w:t>
            </w:r>
          </w:p>
        </w:tc>
      </w:tr>
      <w:tr w:rsidR="00AA4661" w:rsidRPr="00F8728A" w:rsidTr="0078573D">
        <w:trPr>
          <w:trHeight w:val="36"/>
          <w:jc w:val="center"/>
        </w:trPr>
        <w:tc>
          <w:tcPr>
            <w:tcW w:w="9000" w:type="dxa"/>
            <w:shd w:val="clear" w:color="auto" w:fill="A8D08D"/>
            <w:vAlign w:val="center"/>
          </w:tcPr>
          <w:p w:rsidR="00AA4661" w:rsidRPr="00F8728A" w:rsidRDefault="00AA4661" w:rsidP="00CF297A">
            <w:pPr>
              <w:numPr>
                <w:ilvl w:val="0"/>
                <w:numId w:val="47"/>
              </w:numPr>
              <w:spacing w:before="60" w:after="60"/>
              <w:ind w:left="734" w:hanging="547"/>
              <w:jc w:val="both"/>
              <w:rPr>
                <w:rFonts w:ascii="Calibri" w:hAnsi="Calibri" w:cs="Calibri"/>
                <w:b/>
                <w:bCs/>
                <w:color w:val="000000"/>
                <w:sz w:val="24"/>
                <w:szCs w:val="24"/>
              </w:rPr>
            </w:pPr>
            <w:r w:rsidRPr="00F8728A">
              <w:rPr>
                <w:rFonts w:ascii="Calibri" w:hAnsi="Calibri" w:cs="Calibri"/>
                <w:b/>
                <w:bCs/>
                <w:smallCaps/>
                <w:color w:val="000000"/>
                <w:sz w:val="24"/>
                <w:szCs w:val="24"/>
                <w:shd w:val="clear" w:color="auto" w:fill="A8D08D"/>
              </w:rPr>
              <w:t xml:space="preserve">Информация – </w:t>
            </w:r>
            <w:r w:rsidRPr="00F8728A">
              <w:rPr>
                <w:rFonts w:ascii="Calibri" w:hAnsi="Calibri" w:cs="Calibri"/>
                <w:b/>
                <w:bCs/>
                <w:color w:val="000000"/>
                <w:sz w:val="24"/>
                <w:szCs w:val="24"/>
                <w:shd w:val="clear" w:color="auto" w:fill="A8D08D"/>
              </w:rPr>
              <w:t>Осигуряване на институционално</w:t>
            </w:r>
            <w:r w:rsidRPr="00F8728A">
              <w:rPr>
                <w:rFonts w:ascii="Calibri" w:hAnsi="Calibri" w:cs="Calibri"/>
                <w:b/>
                <w:bCs/>
                <w:color w:val="000000"/>
                <w:sz w:val="24"/>
                <w:szCs w:val="24"/>
              </w:rPr>
              <w:t xml:space="preserve"> регулиран обмен на информация и данни, съгласно задълженията по директива INSPIRE</w:t>
            </w:r>
          </w:p>
        </w:tc>
      </w:tr>
      <w:tr w:rsidR="00AA4661" w:rsidRPr="00F8728A" w:rsidTr="00716CFD">
        <w:trPr>
          <w:trHeight w:val="388"/>
          <w:jc w:val="center"/>
        </w:trPr>
        <w:tc>
          <w:tcPr>
            <w:tcW w:w="9000" w:type="dxa"/>
            <w:vAlign w:val="center"/>
          </w:tcPr>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Създаване на общи стандарти за типа, структурния обхват и формата на метаданните и данните, хармонизирани с ЕС на градско ниво</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Обмен на информация с европейски държави и международни институции.</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Осигуряване на отворен достъп до информация за широката общественост</w:t>
            </w:r>
          </w:p>
        </w:tc>
      </w:tr>
    </w:tbl>
    <w:p w:rsidR="00AA4661" w:rsidRPr="00F8728A" w:rsidRDefault="00AA4661" w:rsidP="00656190">
      <w:pPr>
        <w:keepNext/>
        <w:keepLines/>
        <w:autoSpaceDE w:val="0"/>
        <w:autoSpaceDN w:val="0"/>
        <w:adjustRightInd w:val="0"/>
        <w:spacing w:before="240" w:after="60"/>
        <w:jc w:val="both"/>
        <w:outlineLvl w:val="3"/>
        <w:rPr>
          <w:rFonts w:ascii="Calibri" w:hAnsi="Calibri"/>
          <w:bCs/>
          <w:i/>
          <w:iCs/>
          <w:color w:val="2F5496"/>
          <w:sz w:val="24"/>
          <w:szCs w:val="24"/>
          <w:lang w:eastAsia="bg-BG"/>
        </w:rPr>
      </w:pPr>
      <w:r w:rsidRPr="00F8728A">
        <w:rPr>
          <w:rFonts w:ascii="Calibri" w:hAnsi="Calibri"/>
          <w:bCs/>
          <w:i/>
          <w:iCs/>
          <w:color w:val="2F5496"/>
          <w:sz w:val="24"/>
          <w:szCs w:val="24"/>
          <w:lang w:eastAsia="bg-BG"/>
        </w:rPr>
        <w:t>Категория „Научни изследвания“</w:t>
      </w:r>
    </w:p>
    <w:p w:rsidR="00AA4661" w:rsidRPr="00B73D7E" w:rsidRDefault="00AA4661" w:rsidP="00CF297A">
      <w:pPr>
        <w:pStyle w:val="BodyText"/>
        <w:numPr>
          <w:ilvl w:val="0"/>
          <w:numId w:val="41"/>
        </w:numPr>
        <w:ind w:left="0" w:firstLine="0"/>
        <w:rPr>
          <w:lang w:val="bg-BG"/>
        </w:rPr>
      </w:pPr>
      <w:r w:rsidRPr="00B73D7E">
        <w:rPr>
          <w:lang w:val="bg-BG"/>
        </w:rPr>
        <w:t>Вариантите за адаптиране в категорията "Изследвания" отговарят на необходимостта от поставяне на проблемите на АИК в градската среда сред приоритетите на Националната стратегия за развитие на научните изследвания. Най-</w:t>
      </w:r>
      <w:r w:rsidRPr="00B73D7E">
        <w:rPr>
          <w:lang w:val="bg-BG"/>
        </w:rPr>
        <w:lastRenderedPageBreak/>
        <w:t>добрите политики и стратегии за АИК, разработени в европейските страни, се подкрепят от солидна база от знания. Прилагането на интердисциплинарен и трансдисциплинарен подход към научните изследвания е абсолютно необходимо за градската среда, в която се концентрират преобладаващото население, материални активи, социални услуги и градска инфраструктура и където е необходимо да се постигне оптимално взаимодействие между различните икономически, социални и екологични дейности. Възстановяването и изграждането на градската среда с повишените изисквания за намалено и устойчиво използване на ресурсите може да бъде постигнато по-ефективно и ефикасно, ако се основава на изследване на нови интелигентни строителни технологии, конструкции и материали. Това определя главните връзки на тези адаптационни варианти с други категории като „Информация“, „Образование“, „Технологии/</w:t>
      </w:r>
      <w:r w:rsidR="004B1A4E" w:rsidRPr="00F8728A">
        <w:rPr>
          <w:lang w:val="bg-BG"/>
        </w:rPr>
        <w:t xml:space="preserve"> </w:t>
      </w:r>
      <w:r w:rsidRPr="00B73D7E">
        <w:rPr>
          <w:lang w:val="bg-BG"/>
        </w:rPr>
        <w:t xml:space="preserve">Строителство“  и „Капацитет“. </w:t>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0A0" w:firstRow="1" w:lastRow="0" w:firstColumn="1" w:lastColumn="0" w:noHBand="0" w:noVBand="0"/>
      </w:tblPr>
      <w:tblGrid>
        <w:gridCol w:w="9000"/>
      </w:tblGrid>
      <w:tr w:rsidR="00AA4661" w:rsidRPr="00F8728A" w:rsidTr="00716CFD">
        <w:trPr>
          <w:trHeight w:val="388"/>
          <w:jc w:val="center"/>
        </w:trPr>
        <w:tc>
          <w:tcPr>
            <w:tcW w:w="9000" w:type="dxa"/>
            <w:shd w:val="clear" w:color="auto" w:fill="365F91"/>
            <w:vAlign w:val="center"/>
          </w:tcPr>
          <w:p w:rsidR="00AA4661" w:rsidRPr="00F8728A" w:rsidRDefault="00AA4661" w:rsidP="00716CFD">
            <w:pPr>
              <w:spacing w:before="60" w:after="60"/>
              <w:ind w:left="360"/>
              <w:jc w:val="center"/>
              <w:rPr>
                <w:rFonts w:ascii="Calibri" w:hAnsi="Calibri" w:cs="Calibri"/>
                <w:color w:val="000000"/>
                <w:sz w:val="22"/>
              </w:rPr>
            </w:pPr>
            <w:r w:rsidRPr="00F8728A">
              <w:rPr>
                <w:rFonts w:ascii="Calibri" w:hAnsi="Calibri" w:cs="Calibri"/>
                <w:b/>
                <w:bCs/>
                <w:color w:val="FFFFFF"/>
                <w:sz w:val="26"/>
                <w:szCs w:val="26"/>
              </w:rPr>
              <w:t>ОПЦИИ ЗА АДАПТАЦИЯ КЪМ ИЗМЕНЕНИЕТО НА КЛИМАТА</w:t>
            </w:r>
          </w:p>
        </w:tc>
      </w:tr>
      <w:tr w:rsidR="00AA4661" w:rsidRPr="00F8728A" w:rsidTr="0078573D">
        <w:trPr>
          <w:trHeight w:val="36"/>
          <w:jc w:val="center"/>
        </w:trPr>
        <w:tc>
          <w:tcPr>
            <w:tcW w:w="9000" w:type="dxa"/>
            <w:shd w:val="clear" w:color="auto" w:fill="A8D08D"/>
            <w:vAlign w:val="center"/>
          </w:tcPr>
          <w:p w:rsidR="00AA4661" w:rsidRPr="00F8728A" w:rsidRDefault="00AA4661" w:rsidP="00CF297A">
            <w:pPr>
              <w:numPr>
                <w:ilvl w:val="0"/>
                <w:numId w:val="47"/>
              </w:numPr>
              <w:spacing w:before="60" w:after="60"/>
              <w:ind w:left="734" w:hanging="547"/>
              <w:jc w:val="both"/>
              <w:rPr>
                <w:rFonts w:ascii="Calibri" w:hAnsi="Calibri" w:cs="Calibri"/>
                <w:b/>
                <w:bCs/>
                <w:color w:val="000000"/>
                <w:sz w:val="24"/>
                <w:szCs w:val="24"/>
              </w:rPr>
            </w:pPr>
            <w:r w:rsidRPr="00F8728A">
              <w:rPr>
                <w:rFonts w:ascii="Calibri" w:hAnsi="Calibri" w:cs="Calibri"/>
                <w:b/>
                <w:bCs/>
                <w:smallCaps/>
                <w:color w:val="000000"/>
                <w:sz w:val="24"/>
                <w:szCs w:val="24"/>
              </w:rPr>
              <w:t xml:space="preserve">Научни </w:t>
            </w:r>
            <w:r w:rsidRPr="00F8728A">
              <w:rPr>
                <w:rFonts w:ascii="Calibri" w:hAnsi="Calibri" w:cs="Calibri"/>
                <w:b/>
                <w:bCs/>
                <w:smallCaps/>
                <w:color w:val="000000"/>
                <w:sz w:val="24"/>
                <w:szCs w:val="24"/>
                <w:shd w:val="clear" w:color="auto" w:fill="A8D08D"/>
              </w:rPr>
              <w:t xml:space="preserve">изследвания – </w:t>
            </w:r>
            <w:r w:rsidRPr="00F8728A">
              <w:rPr>
                <w:rFonts w:ascii="Calibri" w:hAnsi="Calibri" w:cs="Calibri"/>
                <w:b/>
                <w:bCs/>
                <w:color w:val="000000"/>
                <w:sz w:val="24"/>
                <w:szCs w:val="24"/>
                <w:shd w:val="clear" w:color="auto" w:fill="A8D08D"/>
              </w:rPr>
              <w:t>Осигуряване</w:t>
            </w:r>
            <w:r w:rsidRPr="00F8728A">
              <w:rPr>
                <w:rFonts w:ascii="Calibri" w:hAnsi="Calibri" w:cs="Calibri"/>
                <w:b/>
                <w:bCs/>
                <w:color w:val="000000"/>
                <w:sz w:val="24"/>
                <w:szCs w:val="24"/>
              </w:rPr>
              <w:t xml:space="preserve"> на обща дългосрочна визия и цели в изследването на АИК на градската среда чрез промени в Националната стратегия за развитие на научните изследвания</w:t>
            </w:r>
          </w:p>
        </w:tc>
      </w:tr>
      <w:tr w:rsidR="00AA4661" w:rsidRPr="00F8728A" w:rsidTr="00716CFD">
        <w:trPr>
          <w:trHeight w:val="388"/>
          <w:jc w:val="center"/>
        </w:trPr>
        <w:tc>
          <w:tcPr>
            <w:tcW w:w="9000" w:type="dxa"/>
            <w:vAlign w:val="center"/>
          </w:tcPr>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Идентифициране на приоритетни научни теми, свързани с града, откритите и зелени пространства, сградите, инфраструктурата, строителните материали и човешкото здраве, и оценката им за устойчивост на риска.</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Подкрепа на иновациите в строителството, технологиите и услугите, свързани с АИК</w:t>
            </w:r>
            <w:r w:rsidRPr="00F8728A">
              <w:rPr>
                <w:rFonts w:ascii="Times New Roman" w:hAnsi="Times New Roman"/>
                <w:sz w:val="22"/>
              </w:rPr>
              <w:t xml:space="preserve"> </w:t>
            </w:r>
          </w:p>
        </w:tc>
      </w:tr>
    </w:tbl>
    <w:p w:rsidR="00AA4661" w:rsidRPr="00F8728A" w:rsidRDefault="00AA4661" w:rsidP="00656190">
      <w:pPr>
        <w:keepNext/>
        <w:keepLines/>
        <w:autoSpaceDE w:val="0"/>
        <w:autoSpaceDN w:val="0"/>
        <w:adjustRightInd w:val="0"/>
        <w:spacing w:before="240" w:after="60"/>
        <w:jc w:val="both"/>
        <w:outlineLvl w:val="3"/>
        <w:rPr>
          <w:rFonts w:ascii="Calibri" w:hAnsi="Calibri"/>
          <w:bCs/>
          <w:i/>
          <w:iCs/>
          <w:color w:val="2F5496"/>
          <w:sz w:val="24"/>
          <w:szCs w:val="24"/>
          <w:lang w:eastAsia="bg-BG"/>
        </w:rPr>
      </w:pPr>
      <w:r w:rsidRPr="00F8728A">
        <w:rPr>
          <w:rFonts w:ascii="Calibri" w:hAnsi="Calibri"/>
          <w:bCs/>
          <w:i/>
          <w:iCs/>
          <w:color w:val="2F5496"/>
          <w:sz w:val="24"/>
          <w:szCs w:val="24"/>
          <w:lang w:eastAsia="bg-BG"/>
        </w:rPr>
        <w:t>Категория „Институции“</w:t>
      </w:r>
    </w:p>
    <w:p w:rsidR="00AA4661" w:rsidRPr="00F8728A" w:rsidRDefault="00AA4661" w:rsidP="00CF297A">
      <w:pPr>
        <w:widowControl w:val="0"/>
        <w:numPr>
          <w:ilvl w:val="0"/>
          <w:numId w:val="41"/>
        </w:numPr>
        <w:autoSpaceDE w:val="0"/>
        <w:autoSpaceDN w:val="0"/>
        <w:adjustRightInd w:val="0"/>
        <w:spacing w:after="120" w:line="276" w:lineRule="auto"/>
        <w:ind w:left="0" w:firstLine="0"/>
        <w:jc w:val="both"/>
        <w:rPr>
          <w:rFonts w:ascii="Times New Roman" w:eastAsia="MS Mincho" w:hAnsi="Times New Roman"/>
          <w:sz w:val="24"/>
          <w:szCs w:val="24"/>
          <w:lang w:eastAsia="bg-BG"/>
        </w:rPr>
      </w:pPr>
      <w:r w:rsidRPr="00F8728A">
        <w:rPr>
          <w:rFonts w:ascii="Times New Roman" w:eastAsia="MS Mincho" w:hAnsi="Times New Roman"/>
          <w:sz w:val="24"/>
          <w:szCs w:val="24"/>
          <w:lang w:eastAsia="bg-BG"/>
        </w:rPr>
        <w:t>Важни условия за успешното взаимодействие на институциите в прилагането на политиките за АИК са подобряването на тяхната устойчивост, координацията на тяхната работа и комуникацията на знанието. Националните институции и тези в главните градове ще играят важна роля в разработването и прилагането на местни стратегии за АИК. Институционалното развитие също е свързано с развитието на капацитет, с обучение и преквалификация, и със законодателни промени, за които инициативата ще бъде на МРРБ. За сравнение, възможно е НКПР да се приеме за координираща институция, по подобие на опита на Австрия в институционализирането на техния национален документ за пространствено развитие и използването на организираната експертиза за изследване на измененията на климата на регионално и градско равнище. Усилията в областта на информацията и образованието за популяризиране и правилно разбиране на подобна институционализация, като отправна точка за всички решения, свързани с градската среда, могат да се окажат по-ефективни от установяването на класически институции в условия на финансови и административни ограничения и недостатъчен опит.</w:t>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0A0" w:firstRow="1" w:lastRow="0" w:firstColumn="1" w:lastColumn="0" w:noHBand="0" w:noVBand="0"/>
      </w:tblPr>
      <w:tblGrid>
        <w:gridCol w:w="9000"/>
      </w:tblGrid>
      <w:tr w:rsidR="00AA4661" w:rsidRPr="00F8728A" w:rsidTr="00716CFD">
        <w:trPr>
          <w:trHeight w:val="388"/>
          <w:jc w:val="center"/>
        </w:trPr>
        <w:tc>
          <w:tcPr>
            <w:tcW w:w="9000" w:type="dxa"/>
            <w:shd w:val="clear" w:color="auto" w:fill="365F91"/>
            <w:vAlign w:val="center"/>
          </w:tcPr>
          <w:p w:rsidR="00AA4661" w:rsidRPr="00F8728A" w:rsidRDefault="00AA4661" w:rsidP="00716CFD">
            <w:pPr>
              <w:spacing w:before="60" w:after="60"/>
              <w:ind w:left="360"/>
              <w:jc w:val="center"/>
              <w:rPr>
                <w:rFonts w:ascii="Calibri" w:hAnsi="Calibri" w:cs="Calibri"/>
                <w:color w:val="000000"/>
                <w:sz w:val="22"/>
              </w:rPr>
            </w:pPr>
            <w:r w:rsidRPr="00F8728A">
              <w:rPr>
                <w:rFonts w:ascii="Calibri" w:hAnsi="Calibri" w:cs="Calibri"/>
                <w:b/>
                <w:bCs/>
                <w:color w:val="FFFFFF"/>
                <w:sz w:val="26"/>
                <w:szCs w:val="26"/>
              </w:rPr>
              <w:t>ОПЦИИ ЗА АДАПТАЦИЯ КЪМ ИЗМЕНЕНИЕТО НА КЛИМАТА</w:t>
            </w:r>
          </w:p>
        </w:tc>
      </w:tr>
      <w:tr w:rsidR="00AA4661" w:rsidRPr="00F8728A" w:rsidTr="0078573D">
        <w:trPr>
          <w:trHeight w:val="36"/>
          <w:jc w:val="center"/>
        </w:trPr>
        <w:tc>
          <w:tcPr>
            <w:tcW w:w="9000" w:type="dxa"/>
            <w:shd w:val="clear" w:color="auto" w:fill="A8D08D"/>
            <w:vAlign w:val="center"/>
          </w:tcPr>
          <w:p w:rsidR="00AA4661" w:rsidRPr="00F8728A" w:rsidRDefault="00AA4661" w:rsidP="00CF297A">
            <w:pPr>
              <w:numPr>
                <w:ilvl w:val="0"/>
                <w:numId w:val="47"/>
              </w:numPr>
              <w:spacing w:before="60" w:after="60"/>
              <w:ind w:left="734" w:hanging="547"/>
              <w:jc w:val="both"/>
              <w:rPr>
                <w:rFonts w:ascii="Calibri" w:hAnsi="Calibri" w:cs="Calibri"/>
                <w:b/>
                <w:bCs/>
                <w:color w:val="000000"/>
                <w:sz w:val="24"/>
                <w:szCs w:val="24"/>
              </w:rPr>
            </w:pPr>
            <w:r w:rsidRPr="00F8728A">
              <w:rPr>
                <w:rFonts w:ascii="Calibri" w:hAnsi="Calibri" w:cs="Calibri"/>
                <w:b/>
                <w:bCs/>
                <w:smallCaps/>
                <w:color w:val="000000"/>
                <w:sz w:val="24"/>
                <w:szCs w:val="24"/>
                <w:shd w:val="clear" w:color="auto" w:fill="A8D08D"/>
              </w:rPr>
              <w:t xml:space="preserve">Институции – </w:t>
            </w:r>
            <w:r w:rsidRPr="00F8728A">
              <w:rPr>
                <w:rFonts w:ascii="Calibri" w:hAnsi="Calibri" w:cs="Calibri"/>
                <w:b/>
                <w:bCs/>
                <w:color w:val="000000"/>
                <w:sz w:val="24"/>
                <w:szCs w:val="24"/>
                <w:shd w:val="clear" w:color="auto" w:fill="A8D08D"/>
              </w:rPr>
              <w:t>Развитие на устойчиви</w:t>
            </w:r>
            <w:r w:rsidRPr="00F8728A">
              <w:rPr>
                <w:rFonts w:ascii="Calibri" w:hAnsi="Calibri" w:cs="Calibri"/>
                <w:b/>
                <w:bCs/>
                <w:color w:val="000000"/>
                <w:sz w:val="24"/>
                <w:szCs w:val="24"/>
              </w:rPr>
              <w:t xml:space="preserve"> институции, способни да провеждат политиката за АИК на всички административни нива</w:t>
            </w:r>
          </w:p>
        </w:tc>
      </w:tr>
      <w:tr w:rsidR="00AA4661" w:rsidRPr="00F8728A" w:rsidTr="00716CFD">
        <w:trPr>
          <w:trHeight w:val="388"/>
          <w:jc w:val="center"/>
        </w:trPr>
        <w:tc>
          <w:tcPr>
            <w:tcW w:w="9000" w:type="dxa"/>
            <w:vAlign w:val="center"/>
          </w:tcPr>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Осигуряване на хоризонтална координация между МРРБ, МОСВ, МЕ, МЗХГ, МФ</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 xml:space="preserve">Осигуряване на вертикално и хоризонтално координиране между всички дирекции на </w:t>
            </w:r>
            <w:r w:rsidRPr="00F8728A">
              <w:rPr>
                <w:rFonts w:ascii="Calibri" w:hAnsi="Calibri" w:cs="Calibri"/>
                <w:sz w:val="22"/>
              </w:rPr>
              <w:lastRenderedPageBreak/>
              <w:t>МРРБ, свързани с АИК и УРБ на градската среда</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Подобряване на сътрудничеството между национални, регионални и местни власти при прилагането на политиките за АИК</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 xml:space="preserve">Развиване на капацитет във всички дирекции чрез преквалификация и назначаване на допълнителни експерти </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Осигуряване на насоки и методологична подкрепа на общините за развиване на местни стратегии за АИК</w:t>
            </w:r>
          </w:p>
        </w:tc>
      </w:tr>
    </w:tbl>
    <w:p w:rsidR="00AA4661" w:rsidRPr="00F8728A" w:rsidRDefault="00AA4661" w:rsidP="00656190">
      <w:pPr>
        <w:keepNext/>
        <w:keepLines/>
        <w:autoSpaceDE w:val="0"/>
        <w:autoSpaceDN w:val="0"/>
        <w:adjustRightInd w:val="0"/>
        <w:spacing w:before="240" w:after="60"/>
        <w:jc w:val="both"/>
        <w:outlineLvl w:val="3"/>
        <w:rPr>
          <w:rFonts w:ascii="Calibri" w:hAnsi="Calibri"/>
          <w:bCs/>
          <w:i/>
          <w:iCs/>
          <w:color w:val="2F5496"/>
          <w:sz w:val="24"/>
          <w:szCs w:val="24"/>
          <w:lang w:eastAsia="bg-BG"/>
        </w:rPr>
      </w:pPr>
      <w:r w:rsidRPr="00F8728A">
        <w:rPr>
          <w:rFonts w:ascii="Calibri" w:hAnsi="Calibri"/>
          <w:bCs/>
          <w:i/>
          <w:iCs/>
          <w:color w:val="2F5496"/>
          <w:sz w:val="24"/>
          <w:szCs w:val="24"/>
          <w:lang w:eastAsia="bg-BG"/>
        </w:rPr>
        <w:lastRenderedPageBreak/>
        <w:t>Категория „Законодателство“</w:t>
      </w:r>
    </w:p>
    <w:p w:rsidR="00AA4661" w:rsidRPr="00B73D7E" w:rsidRDefault="00AA4661" w:rsidP="00CF297A">
      <w:pPr>
        <w:pStyle w:val="BodyText"/>
        <w:numPr>
          <w:ilvl w:val="0"/>
          <w:numId w:val="41"/>
        </w:numPr>
        <w:ind w:left="0" w:firstLine="0"/>
        <w:rPr>
          <w:lang w:val="bg-BG"/>
        </w:rPr>
      </w:pPr>
      <w:r w:rsidRPr="00B73D7E">
        <w:rPr>
          <w:lang w:val="bg-BG"/>
        </w:rPr>
        <w:t>Прегледът и анализът на законодателството в областта на политиката за регионално и градско развитие показват, че изискванията, свързани с АИК в съществуващата правна и регулаторна рамка, могат да бъдат засилени, заедно с  подобрения контрол на тяхното прилагане. Моментът това да бъде направено е подходящ, предвид очакваната реформа на регионалната и градската политика в ЕС и България и изтичането на срока на значителен брой планови документи. Тази категория е силно свързана с категориите "Политика", "Институции" и с “Финанси“.</w:t>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0A0" w:firstRow="1" w:lastRow="0" w:firstColumn="1" w:lastColumn="0" w:noHBand="0" w:noVBand="0"/>
      </w:tblPr>
      <w:tblGrid>
        <w:gridCol w:w="9000"/>
      </w:tblGrid>
      <w:tr w:rsidR="00AA4661" w:rsidRPr="00F8728A" w:rsidTr="00716CFD">
        <w:trPr>
          <w:trHeight w:val="388"/>
          <w:jc w:val="center"/>
        </w:trPr>
        <w:tc>
          <w:tcPr>
            <w:tcW w:w="9000" w:type="dxa"/>
            <w:shd w:val="clear" w:color="auto" w:fill="365F91"/>
            <w:vAlign w:val="center"/>
          </w:tcPr>
          <w:p w:rsidR="00AA4661" w:rsidRPr="00F8728A" w:rsidRDefault="00AA4661" w:rsidP="00716CFD">
            <w:pPr>
              <w:spacing w:before="60" w:after="60"/>
              <w:ind w:left="360"/>
              <w:jc w:val="center"/>
              <w:rPr>
                <w:rFonts w:ascii="Calibri" w:hAnsi="Calibri" w:cs="Calibri"/>
                <w:color w:val="000000"/>
                <w:sz w:val="22"/>
              </w:rPr>
            </w:pPr>
            <w:r w:rsidRPr="00F8728A">
              <w:rPr>
                <w:rFonts w:ascii="Calibri" w:hAnsi="Calibri" w:cs="Calibri"/>
                <w:b/>
                <w:bCs/>
                <w:color w:val="FFFFFF"/>
                <w:sz w:val="26"/>
                <w:szCs w:val="26"/>
              </w:rPr>
              <w:t>ОПЦИИ ЗА АДАПТАЦИЯ КЪМ ИЗМЕНЕНИЕТО НА КЛИМАТА</w:t>
            </w:r>
          </w:p>
        </w:tc>
      </w:tr>
      <w:tr w:rsidR="00AA4661" w:rsidRPr="00F8728A" w:rsidTr="0078573D">
        <w:trPr>
          <w:trHeight w:val="36"/>
          <w:jc w:val="center"/>
        </w:trPr>
        <w:tc>
          <w:tcPr>
            <w:tcW w:w="9000" w:type="dxa"/>
            <w:shd w:val="clear" w:color="auto" w:fill="A8D08D"/>
            <w:vAlign w:val="center"/>
          </w:tcPr>
          <w:p w:rsidR="00AA4661" w:rsidRPr="00F8728A" w:rsidRDefault="00AA4661" w:rsidP="00CF297A">
            <w:pPr>
              <w:numPr>
                <w:ilvl w:val="0"/>
                <w:numId w:val="47"/>
              </w:numPr>
              <w:spacing w:before="60" w:after="60"/>
              <w:ind w:left="734" w:hanging="547"/>
              <w:jc w:val="both"/>
              <w:rPr>
                <w:rFonts w:ascii="Calibri" w:hAnsi="Calibri" w:cs="Calibri"/>
                <w:b/>
                <w:bCs/>
                <w:color w:val="000000"/>
                <w:sz w:val="24"/>
                <w:szCs w:val="24"/>
              </w:rPr>
            </w:pPr>
            <w:r w:rsidRPr="00F8728A">
              <w:rPr>
                <w:rFonts w:ascii="Calibri" w:hAnsi="Calibri" w:cs="Calibri"/>
                <w:b/>
                <w:bCs/>
                <w:smallCaps/>
                <w:color w:val="000000"/>
                <w:sz w:val="24"/>
                <w:szCs w:val="24"/>
                <w:shd w:val="clear" w:color="auto" w:fill="A8D08D"/>
              </w:rPr>
              <w:t xml:space="preserve">Законодателство – </w:t>
            </w:r>
            <w:r w:rsidRPr="00F8728A">
              <w:rPr>
                <w:rFonts w:ascii="Calibri" w:hAnsi="Calibri" w:cs="Calibri"/>
                <w:b/>
                <w:bCs/>
                <w:color w:val="000000"/>
                <w:sz w:val="24"/>
                <w:szCs w:val="24"/>
                <w:shd w:val="clear" w:color="auto" w:fill="A8D08D"/>
              </w:rPr>
              <w:t>Преразглеждане</w:t>
            </w:r>
            <w:r w:rsidRPr="00F8728A">
              <w:rPr>
                <w:rFonts w:ascii="Calibri" w:hAnsi="Calibri" w:cs="Calibri"/>
                <w:b/>
                <w:bCs/>
                <w:color w:val="000000"/>
                <w:sz w:val="24"/>
                <w:szCs w:val="24"/>
              </w:rPr>
              <w:t xml:space="preserve"> и промяна на всички законодателни документи за транспониране на проблемите на АИК след Оценка на въздействието на регулациите</w:t>
            </w:r>
          </w:p>
        </w:tc>
      </w:tr>
      <w:tr w:rsidR="00AA4661" w:rsidRPr="00F8728A" w:rsidTr="00716CFD">
        <w:trPr>
          <w:trHeight w:val="388"/>
          <w:jc w:val="center"/>
        </w:trPr>
        <w:tc>
          <w:tcPr>
            <w:tcW w:w="9000" w:type="dxa"/>
            <w:vAlign w:val="center"/>
          </w:tcPr>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 xml:space="preserve">Включване на изискванията за АИК във всички свързани законодателни документи за регионално и пространствено/градско планиране </w:t>
            </w:r>
            <w:r w:rsidRPr="00F8728A">
              <w:rPr>
                <w:rFonts w:ascii="Calibri" w:hAnsi="Calibri" w:cs="Calibri"/>
                <w:i/>
                <w:sz w:val="22"/>
              </w:rPr>
              <w:t>(Закон за устройство на територията, Закон за регионалното развитие, Разпоредби № 4, 7 и 8 към ЗУТ, Наредба за разработване на документи за пространствено развитие, Наредби относно ОВОС и ЕО)</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 xml:space="preserve">Преразглеждане и актуализиране на изискванията за обхвата и съдържанието на основните инструменти в гореспоменатите закони и разпоредби </w:t>
            </w:r>
            <w:r w:rsidRPr="00F8728A">
              <w:rPr>
                <w:rFonts w:ascii="Calibri" w:hAnsi="Calibri" w:cs="Calibri"/>
                <w:i/>
                <w:sz w:val="22"/>
              </w:rPr>
              <w:t>(НКПР, схеми и планове за пространствено развитие, устройствени планове)</w:t>
            </w:r>
          </w:p>
        </w:tc>
      </w:tr>
    </w:tbl>
    <w:p w:rsidR="00AA4661" w:rsidRPr="00F8728A" w:rsidRDefault="00AA4661" w:rsidP="00656190">
      <w:pPr>
        <w:keepNext/>
        <w:keepLines/>
        <w:autoSpaceDE w:val="0"/>
        <w:autoSpaceDN w:val="0"/>
        <w:adjustRightInd w:val="0"/>
        <w:spacing w:before="240" w:after="60"/>
        <w:jc w:val="both"/>
        <w:outlineLvl w:val="3"/>
        <w:rPr>
          <w:rFonts w:ascii="Calibri" w:hAnsi="Calibri"/>
          <w:bCs/>
          <w:i/>
          <w:iCs/>
          <w:color w:val="2F5496"/>
          <w:sz w:val="24"/>
          <w:szCs w:val="24"/>
          <w:lang w:eastAsia="bg-BG"/>
        </w:rPr>
      </w:pPr>
      <w:r w:rsidRPr="00F8728A">
        <w:rPr>
          <w:rFonts w:ascii="Calibri" w:hAnsi="Calibri"/>
          <w:bCs/>
          <w:i/>
          <w:iCs/>
          <w:color w:val="2F5496"/>
          <w:sz w:val="24"/>
          <w:szCs w:val="24"/>
          <w:lang w:eastAsia="bg-BG"/>
        </w:rPr>
        <w:t>Категория „Финанси“’</w:t>
      </w:r>
    </w:p>
    <w:p w:rsidR="00491557" w:rsidRPr="00B73D7E" w:rsidRDefault="00AA4661" w:rsidP="00CF297A">
      <w:pPr>
        <w:pStyle w:val="BodyText"/>
        <w:numPr>
          <w:ilvl w:val="0"/>
          <w:numId w:val="41"/>
        </w:numPr>
        <w:ind w:left="0" w:firstLine="0"/>
        <w:rPr>
          <w:lang w:val="bg-BG"/>
        </w:rPr>
      </w:pPr>
      <w:r w:rsidRPr="00B73D7E">
        <w:rPr>
          <w:lang w:val="bg-BG"/>
        </w:rPr>
        <w:t>Шестата група варианти за адаптиране се отнася до финансовите разпоредби и предопределя възможностите за разработване и прилагане на всички други варианти. Те се разглеждат в контекста на ограничените финансови ресурси на България, проблемите с бедността, нарастващия относителен дял на уязвимите групи, изискванията за интегриране и концентриране на инвестициите и необходимостта от нова и по-отговорна финансова и застрахователна култура. Вариантите за адаптация в тази категория се отнасят до най-важните институции - Министерски съвет, определени министерства, финансови и застрахователни институции, общински структури за управление на рискове при бедствия и отделни жители, включително и най-уязвимите им представители. Определените финансови дефицити свързват тази група от възможности с предоставянето на информация, развитието на научните изследвания, институционалното укрепване, технологичните иновации в строителството и градската среда, развитието на капацитета и образованието.</w:t>
      </w:r>
    </w:p>
    <w:p w:rsidR="00491557" w:rsidRPr="00B73D7E" w:rsidRDefault="00491557">
      <w:pPr>
        <w:spacing w:after="0"/>
        <w:rPr>
          <w:rFonts w:ascii="Times New Roman" w:eastAsia="MS Mincho" w:hAnsi="Times New Roman"/>
          <w:sz w:val="24"/>
          <w:szCs w:val="24"/>
          <w:lang w:eastAsia="x-none"/>
        </w:rPr>
      </w:pPr>
      <w:r w:rsidRPr="00F8728A">
        <w:br w:type="page"/>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0A0" w:firstRow="1" w:lastRow="0" w:firstColumn="1" w:lastColumn="0" w:noHBand="0" w:noVBand="0"/>
      </w:tblPr>
      <w:tblGrid>
        <w:gridCol w:w="9000"/>
      </w:tblGrid>
      <w:tr w:rsidR="00AA4661" w:rsidRPr="00F8728A" w:rsidTr="00716CFD">
        <w:trPr>
          <w:trHeight w:val="388"/>
          <w:jc w:val="center"/>
        </w:trPr>
        <w:tc>
          <w:tcPr>
            <w:tcW w:w="9000" w:type="dxa"/>
            <w:shd w:val="clear" w:color="auto" w:fill="365F91"/>
            <w:vAlign w:val="center"/>
          </w:tcPr>
          <w:p w:rsidR="00AA4661" w:rsidRPr="00F8728A" w:rsidRDefault="00AA4661" w:rsidP="00716CFD">
            <w:pPr>
              <w:spacing w:before="60" w:after="60"/>
              <w:ind w:left="360"/>
              <w:jc w:val="center"/>
              <w:rPr>
                <w:rFonts w:ascii="Calibri" w:hAnsi="Calibri" w:cs="Calibri"/>
                <w:color w:val="000000"/>
                <w:sz w:val="22"/>
              </w:rPr>
            </w:pPr>
            <w:r w:rsidRPr="00F8728A">
              <w:rPr>
                <w:rFonts w:ascii="Calibri" w:hAnsi="Calibri" w:cs="Calibri"/>
                <w:b/>
                <w:bCs/>
                <w:color w:val="FFFFFF"/>
                <w:sz w:val="26"/>
                <w:szCs w:val="26"/>
              </w:rPr>
              <w:lastRenderedPageBreak/>
              <w:t>ОПЦИИ ЗА АДАПТАЦИЯ КЪМ ИЗМЕНЕНИЕТО НА КЛИМАТА</w:t>
            </w:r>
          </w:p>
        </w:tc>
      </w:tr>
      <w:tr w:rsidR="00AA4661" w:rsidRPr="00F8728A" w:rsidTr="0078573D">
        <w:trPr>
          <w:trHeight w:val="36"/>
          <w:jc w:val="center"/>
        </w:trPr>
        <w:tc>
          <w:tcPr>
            <w:tcW w:w="9000" w:type="dxa"/>
            <w:shd w:val="clear" w:color="auto" w:fill="A8D08D"/>
            <w:vAlign w:val="center"/>
          </w:tcPr>
          <w:p w:rsidR="00AA4661" w:rsidRPr="00F8728A" w:rsidRDefault="00AA4661" w:rsidP="00CF297A">
            <w:pPr>
              <w:numPr>
                <w:ilvl w:val="0"/>
                <w:numId w:val="47"/>
              </w:numPr>
              <w:spacing w:before="60" w:after="60"/>
              <w:ind w:left="734" w:hanging="547"/>
              <w:jc w:val="both"/>
              <w:rPr>
                <w:rFonts w:ascii="Calibri" w:hAnsi="Calibri" w:cs="Calibri"/>
                <w:b/>
                <w:bCs/>
                <w:color w:val="000000"/>
                <w:sz w:val="24"/>
                <w:szCs w:val="24"/>
              </w:rPr>
            </w:pPr>
            <w:r w:rsidRPr="00F8728A">
              <w:rPr>
                <w:rFonts w:ascii="Calibri" w:hAnsi="Calibri" w:cs="Calibri"/>
                <w:b/>
                <w:bCs/>
                <w:smallCaps/>
                <w:color w:val="000000"/>
                <w:sz w:val="24"/>
                <w:szCs w:val="24"/>
                <w:shd w:val="clear" w:color="auto" w:fill="A8D08D"/>
              </w:rPr>
              <w:t xml:space="preserve">Финансови - </w:t>
            </w:r>
            <w:r w:rsidRPr="00F8728A">
              <w:rPr>
                <w:rFonts w:ascii="Calibri" w:hAnsi="Calibri" w:cs="Calibri"/>
                <w:b/>
                <w:bCs/>
                <w:color w:val="000000"/>
                <w:sz w:val="24"/>
                <w:szCs w:val="24"/>
                <w:shd w:val="clear" w:color="auto" w:fill="A8D08D"/>
              </w:rPr>
              <w:t>Промяна на финансовата, социалната и застрахователната</w:t>
            </w:r>
            <w:r w:rsidRPr="00F8728A">
              <w:rPr>
                <w:rFonts w:ascii="Calibri" w:hAnsi="Calibri" w:cs="Calibri"/>
                <w:b/>
                <w:bCs/>
                <w:color w:val="000000"/>
                <w:sz w:val="24"/>
                <w:szCs w:val="24"/>
              </w:rPr>
              <w:t xml:space="preserve"> политика</w:t>
            </w:r>
          </w:p>
        </w:tc>
      </w:tr>
      <w:tr w:rsidR="00AA4661" w:rsidRPr="00F8728A" w:rsidTr="00716CFD">
        <w:trPr>
          <w:trHeight w:val="388"/>
          <w:jc w:val="center"/>
        </w:trPr>
        <w:tc>
          <w:tcPr>
            <w:tcW w:w="9000" w:type="dxa"/>
            <w:vAlign w:val="center"/>
          </w:tcPr>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 xml:space="preserve">Преразглеждане на съществуващите финансови инструменти и проектиране на нови за АИК и УРБ, вкл. за енергийно обновяване </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Изследване на потенциала на фондовете на ЕС за АИК и УРБ</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Планиране на държавния бюджет и осигуряване на финансова подкрепа на общините за изпълняване на политиката за АИК</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Преразглеждане на съществуващия УРБ фонд за по-добра социална защита на най-уязвимите групи</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Разширяване на мерките за финансово приобщаване чрез адаптивни предпазни мрежи, условни финансови и резервни фондове за бедните и най-необлагодетелстваните лица</w:t>
            </w:r>
          </w:p>
        </w:tc>
      </w:tr>
    </w:tbl>
    <w:p w:rsidR="00AA4661" w:rsidRPr="00F8728A" w:rsidRDefault="00AA4661" w:rsidP="00656190">
      <w:pPr>
        <w:keepNext/>
        <w:keepLines/>
        <w:autoSpaceDE w:val="0"/>
        <w:autoSpaceDN w:val="0"/>
        <w:adjustRightInd w:val="0"/>
        <w:spacing w:before="240" w:after="60"/>
        <w:jc w:val="both"/>
        <w:outlineLvl w:val="3"/>
        <w:rPr>
          <w:rFonts w:ascii="Calibri" w:hAnsi="Calibri"/>
          <w:bCs/>
          <w:i/>
          <w:iCs/>
          <w:color w:val="2F5496"/>
          <w:sz w:val="24"/>
          <w:szCs w:val="24"/>
          <w:lang w:eastAsia="bg-BG"/>
        </w:rPr>
      </w:pPr>
      <w:r w:rsidRPr="00F8728A">
        <w:rPr>
          <w:rFonts w:ascii="Calibri" w:hAnsi="Calibri"/>
          <w:bCs/>
          <w:i/>
          <w:iCs/>
          <w:color w:val="2F5496"/>
          <w:sz w:val="24"/>
          <w:szCs w:val="24"/>
          <w:lang w:eastAsia="bg-BG"/>
        </w:rPr>
        <w:t>Категория „Образование“</w:t>
      </w:r>
    </w:p>
    <w:p w:rsidR="00AA4661" w:rsidRPr="00B73D7E" w:rsidRDefault="00AA4661" w:rsidP="00CF297A">
      <w:pPr>
        <w:pStyle w:val="BodyText"/>
        <w:numPr>
          <w:ilvl w:val="0"/>
          <w:numId w:val="41"/>
        </w:numPr>
        <w:ind w:left="0" w:firstLine="0"/>
        <w:rPr>
          <w:lang w:val="bg-BG"/>
        </w:rPr>
      </w:pPr>
      <w:r w:rsidRPr="00B73D7E">
        <w:rPr>
          <w:lang w:val="bg-BG"/>
        </w:rPr>
        <w:t>В категорията за АИК "Образование" бяха определени нуждите от различни форми обща информация, обучение и преквалификация на целеви групи, свързани с градската среда - политици, администратори, експерти, учени и широката общественост. Самото име на тази група от възможности предполага концепция за реализиране чрез постепенно разширяване и разпространение на знания. Това също така определя връзките на категорията с политиките, информацията, научните изследвания, институционалното укрепване, развитието на капацитета, технологичните иновации, както и изграждането на партньорства. Тези връзки определят и различните видове знания и умения, които са необходими - специализирани за специфичните въздействия на изменението на климата върху градската среда и населението и потенциал за смекчаване на негативните последици и общи - за водене на преговори, за разрешаване на конфликти, за постигане на консенсус и за комуникация.</w:t>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0A0" w:firstRow="1" w:lastRow="0" w:firstColumn="1" w:lastColumn="0" w:noHBand="0" w:noVBand="0"/>
      </w:tblPr>
      <w:tblGrid>
        <w:gridCol w:w="9000"/>
      </w:tblGrid>
      <w:tr w:rsidR="00AA4661" w:rsidRPr="00F8728A" w:rsidTr="00716CFD">
        <w:trPr>
          <w:trHeight w:val="388"/>
          <w:jc w:val="center"/>
        </w:trPr>
        <w:tc>
          <w:tcPr>
            <w:tcW w:w="9000" w:type="dxa"/>
            <w:shd w:val="clear" w:color="auto" w:fill="365F91"/>
            <w:vAlign w:val="center"/>
          </w:tcPr>
          <w:p w:rsidR="00AA4661" w:rsidRPr="00F8728A" w:rsidRDefault="00AA4661" w:rsidP="00716CFD">
            <w:pPr>
              <w:spacing w:before="60" w:after="60"/>
              <w:ind w:left="360"/>
              <w:jc w:val="center"/>
              <w:rPr>
                <w:rFonts w:ascii="Calibri" w:hAnsi="Calibri" w:cs="Calibri"/>
                <w:color w:val="000000"/>
                <w:sz w:val="22"/>
              </w:rPr>
            </w:pPr>
            <w:r w:rsidRPr="00F8728A">
              <w:rPr>
                <w:rFonts w:ascii="Calibri" w:hAnsi="Calibri" w:cs="Calibri"/>
                <w:b/>
                <w:bCs/>
                <w:color w:val="FFFFFF"/>
                <w:sz w:val="26"/>
                <w:szCs w:val="26"/>
              </w:rPr>
              <w:t>ОПЦИИ ЗА АДАПТАЦИЯ КЪМ ИЗМЕНЕНИЕТО НА КЛИМАТА</w:t>
            </w:r>
          </w:p>
        </w:tc>
      </w:tr>
      <w:tr w:rsidR="00AA4661" w:rsidRPr="00F8728A" w:rsidTr="0078573D">
        <w:trPr>
          <w:trHeight w:val="36"/>
          <w:jc w:val="center"/>
        </w:trPr>
        <w:tc>
          <w:tcPr>
            <w:tcW w:w="9000" w:type="dxa"/>
            <w:shd w:val="clear" w:color="auto" w:fill="A8D08D"/>
            <w:vAlign w:val="center"/>
          </w:tcPr>
          <w:p w:rsidR="00AA4661" w:rsidRPr="00F8728A" w:rsidRDefault="00AA4661" w:rsidP="00CF297A">
            <w:pPr>
              <w:numPr>
                <w:ilvl w:val="0"/>
                <w:numId w:val="47"/>
              </w:numPr>
              <w:spacing w:before="60" w:after="60"/>
              <w:ind w:left="734" w:hanging="547"/>
              <w:jc w:val="both"/>
              <w:rPr>
                <w:rFonts w:ascii="Calibri" w:hAnsi="Calibri" w:cs="Calibri"/>
                <w:b/>
                <w:bCs/>
                <w:color w:val="000000"/>
                <w:sz w:val="24"/>
                <w:szCs w:val="24"/>
              </w:rPr>
            </w:pPr>
            <w:r w:rsidRPr="00F8728A">
              <w:rPr>
                <w:rFonts w:ascii="Calibri" w:hAnsi="Calibri" w:cs="Calibri"/>
                <w:b/>
                <w:bCs/>
                <w:smallCaps/>
                <w:color w:val="000000"/>
                <w:sz w:val="24"/>
                <w:szCs w:val="24"/>
                <w:shd w:val="clear" w:color="auto" w:fill="A8D08D"/>
              </w:rPr>
              <w:t xml:space="preserve">Образование - </w:t>
            </w:r>
            <w:r w:rsidRPr="00F8728A">
              <w:rPr>
                <w:rFonts w:ascii="Calibri" w:hAnsi="Calibri" w:cs="Calibri"/>
                <w:b/>
                <w:bCs/>
                <w:color w:val="000000"/>
                <w:sz w:val="24"/>
                <w:szCs w:val="24"/>
                <w:shd w:val="clear" w:color="auto" w:fill="A8D08D"/>
              </w:rPr>
              <w:t>“Обучаване</w:t>
            </w:r>
            <w:r w:rsidRPr="00F8728A">
              <w:rPr>
                <w:rFonts w:ascii="Calibri" w:hAnsi="Calibri" w:cs="Calibri"/>
                <w:b/>
                <w:bCs/>
                <w:color w:val="000000"/>
                <w:sz w:val="24"/>
                <w:szCs w:val="24"/>
              </w:rPr>
              <w:t xml:space="preserve"> на обучаващите” за АИК</w:t>
            </w:r>
          </w:p>
        </w:tc>
      </w:tr>
      <w:tr w:rsidR="00AA4661" w:rsidRPr="00F8728A" w:rsidTr="00716CFD">
        <w:trPr>
          <w:trHeight w:val="388"/>
          <w:jc w:val="center"/>
        </w:trPr>
        <w:tc>
          <w:tcPr>
            <w:tcW w:w="9000" w:type="dxa"/>
            <w:vAlign w:val="center"/>
          </w:tcPr>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Организиране на обучение в подходящ формат за обучаване на всички нива – от политици до обществеността</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Създаване на съвместни многодисциплинарни курсове за урбанисти, архитекти, инженери, ландшафтни архитекти, еколози, икономисти, социолози и финансисти на ниво магистър</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Осигуряване на обучение и организиране на тематични докторантури</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Развиване на интерактивна платформа за АИК за дистанционно и отворено обучение в подкрепа на политици, администратори, професионалисти, НПО и обществеността със специални приложения за хора с увреждания</w:t>
            </w:r>
          </w:p>
        </w:tc>
      </w:tr>
    </w:tbl>
    <w:p w:rsidR="00AA4661" w:rsidRPr="00F8728A" w:rsidRDefault="00AA4661" w:rsidP="00656190">
      <w:pPr>
        <w:keepNext/>
        <w:keepLines/>
        <w:autoSpaceDE w:val="0"/>
        <w:autoSpaceDN w:val="0"/>
        <w:adjustRightInd w:val="0"/>
        <w:spacing w:before="240" w:after="60"/>
        <w:jc w:val="both"/>
        <w:outlineLvl w:val="3"/>
        <w:rPr>
          <w:rFonts w:ascii="Calibri" w:hAnsi="Calibri"/>
          <w:bCs/>
          <w:i/>
          <w:iCs/>
          <w:color w:val="2F5496"/>
          <w:sz w:val="24"/>
          <w:szCs w:val="24"/>
          <w:lang w:eastAsia="bg-BG"/>
        </w:rPr>
      </w:pPr>
      <w:r w:rsidRPr="00F8728A">
        <w:rPr>
          <w:rFonts w:ascii="Calibri" w:hAnsi="Calibri"/>
          <w:bCs/>
          <w:i/>
          <w:iCs/>
          <w:color w:val="2F5496"/>
          <w:sz w:val="24"/>
          <w:szCs w:val="24"/>
          <w:lang w:eastAsia="bg-BG"/>
        </w:rPr>
        <w:t>Категория „Технология/Строителство“</w:t>
      </w:r>
    </w:p>
    <w:p w:rsidR="00AA4661" w:rsidRPr="00B73D7E" w:rsidRDefault="00AA4661" w:rsidP="00CF297A">
      <w:pPr>
        <w:pStyle w:val="BodyText"/>
        <w:numPr>
          <w:ilvl w:val="0"/>
          <w:numId w:val="41"/>
        </w:numPr>
        <w:ind w:left="0" w:firstLine="0"/>
        <w:rPr>
          <w:lang w:val="bg-BG"/>
        </w:rPr>
      </w:pPr>
      <w:r w:rsidRPr="00B73D7E">
        <w:rPr>
          <w:lang w:val="bg-BG"/>
        </w:rPr>
        <w:t xml:space="preserve">Иновациите в строителството осигуряват възможности за справяне с климатичните промени. Иновационните методи на строителство, технологии, материали и конструкции се прилагат от незначителен брой големи компании, което прави иновациите все още слабо представени в страната. До известна степен </w:t>
      </w:r>
      <w:r w:rsidRPr="00B73D7E">
        <w:rPr>
          <w:lang w:val="bg-BG"/>
        </w:rPr>
        <w:lastRenderedPageBreak/>
        <w:t xml:space="preserve">прилаганите иновации се отнасят не само до строителния процес, но и до всички предишни и последващи действия и етапи в планирането, изграждането, използването и управлението на градската среда. Вариантите за АИК, определени в категорията "Технологии/Строителство", не са изчерпателни и са свързани с категориите "Политика", "Изследвания" и "Образование", както и с развитието на експертен и научен капацитет. </w:t>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0A0" w:firstRow="1" w:lastRow="0" w:firstColumn="1" w:lastColumn="0" w:noHBand="0" w:noVBand="0"/>
      </w:tblPr>
      <w:tblGrid>
        <w:gridCol w:w="9000"/>
      </w:tblGrid>
      <w:tr w:rsidR="00AA4661" w:rsidRPr="00F8728A" w:rsidTr="00716CFD">
        <w:trPr>
          <w:trHeight w:val="388"/>
          <w:jc w:val="center"/>
        </w:trPr>
        <w:tc>
          <w:tcPr>
            <w:tcW w:w="9000" w:type="dxa"/>
            <w:shd w:val="clear" w:color="auto" w:fill="365F91"/>
            <w:vAlign w:val="center"/>
          </w:tcPr>
          <w:p w:rsidR="00AA4661" w:rsidRPr="00F8728A" w:rsidRDefault="00AA4661" w:rsidP="00716CFD">
            <w:pPr>
              <w:spacing w:before="60" w:after="60"/>
              <w:ind w:left="360"/>
              <w:jc w:val="center"/>
              <w:rPr>
                <w:rFonts w:ascii="Calibri" w:hAnsi="Calibri" w:cs="Calibri"/>
                <w:color w:val="000000"/>
                <w:sz w:val="22"/>
              </w:rPr>
            </w:pPr>
            <w:r w:rsidRPr="00F8728A">
              <w:rPr>
                <w:rFonts w:ascii="Calibri" w:hAnsi="Calibri" w:cs="Calibri"/>
                <w:b/>
                <w:bCs/>
                <w:color w:val="FFFFFF"/>
                <w:sz w:val="26"/>
                <w:szCs w:val="26"/>
              </w:rPr>
              <w:t>ОПЦИИ ЗА АДАПТАЦИЯ КЪМ ИЗМЕНЕНИЕТО НА КЛИМАТА</w:t>
            </w:r>
          </w:p>
        </w:tc>
      </w:tr>
      <w:tr w:rsidR="00AA4661" w:rsidRPr="00F8728A" w:rsidTr="0078573D">
        <w:trPr>
          <w:trHeight w:val="36"/>
          <w:jc w:val="center"/>
        </w:trPr>
        <w:tc>
          <w:tcPr>
            <w:tcW w:w="9000" w:type="dxa"/>
            <w:shd w:val="clear" w:color="auto" w:fill="A8D08D"/>
            <w:vAlign w:val="center"/>
          </w:tcPr>
          <w:p w:rsidR="00AA4661" w:rsidRPr="00F8728A" w:rsidRDefault="00AA4661" w:rsidP="00CF297A">
            <w:pPr>
              <w:numPr>
                <w:ilvl w:val="0"/>
                <w:numId w:val="47"/>
              </w:numPr>
              <w:spacing w:before="60" w:after="60"/>
              <w:ind w:left="734" w:hanging="547"/>
              <w:jc w:val="both"/>
              <w:rPr>
                <w:rFonts w:ascii="Calibri" w:hAnsi="Calibri" w:cs="Calibri"/>
                <w:b/>
                <w:bCs/>
                <w:color w:val="000000"/>
                <w:sz w:val="24"/>
                <w:szCs w:val="24"/>
              </w:rPr>
            </w:pPr>
            <w:r w:rsidRPr="00F8728A">
              <w:rPr>
                <w:rFonts w:ascii="Calibri" w:hAnsi="Calibri" w:cs="Calibri"/>
                <w:b/>
                <w:bCs/>
                <w:smallCaps/>
                <w:color w:val="000000"/>
                <w:sz w:val="24"/>
                <w:szCs w:val="24"/>
              </w:rPr>
              <w:t xml:space="preserve">Технология / Строителство – </w:t>
            </w:r>
            <w:r w:rsidRPr="00F8728A">
              <w:rPr>
                <w:rFonts w:ascii="Calibri" w:hAnsi="Calibri" w:cs="Calibri"/>
                <w:b/>
                <w:bCs/>
                <w:color w:val="000000"/>
                <w:sz w:val="24"/>
                <w:szCs w:val="24"/>
              </w:rPr>
              <w:t xml:space="preserve">Прилагане на нови Еврокодове и технически норми </w:t>
            </w:r>
            <w:r w:rsidRPr="00F8728A">
              <w:rPr>
                <w:rFonts w:ascii="Calibri" w:hAnsi="Calibri" w:cs="Calibri"/>
                <w:b/>
                <w:bCs/>
                <w:color w:val="000000"/>
                <w:sz w:val="24"/>
                <w:szCs w:val="24"/>
                <w:shd w:val="clear" w:color="auto" w:fill="A8D08D"/>
              </w:rPr>
              <w:t>в планирането, проектирането</w:t>
            </w:r>
            <w:r w:rsidRPr="00F8728A">
              <w:rPr>
                <w:rFonts w:ascii="Calibri" w:hAnsi="Calibri" w:cs="Calibri"/>
                <w:b/>
                <w:bCs/>
                <w:color w:val="000000"/>
                <w:sz w:val="24"/>
                <w:szCs w:val="24"/>
              </w:rPr>
              <w:t>, технологиите на изграждане и строителните материали</w:t>
            </w:r>
          </w:p>
        </w:tc>
      </w:tr>
      <w:tr w:rsidR="00AA4661" w:rsidRPr="00F8728A" w:rsidTr="00716CFD">
        <w:trPr>
          <w:trHeight w:val="388"/>
          <w:jc w:val="center"/>
        </w:trPr>
        <w:tc>
          <w:tcPr>
            <w:tcW w:w="9000" w:type="dxa"/>
            <w:vAlign w:val="center"/>
          </w:tcPr>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Подобряване на строителния надзор и този върху поддръжката, наблюдение и контрол и TQM системи за проекти и строителство</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Насърчаване на креативния градски дизайн, устойчив на ИК</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Популяризиране на планирането, проектирането и сертифицирането на зелени, интелигентни и иновативни градове, сгради и технологии.</w:t>
            </w:r>
            <w:r w:rsidRPr="00F8728A">
              <w:rPr>
                <w:rFonts w:ascii="Times New Roman" w:hAnsi="Times New Roman"/>
                <w:sz w:val="22"/>
              </w:rPr>
              <w:t xml:space="preserve"> </w:t>
            </w:r>
          </w:p>
        </w:tc>
      </w:tr>
    </w:tbl>
    <w:p w:rsidR="00AA4661" w:rsidRPr="00F8728A" w:rsidRDefault="00AA4661" w:rsidP="00656190">
      <w:pPr>
        <w:keepNext/>
        <w:keepLines/>
        <w:autoSpaceDE w:val="0"/>
        <w:autoSpaceDN w:val="0"/>
        <w:adjustRightInd w:val="0"/>
        <w:spacing w:before="240" w:after="60"/>
        <w:jc w:val="both"/>
        <w:outlineLvl w:val="3"/>
        <w:rPr>
          <w:rFonts w:ascii="Calibri" w:hAnsi="Calibri"/>
          <w:bCs/>
          <w:i/>
          <w:iCs/>
          <w:color w:val="2F5496"/>
          <w:sz w:val="24"/>
          <w:szCs w:val="24"/>
          <w:lang w:eastAsia="bg-BG"/>
        </w:rPr>
      </w:pPr>
      <w:r w:rsidRPr="00F8728A">
        <w:rPr>
          <w:rFonts w:ascii="Calibri" w:hAnsi="Calibri"/>
          <w:bCs/>
          <w:i/>
          <w:iCs/>
          <w:color w:val="2F5496"/>
          <w:sz w:val="24"/>
          <w:szCs w:val="24"/>
          <w:lang w:eastAsia="bg-BG"/>
        </w:rPr>
        <w:t>Категория „Капацитет“</w:t>
      </w:r>
    </w:p>
    <w:p w:rsidR="00AA4661" w:rsidRPr="00B73D7E" w:rsidRDefault="00AA4661" w:rsidP="00CF297A">
      <w:pPr>
        <w:pStyle w:val="BodyText"/>
        <w:numPr>
          <w:ilvl w:val="0"/>
          <w:numId w:val="41"/>
        </w:numPr>
        <w:ind w:left="0" w:firstLine="0"/>
        <w:rPr>
          <w:lang w:val="bg-BG"/>
        </w:rPr>
      </w:pPr>
      <w:r w:rsidRPr="00B73D7E">
        <w:rPr>
          <w:lang w:val="bg-BG"/>
        </w:rPr>
        <w:t>Развитието на институционален, административен и експертен капацитет засяга всички нива и участници в разработването и прилагането на варианти на АИК за градската среда. Развитието на знания и капацитет имат еднаква тежест, както на най-високото (централно) равнище на управление, така и на местно. Независимо от подкрепата на ЕС за разработването на национални и градски стратегии за АИК, е необходима допълнителна подкрепа на местно равнище. Развитието на капацитета, което се нуждае от добре развити информационни системи и образователни програми, е предпоставка за прилагането на вариантите за АИК в другите категории.</w:t>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0A0" w:firstRow="1" w:lastRow="0" w:firstColumn="1" w:lastColumn="0" w:noHBand="0" w:noVBand="0"/>
      </w:tblPr>
      <w:tblGrid>
        <w:gridCol w:w="9000"/>
      </w:tblGrid>
      <w:tr w:rsidR="00AA4661" w:rsidRPr="00F8728A" w:rsidTr="00716CFD">
        <w:trPr>
          <w:trHeight w:val="388"/>
          <w:jc w:val="center"/>
        </w:trPr>
        <w:tc>
          <w:tcPr>
            <w:tcW w:w="9000" w:type="dxa"/>
            <w:shd w:val="clear" w:color="auto" w:fill="365F91"/>
            <w:vAlign w:val="center"/>
          </w:tcPr>
          <w:p w:rsidR="00AA4661" w:rsidRPr="00F8728A" w:rsidRDefault="00AA4661" w:rsidP="00716CFD">
            <w:pPr>
              <w:spacing w:before="60" w:after="60"/>
              <w:ind w:left="360"/>
              <w:jc w:val="center"/>
              <w:rPr>
                <w:rFonts w:ascii="Calibri" w:hAnsi="Calibri" w:cs="Calibri"/>
                <w:color w:val="000000"/>
                <w:sz w:val="22"/>
              </w:rPr>
            </w:pPr>
            <w:r w:rsidRPr="00F8728A">
              <w:rPr>
                <w:rFonts w:ascii="Calibri" w:hAnsi="Calibri" w:cs="Calibri"/>
                <w:b/>
                <w:bCs/>
                <w:color w:val="FFFFFF"/>
                <w:sz w:val="26"/>
                <w:szCs w:val="26"/>
              </w:rPr>
              <w:t>ОПЦИИ ЗА АДАПТАЦИЯ КЪМ ИЗМЕНЕНИЕТО НА КЛИМАТА</w:t>
            </w:r>
          </w:p>
        </w:tc>
      </w:tr>
      <w:tr w:rsidR="00AA4661" w:rsidRPr="00F8728A" w:rsidTr="0078573D">
        <w:trPr>
          <w:trHeight w:val="36"/>
          <w:jc w:val="center"/>
        </w:trPr>
        <w:tc>
          <w:tcPr>
            <w:tcW w:w="9000" w:type="dxa"/>
            <w:shd w:val="clear" w:color="auto" w:fill="A8D08D"/>
            <w:vAlign w:val="center"/>
          </w:tcPr>
          <w:p w:rsidR="00AA4661" w:rsidRPr="00F8728A" w:rsidRDefault="00AA4661" w:rsidP="00CF297A">
            <w:pPr>
              <w:numPr>
                <w:ilvl w:val="0"/>
                <w:numId w:val="47"/>
              </w:numPr>
              <w:spacing w:before="20" w:after="20"/>
              <w:ind w:left="728" w:hanging="540"/>
              <w:contextualSpacing/>
              <w:jc w:val="both"/>
              <w:rPr>
                <w:rFonts w:ascii="Calibri" w:hAnsi="Calibri" w:cs="Calibri"/>
                <w:b/>
                <w:bCs/>
                <w:color w:val="000000"/>
                <w:sz w:val="24"/>
                <w:szCs w:val="24"/>
              </w:rPr>
            </w:pPr>
            <w:r w:rsidRPr="00F8728A">
              <w:rPr>
                <w:rFonts w:ascii="Calibri" w:hAnsi="Calibri" w:cs="Calibri"/>
                <w:b/>
                <w:bCs/>
                <w:smallCaps/>
                <w:color w:val="000000"/>
                <w:sz w:val="28"/>
                <w:szCs w:val="28"/>
              </w:rPr>
              <w:t xml:space="preserve">Капацитет – </w:t>
            </w:r>
            <w:r w:rsidRPr="00F8728A">
              <w:rPr>
                <w:rFonts w:ascii="Calibri" w:hAnsi="Calibri" w:cs="Calibri"/>
                <w:b/>
                <w:bCs/>
                <w:color w:val="000000"/>
                <w:sz w:val="24"/>
                <w:szCs w:val="24"/>
              </w:rPr>
              <w:t>Развитие и повишаване на институционалния, административен и експертен капа</w:t>
            </w:r>
            <w:r w:rsidRPr="00F8728A">
              <w:rPr>
                <w:rFonts w:ascii="Calibri" w:hAnsi="Calibri" w:cs="Calibri"/>
                <w:b/>
                <w:bCs/>
                <w:color w:val="000000"/>
                <w:sz w:val="24"/>
                <w:szCs w:val="24"/>
                <w:shd w:val="clear" w:color="auto" w:fill="A8D08D"/>
              </w:rPr>
              <w:t>цитет</w:t>
            </w:r>
          </w:p>
        </w:tc>
      </w:tr>
      <w:tr w:rsidR="00AA4661" w:rsidRPr="00F8728A" w:rsidTr="00716CFD">
        <w:trPr>
          <w:trHeight w:val="388"/>
          <w:jc w:val="center"/>
        </w:trPr>
        <w:tc>
          <w:tcPr>
            <w:tcW w:w="9000" w:type="dxa"/>
            <w:vAlign w:val="center"/>
          </w:tcPr>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Изграждане на капацитета на обектите за извънредни ситуации и УРБ, осигуряване на достатъчно и съвременно оборудване и финансова подкрепа</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Осигуряване на подходяща точна и актуална информация</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Развиване на осведоменост, ангажираност, знания за АИК и съответна култура сред широката общественост</w:t>
            </w:r>
          </w:p>
        </w:tc>
      </w:tr>
    </w:tbl>
    <w:p w:rsidR="00AA4661" w:rsidRPr="00F8728A" w:rsidRDefault="00AA4661" w:rsidP="00656190">
      <w:pPr>
        <w:keepNext/>
        <w:keepLines/>
        <w:autoSpaceDE w:val="0"/>
        <w:autoSpaceDN w:val="0"/>
        <w:adjustRightInd w:val="0"/>
        <w:spacing w:before="240" w:after="60"/>
        <w:jc w:val="both"/>
        <w:outlineLvl w:val="3"/>
        <w:rPr>
          <w:rFonts w:ascii="Calibri" w:hAnsi="Calibri"/>
          <w:bCs/>
          <w:i/>
          <w:iCs/>
          <w:color w:val="2F5496"/>
          <w:sz w:val="24"/>
          <w:szCs w:val="24"/>
          <w:lang w:eastAsia="bg-BG"/>
        </w:rPr>
      </w:pPr>
      <w:r w:rsidRPr="00F8728A">
        <w:rPr>
          <w:rFonts w:ascii="Calibri" w:hAnsi="Calibri"/>
          <w:bCs/>
          <w:i/>
          <w:iCs/>
          <w:color w:val="2F5496"/>
          <w:sz w:val="24"/>
          <w:szCs w:val="24"/>
          <w:lang w:eastAsia="bg-BG"/>
        </w:rPr>
        <w:t xml:space="preserve">Категория „Партньорство“ </w:t>
      </w:r>
    </w:p>
    <w:p w:rsidR="00AA4661" w:rsidRPr="00F8728A" w:rsidRDefault="00AA4661" w:rsidP="00CF297A">
      <w:pPr>
        <w:widowControl w:val="0"/>
        <w:numPr>
          <w:ilvl w:val="0"/>
          <w:numId w:val="41"/>
        </w:numPr>
        <w:autoSpaceDE w:val="0"/>
        <w:autoSpaceDN w:val="0"/>
        <w:adjustRightInd w:val="0"/>
        <w:spacing w:after="120" w:line="276" w:lineRule="auto"/>
        <w:ind w:left="0" w:firstLine="0"/>
        <w:jc w:val="both"/>
        <w:rPr>
          <w:rFonts w:ascii="Times New Roman" w:eastAsia="MS Mincho" w:hAnsi="Times New Roman"/>
          <w:sz w:val="24"/>
          <w:szCs w:val="24"/>
          <w:lang w:eastAsia="bg-BG"/>
        </w:rPr>
      </w:pPr>
      <w:r w:rsidRPr="00F8728A">
        <w:rPr>
          <w:rFonts w:ascii="Times New Roman" w:eastAsia="MS Mincho" w:hAnsi="Times New Roman"/>
          <w:sz w:val="24"/>
          <w:szCs w:val="24"/>
          <w:lang w:eastAsia="bg-BG"/>
        </w:rPr>
        <w:t xml:space="preserve">Партньорството е в основата на много стратегии за АИК на Европейски страни. Идентифицираните възможности в тази категория показват пълно покритие на всички заинтересовани страни и целеви групи, включително онези, които имат най-голяма нужда от подкрепа и които трябва да станат част от трупите за взаимодействие. Серия от финансирани от ЕС проекти (вж. </w:t>
      </w:r>
      <w:r w:rsidRPr="00F8728A">
        <w:rPr>
          <w:rFonts w:ascii="Times New Roman" w:eastAsia="MS Mincho" w:hAnsi="Times New Roman"/>
          <w:b/>
          <w:i/>
          <w:iCs/>
          <w:sz w:val="24"/>
          <w:szCs w:val="24"/>
          <w:lang w:eastAsia="bg-BG"/>
        </w:rPr>
        <w:t xml:space="preserve">приложение </w:t>
      </w:r>
      <w:r w:rsidR="008276B1" w:rsidRPr="00F8728A">
        <w:rPr>
          <w:rFonts w:ascii="Times New Roman" w:eastAsia="MS Mincho" w:hAnsi="Times New Roman"/>
          <w:b/>
          <w:i/>
          <w:iCs/>
          <w:sz w:val="24"/>
          <w:szCs w:val="24"/>
          <w:lang w:eastAsia="bg-BG"/>
        </w:rPr>
        <w:t>10</w:t>
      </w:r>
      <w:r w:rsidRPr="00F8728A">
        <w:rPr>
          <w:rFonts w:ascii="Times New Roman" w:eastAsia="MS Mincho" w:hAnsi="Times New Roman"/>
          <w:sz w:val="24"/>
          <w:szCs w:val="24"/>
          <w:lang w:eastAsia="bg-BG"/>
        </w:rPr>
        <w:t xml:space="preserve">) и изградени платформи подкрепят развитието на партньорства. Изискванията на част от Европейските фондове налагат партньорство в прилагането на проекти за градска среда и участие на частния и </w:t>
      </w:r>
      <w:r w:rsidRPr="00F8728A">
        <w:rPr>
          <w:rFonts w:ascii="Times New Roman" w:eastAsia="MS Mincho" w:hAnsi="Times New Roman"/>
          <w:sz w:val="24"/>
          <w:szCs w:val="24"/>
          <w:lang w:eastAsia="bg-BG"/>
        </w:rPr>
        <w:lastRenderedPageBreak/>
        <w:t xml:space="preserve">публичния сектор. Това предполага, че част от идентифицираните и избрани варианти за АИК ще се развият на тази основа. </w:t>
      </w:r>
    </w:p>
    <w:p w:rsidR="00AA4661" w:rsidRPr="00B73D7E" w:rsidRDefault="00AA4661" w:rsidP="00CF297A">
      <w:pPr>
        <w:pStyle w:val="BodyText"/>
        <w:numPr>
          <w:ilvl w:val="0"/>
          <w:numId w:val="41"/>
        </w:numPr>
        <w:ind w:left="0" w:firstLine="0"/>
        <w:rPr>
          <w:lang w:val="bg-BG"/>
        </w:rPr>
      </w:pPr>
      <w:r w:rsidRPr="00B73D7E">
        <w:rPr>
          <w:lang w:val="bg-BG"/>
        </w:rPr>
        <w:t xml:space="preserve">В контекста на недостига на ресурси (финансови, човешки, време, информация, технологии и т.н.) партньорствата са единственият резерв за умножаване на ефекта от усилията за АИК. Това включва партньорства на всички нива (квартал, град, община, регион, държава и между всички заинтересовани страни). Тяхната поява, стимулиране и функциониране са силно зависими от категориите "Законодателство" и "Финанси". </w:t>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0A0" w:firstRow="1" w:lastRow="0" w:firstColumn="1" w:lastColumn="0" w:noHBand="0" w:noVBand="0"/>
      </w:tblPr>
      <w:tblGrid>
        <w:gridCol w:w="9000"/>
      </w:tblGrid>
      <w:tr w:rsidR="00AA4661" w:rsidRPr="00F8728A" w:rsidTr="00716CFD">
        <w:trPr>
          <w:trHeight w:val="388"/>
          <w:jc w:val="center"/>
        </w:trPr>
        <w:tc>
          <w:tcPr>
            <w:tcW w:w="9000" w:type="dxa"/>
            <w:shd w:val="clear" w:color="auto" w:fill="365F91"/>
            <w:vAlign w:val="center"/>
          </w:tcPr>
          <w:p w:rsidR="00AA4661" w:rsidRPr="00F8728A" w:rsidRDefault="00AA4661" w:rsidP="00716CFD">
            <w:pPr>
              <w:spacing w:before="60" w:after="60"/>
              <w:ind w:left="360"/>
              <w:jc w:val="center"/>
              <w:rPr>
                <w:rFonts w:ascii="Calibri" w:hAnsi="Calibri" w:cs="Calibri"/>
                <w:color w:val="000000"/>
                <w:sz w:val="22"/>
              </w:rPr>
            </w:pPr>
            <w:r w:rsidRPr="00F8728A">
              <w:rPr>
                <w:rFonts w:ascii="Calibri" w:hAnsi="Calibri" w:cs="Calibri"/>
                <w:b/>
                <w:bCs/>
                <w:color w:val="FFFFFF"/>
                <w:sz w:val="26"/>
                <w:szCs w:val="26"/>
              </w:rPr>
              <w:t>ОПЦИИ ЗА АДАПТАЦИЯ КЪМ ИЗМЕНЕНИЕТО НА КЛИМАТА</w:t>
            </w:r>
          </w:p>
        </w:tc>
      </w:tr>
      <w:tr w:rsidR="00AA4661" w:rsidRPr="00F8728A" w:rsidTr="00AA2BBD">
        <w:trPr>
          <w:trHeight w:val="36"/>
          <w:jc w:val="center"/>
        </w:trPr>
        <w:tc>
          <w:tcPr>
            <w:tcW w:w="9000" w:type="dxa"/>
            <w:shd w:val="clear" w:color="auto" w:fill="A8D08D"/>
            <w:vAlign w:val="center"/>
          </w:tcPr>
          <w:p w:rsidR="00AA4661" w:rsidRPr="00F8728A" w:rsidRDefault="00AA4661" w:rsidP="00CF297A">
            <w:pPr>
              <w:numPr>
                <w:ilvl w:val="0"/>
                <w:numId w:val="47"/>
              </w:numPr>
              <w:spacing w:before="60" w:after="60"/>
              <w:ind w:left="734" w:hanging="547"/>
              <w:jc w:val="both"/>
              <w:rPr>
                <w:rFonts w:ascii="Calibri" w:hAnsi="Calibri" w:cs="Calibri"/>
                <w:b/>
                <w:bCs/>
                <w:color w:val="000000"/>
                <w:sz w:val="24"/>
                <w:szCs w:val="24"/>
              </w:rPr>
            </w:pPr>
            <w:r w:rsidRPr="00F8728A">
              <w:rPr>
                <w:rFonts w:ascii="Calibri" w:hAnsi="Calibri" w:cs="Calibri"/>
                <w:b/>
                <w:bCs/>
                <w:smallCaps/>
                <w:color w:val="000000"/>
                <w:sz w:val="28"/>
                <w:szCs w:val="28"/>
              </w:rPr>
              <w:t xml:space="preserve">Партньорство </w:t>
            </w:r>
            <w:r w:rsidRPr="00F8728A">
              <w:rPr>
                <w:rFonts w:ascii="Calibri" w:hAnsi="Calibri" w:cs="Calibri"/>
                <w:b/>
                <w:bCs/>
                <w:smallCaps/>
                <w:color w:val="000000"/>
                <w:sz w:val="28"/>
                <w:szCs w:val="28"/>
                <w:shd w:val="clear" w:color="auto" w:fill="A8D08D"/>
              </w:rPr>
              <w:t xml:space="preserve">- </w:t>
            </w:r>
            <w:r w:rsidRPr="00F8728A">
              <w:rPr>
                <w:rFonts w:ascii="Calibri" w:hAnsi="Calibri" w:cs="Calibri"/>
                <w:b/>
                <w:bCs/>
                <w:color w:val="000000"/>
                <w:sz w:val="24"/>
                <w:szCs w:val="24"/>
                <w:shd w:val="clear" w:color="auto" w:fill="A8D08D"/>
              </w:rPr>
              <w:t>Работа в партньорство и комуникация на</w:t>
            </w:r>
            <w:r w:rsidRPr="00F8728A">
              <w:rPr>
                <w:rFonts w:ascii="Calibri" w:hAnsi="Calibri" w:cs="Calibri"/>
                <w:b/>
                <w:bCs/>
                <w:color w:val="000000"/>
                <w:sz w:val="24"/>
                <w:szCs w:val="24"/>
              </w:rPr>
              <w:t xml:space="preserve"> знания</w:t>
            </w:r>
          </w:p>
        </w:tc>
      </w:tr>
      <w:tr w:rsidR="00AA4661" w:rsidRPr="00F8728A" w:rsidTr="00716CFD">
        <w:trPr>
          <w:trHeight w:val="388"/>
          <w:jc w:val="center"/>
        </w:trPr>
        <w:tc>
          <w:tcPr>
            <w:tcW w:w="9000" w:type="dxa"/>
            <w:vAlign w:val="center"/>
          </w:tcPr>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 xml:space="preserve">Насърчаване на партньорството, работата в мрежа  и сътрудничеството сред различните възрастови, полови, етнически, професионални и социални групи, включително тези в неравностойно положение </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Популяризиране и подкрепа на работата в мрежа</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 xml:space="preserve">Организиране на социална мрежа за подкрепа на уязвимите групи </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Развиване на публично-частни партньорства</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Подкрепа на ефективността на НПО</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Работа с медиите за популяризиране на системата за АИК</w:t>
            </w:r>
          </w:p>
        </w:tc>
      </w:tr>
    </w:tbl>
    <w:p w:rsidR="00AA4661" w:rsidRPr="00F8728A" w:rsidRDefault="00AA4661" w:rsidP="00CF297A">
      <w:pPr>
        <w:widowControl w:val="0"/>
        <w:numPr>
          <w:ilvl w:val="0"/>
          <w:numId w:val="41"/>
        </w:numPr>
        <w:autoSpaceDE w:val="0"/>
        <w:autoSpaceDN w:val="0"/>
        <w:adjustRightInd w:val="0"/>
        <w:spacing w:before="160" w:after="120" w:line="276" w:lineRule="auto"/>
        <w:ind w:left="0" w:firstLine="0"/>
        <w:jc w:val="both"/>
        <w:rPr>
          <w:rFonts w:ascii="Times New Roman" w:eastAsia="MS Mincho" w:hAnsi="Times New Roman"/>
          <w:sz w:val="24"/>
          <w:szCs w:val="24"/>
          <w:lang w:eastAsia="bg-BG"/>
        </w:rPr>
      </w:pPr>
      <w:r w:rsidRPr="00F8728A">
        <w:rPr>
          <w:rFonts w:ascii="Times New Roman" w:eastAsia="MS Mincho" w:hAnsi="Times New Roman"/>
          <w:sz w:val="24"/>
          <w:szCs w:val="24"/>
          <w:lang w:eastAsia="bg-BG"/>
        </w:rPr>
        <w:t xml:space="preserve">Повечето от идентифицираните варианти за АИК могат да се приемат за ‘хоризонтални’ понеже се отнасят до всички заинтересовани страни и до всички елементи в процеса на адаптиране на градската среда, от програмирането и планирането до прилагането, изпълнението и използването на градската среда. Те са пряко свързани с ‘вертикалните’, специфични за градската среда варианти за адаптация, които предлагат широк набор от конкретни и реалистични действия за адаптиране към климатичните промени, чрез прилагането им на всички йерархични равнища на стратегическото и пространственото планиране, строителството и контрола. </w:t>
      </w:r>
    </w:p>
    <w:p w:rsidR="00AA4661" w:rsidRPr="00B73D7E" w:rsidRDefault="00AA4661" w:rsidP="00B73D7E">
      <w:pPr>
        <w:pStyle w:val="Heading3"/>
        <w:spacing w:before="160"/>
        <w:ind w:left="0" w:firstLine="0"/>
        <w:rPr>
          <w:b w:val="0"/>
          <w:i w:val="0"/>
        </w:rPr>
      </w:pPr>
      <w:bookmarkStart w:id="643" w:name="_Toc522030587"/>
      <w:bookmarkStart w:id="644" w:name="_Toc529285572"/>
      <w:bookmarkStart w:id="645" w:name="_Toc498286813"/>
      <w:bookmarkStart w:id="646" w:name="_Toc500009568"/>
      <w:bookmarkStart w:id="647" w:name="_Toc500072007"/>
      <w:bookmarkStart w:id="648" w:name="_Toc504495834"/>
      <w:r w:rsidRPr="00B73D7E">
        <w:rPr>
          <w:lang w:val="bg-BG"/>
        </w:rPr>
        <w:t>Възможни адаптационни варианти за управление на екстремни климатични явления и бедствия</w:t>
      </w:r>
      <w:bookmarkEnd w:id="643"/>
      <w:bookmarkEnd w:id="644"/>
      <w:r w:rsidRPr="00B73D7E">
        <w:rPr>
          <w:lang w:val="bg-BG"/>
        </w:rPr>
        <w:t xml:space="preserve"> </w:t>
      </w:r>
      <w:bookmarkEnd w:id="645"/>
      <w:bookmarkEnd w:id="646"/>
      <w:bookmarkEnd w:id="647"/>
      <w:bookmarkEnd w:id="648"/>
    </w:p>
    <w:p w:rsidR="00AA4661" w:rsidRPr="00B73D7E" w:rsidRDefault="00AA4661" w:rsidP="00CF297A">
      <w:pPr>
        <w:pStyle w:val="BodyText"/>
        <w:numPr>
          <w:ilvl w:val="0"/>
          <w:numId w:val="41"/>
        </w:numPr>
        <w:ind w:left="0" w:firstLine="0"/>
        <w:rPr>
          <w:lang w:val="bg-BG"/>
        </w:rPr>
      </w:pPr>
      <w:r w:rsidRPr="00B73D7E">
        <w:rPr>
          <w:lang w:val="bg-BG"/>
        </w:rPr>
        <w:t xml:space="preserve">При пространственото и градското планиране изборът на варианти за АИК зависи също от мащаба и обхвата на територията, която се нуждае от защита и адаптация към промяната на климата, и се съобразява с елементите на засегнатото обкръжение, използваните инструменти и участващите институции. </w:t>
      </w:r>
    </w:p>
    <w:p w:rsidR="00AA4661" w:rsidRPr="00B73D7E" w:rsidRDefault="00AA4661" w:rsidP="00CF297A">
      <w:pPr>
        <w:pStyle w:val="BodyText"/>
        <w:numPr>
          <w:ilvl w:val="0"/>
          <w:numId w:val="41"/>
        </w:numPr>
        <w:ind w:left="0" w:firstLine="0"/>
        <w:rPr>
          <w:lang w:val="bg-BG"/>
        </w:rPr>
      </w:pPr>
      <w:r w:rsidRPr="00B73D7E">
        <w:rPr>
          <w:lang w:val="bg-BG"/>
        </w:rPr>
        <w:t xml:space="preserve">Възможните действия по адаптация на градската среда в България са насочени към рисковете, анализирани в глава 1, свързани с екстремни явления и техните въздействия (екстремни температури, интензивни валежи, наводнения и свлачища) и се разглеждат на наднационално, национално и местно равнище, като се редуцират до мащаба на отделната сграда. Това съответства на йерархичната система на планиране в страната и на процеса на планиране. </w:t>
      </w:r>
    </w:p>
    <w:p w:rsidR="00AA4661" w:rsidRPr="00B73D7E" w:rsidRDefault="00AA4661" w:rsidP="00CF297A">
      <w:pPr>
        <w:pStyle w:val="BodyText"/>
        <w:numPr>
          <w:ilvl w:val="0"/>
          <w:numId w:val="41"/>
        </w:numPr>
        <w:ind w:left="0" w:firstLine="0"/>
        <w:rPr>
          <w:rFonts w:eastAsia="Times New Roman"/>
          <w:lang w:val="bg-BG"/>
        </w:rPr>
      </w:pPr>
      <w:r w:rsidRPr="00B73D7E">
        <w:rPr>
          <w:b/>
          <w:lang w:val="bg-BG"/>
        </w:rPr>
        <w:t>Екстремните температури</w:t>
      </w:r>
      <w:r w:rsidRPr="00B73D7E">
        <w:rPr>
          <w:lang w:val="bg-BG"/>
        </w:rPr>
        <w:t xml:space="preserve"> в различна степен ще засегнат почти цялото население на България предвид големия дял на жилищни територии в градовете и големия дял жилищни сгради за обновяване. Според оценката въз основа на актуалните </w:t>
      </w:r>
      <w:r w:rsidRPr="00B73D7E">
        <w:rPr>
          <w:lang w:val="bg-BG"/>
        </w:rPr>
        <w:lastRenderedPageBreak/>
        <w:t xml:space="preserve">статистически данни за </w:t>
      </w:r>
      <w:r w:rsidR="00775797" w:rsidRPr="00F8728A">
        <w:rPr>
          <w:lang w:val="bg-BG"/>
        </w:rPr>
        <w:t xml:space="preserve"> </w:t>
      </w:r>
      <w:r w:rsidRPr="00B73D7E">
        <w:rPr>
          <w:lang w:val="bg-BG"/>
        </w:rPr>
        <w:t>жилищния сектор към 2016 г. около 9 процента от жилищните сгради, разположени предимно в периферията на страната, са силно амортизирани, а 70 процента трябва да бъдат обновени и да бъде повишена енергийната им ефективност и устойчивостта на рискове. Правителствената програма за обновяване на жилищните сгради се дискутира, а по-нататъшната пълна държавна финансова подкрепа е под въпрос. Съществуващият Фонд за градско обновяване може да покрие 10 процента от нуждите за следващите 5 години. Затова МРРБ проучва нови типове финансови инструменти и възможности за съфинансиране на енергийно ефективна модернизация на жилищни сгради и строителство на сгради с близка до нулевата консумация на енергия чрез Европейския фонд за стратегически инвестиции</w:t>
      </w:r>
      <w:r w:rsidRPr="00B73D7E">
        <w:rPr>
          <w:vertAlign w:val="superscript"/>
          <w:lang w:val="bg-BG"/>
        </w:rPr>
        <w:footnoteReference w:id="135"/>
      </w:r>
      <w:r w:rsidRPr="00B73D7E">
        <w:rPr>
          <w:lang w:val="bg-BG"/>
        </w:rPr>
        <w:t>. Опит в тази област вече съществува във Франция, Германия и Финландия. Успоредно с работата върху Националната жилищна стратегия се обсъждат други варианти и предложени програми за обновяване на жилищния фонд. Всички варианти съответстват на ангажимента на България да постигне целите на стратегия „</w:t>
      </w:r>
      <w:r w:rsidRPr="00B73D7E">
        <w:rPr>
          <w:i/>
          <w:lang w:val="bg-BG"/>
        </w:rPr>
        <w:t>Европа 2020</w:t>
      </w:r>
      <w:r w:rsidRPr="00B73D7E">
        <w:rPr>
          <w:lang w:val="bg-BG"/>
        </w:rPr>
        <w:t>“ и Новия градски дневен ред на ЕС.</w:t>
      </w:r>
    </w:p>
    <w:p w:rsidR="00AA4661" w:rsidRPr="00B73D7E" w:rsidRDefault="00AA4661" w:rsidP="00CF297A">
      <w:pPr>
        <w:pStyle w:val="BodyText"/>
        <w:numPr>
          <w:ilvl w:val="0"/>
          <w:numId w:val="41"/>
        </w:numPr>
        <w:ind w:left="0" w:firstLine="0"/>
        <w:rPr>
          <w:rFonts w:eastAsia="Times New Roman"/>
          <w:lang w:val="bg-BG"/>
        </w:rPr>
      </w:pPr>
      <w:r w:rsidRPr="00B73D7E">
        <w:rPr>
          <w:lang w:val="bg-BG"/>
        </w:rPr>
        <w:t xml:space="preserve">На национално, регионално и местно ниво има разнообразни варианти за реагиране на екстремни температури чрез законодателни, планови, технически и социални мерки. Някои от най-подходящите за България са представени в </w:t>
      </w:r>
      <w:r w:rsidRPr="00B73D7E">
        <w:rPr>
          <w:b/>
          <w:i/>
          <w:iCs/>
          <w:lang w:val="bg-BG"/>
        </w:rPr>
        <w:t>таблица 10</w:t>
      </w:r>
      <w:r w:rsidRPr="00B73D7E">
        <w:rPr>
          <w:lang w:val="bg-BG"/>
        </w:rPr>
        <w:t>.</w:t>
      </w:r>
    </w:p>
    <w:p w:rsidR="00AA4661" w:rsidRPr="00F8728A" w:rsidRDefault="00AA4661" w:rsidP="00B73D7E">
      <w:pPr>
        <w:pStyle w:val="FiguresTablesCaption"/>
      </w:pPr>
      <w:bookmarkStart w:id="649" w:name="_Toc529286637"/>
      <w:r w:rsidRPr="00F8728A">
        <w:t xml:space="preserve">Таблица </w:t>
      </w:r>
      <w:r w:rsidRPr="00F8728A">
        <w:fldChar w:fldCharType="begin"/>
      </w:r>
      <w:r w:rsidRPr="00F8728A">
        <w:instrText xml:space="preserve"> SEQ Table \* ARABIC </w:instrText>
      </w:r>
      <w:r w:rsidRPr="00F8728A">
        <w:fldChar w:fldCharType="separate"/>
      </w:r>
      <w:r w:rsidRPr="00F8728A">
        <w:t>10</w:t>
      </w:r>
      <w:r w:rsidRPr="00F8728A">
        <w:fldChar w:fldCharType="end"/>
      </w:r>
      <w:r w:rsidRPr="00F8728A">
        <w:t>. Възможни варианти за адаптация към екстремни температури, горещи/студени вълни</w:t>
      </w:r>
      <w:bookmarkEnd w:id="649"/>
    </w:p>
    <w:tbl>
      <w:tblPr>
        <w:tblW w:w="5000"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3298"/>
        <w:gridCol w:w="4075"/>
        <w:gridCol w:w="1927"/>
      </w:tblGrid>
      <w:tr w:rsidR="00AA4661" w:rsidRPr="00F8728A" w:rsidTr="004B1A4E">
        <w:trPr>
          <w:cantSplit/>
          <w:trHeight w:val="233"/>
          <w:tblHeader/>
          <w:jc w:val="center"/>
        </w:trPr>
        <w:tc>
          <w:tcPr>
            <w:tcW w:w="1773" w:type="pct"/>
            <w:shd w:val="clear" w:color="auto" w:fill="365F91"/>
            <w:vAlign w:val="center"/>
          </w:tcPr>
          <w:p w:rsidR="00AA4661" w:rsidRPr="00F8728A" w:rsidRDefault="00AA4661" w:rsidP="00386031">
            <w:pPr>
              <w:spacing w:before="60" w:after="60"/>
              <w:jc w:val="center"/>
              <w:rPr>
                <w:rFonts w:ascii="Calibri" w:hAnsi="Calibri" w:cs="Calibri"/>
                <w:b/>
                <w:color w:val="FFFFFF"/>
                <w:sz w:val="22"/>
              </w:rPr>
            </w:pPr>
            <w:r w:rsidRPr="00F8728A">
              <w:rPr>
                <w:rFonts w:ascii="Calibri" w:hAnsi="Calibri" w:cs="Calibri"/>
                <w:b/>
                <w:color w:val="FFFFFF"/>
                <w:sz w:val="24"/>
                <w:szCs w:val="24"/>
              </w:rPr>
              <w:t>Специфични варианти за адаптация</w:t>
            </w:r>
          </w:p>
        </w:tc>
        <w:tc>
          <w:tcPr>
            <w:tcW w:w="2191" w:type="pct"/>
            <w:shd w:val="clear" w:color="auto" w:fill="365F91"/>
            <w:vAlign w:val="center"/>
          </w:tcPr>
          <w:p w:rsidR="00AA4661" w:rsidRPr="00F8728A" w:rsidRDefault="00AA4661" w:rsidP="00386031">
            <w:pPr>
              <w:spacing w:before="60" w:after="60"/>
              <w:jc w:val="center"/>
              <w:rPr>
                <w:rFonts w:ascii="Calibri" w:hAnsi="Calibri" w:cs="Calibri"/>
                <w:b/>
                <w:color w:val="FFFFFF"/>
                <w:sz w:val="22"/>
              </w:rPr>
            </w:pPr>
            <w:r w:rsidRPr="00F8728A">
              <w:rPr>
                <w:rFonts w:ascii="Calibri" w:hAnsi="Calibri" w:cs="Calibri"/>
                <w:b/>
                <w:color w:val="FFFFFF"/>
                <w:sz w:val="24"/>
                <w:szCs w:val="24"/>
              </w:rPr>
              <w:t xml:space="preserve">Релевантност към градската среда </w:t>
            </w:r>
          </w:p>
        </w:tc>
        <w:tc>
          <w:tcPr>
            <w:tcW w:w="1035" w:type="pct"/>
            <w:shd w:val="clear" w:color="auto" w:fill="365F91"/>
            <w:vAlign w:val="center"/>
          </w:tcPr>
          <w:p w:rsidR="00AA4661" w:rsidRPr="00F8728A" w:rsidRDefault="00AA4661" w:rsidP="00386031">
            <w:pPr>
              <w:spacing w:before="60" w:after="60"/>
              <w:jc w:val="center"/>
              <w:rPr>
                <w:rFonts w:ascii="Calibri" w:hAnsi="Calibri" w:cs="Calibri"/>
                <w:b/>
                <w:color w:val="FFFFFF"/>
                <w:sz w:val="22"/>
              </w:rPr>
            </w:pPr>
            <w:r w:rsidRPr="00F8728A">
              <w:rPr>
                <w:rFonts w:ascii="Calibri" w:hAnsi="Calibri" w:cs="Calibri"/>
                <w:b/>
                <w:color w:val="FFFFFF"/>
                <w:sz w:val="24"/>
                <w:szCs w:val="24"/>
              </w:rPr>
              <w:t>Участници</w:t>
            </w:r>
          </w:p>
        </w:tc>
      </w:tr>
      <w:tr w:rsidR="00AA4661" w:rsidRPr="00F8728A" w:rsidTr="004B1A4E">
        <w:trPr>
          <w:cantSplit/>
          <w:trHeight w:val="233"/>
          <w:jc w:val="center"/>
        </w:trPr>
        <w:tc>
          <w:tcPr>
            <w:tcW w:w="5000" w:type="pct"/>
            <w:gridSpan w:val="3"/>
            <w:shd w:val="clear" w:color="auto" w:fill="A8D08D"/>
            <w:vAlign w:val="center"/>
          </w:tcPr>
          <w:p w:rsidR="00AA4661" w:rsidRPr="00F8728A" w:rsidRDefault="00AA4661" w:rsidP="00386031">
            <w:pPr>
              <w:spacing w:before="20" w:after="20"/>
              <w:jc w:val="center"/>
              <w:rPr>
                <w:rFonts w:ascii="Calibri" w:hAnsi="Calibri" w:cs="Calibri"/>
                <w:b/>
                <w:color w:val="FFFFFF"/>
                <w:sz w:val="24"/>
                <w:szCs w:val="24"/>
              </w:rPr>
            </w:pPr>
            <w:r w:rsidRPr="00F8728A">
              <w:rPr>
                <w:rFonts w:ascii="Calibri" w:hAnsi="Calibri" w:cs="Calibri"/>
                <w:b/>
                <w:sz w:val="24"/>
                <w:szCs w:val="24"/>
              </w:rPr>
              <w:t>Наднационално ниво</w:t>
            </w:r>
          </w:p>
        </w:tc>
      </w:tr>
      <w:tr w:rsidR="00AA4661" w:rsidRPr="00F8728A" w:rsidTr="004B1A4E">
        <w:trPr>
          <w:cantSplit/>
          <w:trHeight w:val="307"/>
          <w:jc w:val="center"/>
        </w:trPr>
        <w:tc>
          <w:tcPr>
            <w:tcW w:w="1773"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Изпълнение на стандартите на ЕС за намаляване на емисиите на ПГ и енергийна ефективност на сградите</w:t>
            </w:r>
          </w:p>
        </w:tc>
        <w:tc>
          <w:tcPr>
            <w:tcW w:w="2191" w:type="pct"/>
            <w:vAlign w:val="center"/>
          </w:tcPr>
          <w:p w:rsidR="00AA4661" w:rsidRPr="00F8728A" w:rsidRDefault="00AA4661" w:rsidP="00386031">
            <w:pPr>
              <w:spacing w:before="40" w:after="40"/>
              <w:rPr>
                <w:rFonts w:ascii="Calibri" w:hAnsi="Calibri" w:cs="Calibri"/>
                <w:sz w:val="22"/>
              </w:rPr>
            </w:pPr>
            <w:r w:rsidRPr="00F8728A">
              <w:rPr>
                <w:rFonts w:ascii="Calibri" w:hAnsi="Calibri" w:cs="Calibri"/>
                <w:sz w:val="22"/>
              </w:rPr>
              <w:t>Ангажименти на българското правителство – международни и към ЕС</w:t>
            </w:r>
          </w:p>
        </w:tc>
        <w:tc>
          <w:tcPr>
            <w:tcW w:w="1035" w:type="pct"/>
            <w:vAlign w:val="center"/>
          </w:tcPr>
          <w:p w:rsidR="00AA4661" w:rsidRPr="00F8728A" w:rsidRDefault="00AA4661" w:rsidP="00612F2F">
            <w:pPr>
              <w:spacing w:after="0"/>
              <w:jc w:val="center"/>
              <w:rPr>
                <w:rFonts w:ascii="Calibri" w:hAnsi="Calibri" w:cs="Calibri"/>
                <w:sz w:val="22"/>
              </w:rPr>
            </w:pPr>
            <w:r w:rsidRPr="00F8728A">
              <w:rPr>
                <w:rFonts w:ascii="Calibri" w:hAnsi="Calibri" w:cs="Calibri"/>
                <w:sz w:val="22"/>
              </w:rPr>
              <w:t>МРРБ, МОСВ, ИАОС, местни власти</w:t>
            </w:r>
          </w:p>
        </w:tc>
      </w:tr>
      <w:tr w:rsidR="00AA4661" w:rsidRPr="00F8728A" w:rsidTr="004B1A4E">
        <w:trPr>
          <w:cantSplit/>
          <w:jc w:val="center"/>
        </w:trPr>
        <w:tc>
          <w:tcPr>
            <w:tcW w:w="5000" w:type="pct"/>
            <w:gridSpan w:val="3"/>
            <w:shd w:val="clear" w:color="auto" w:fill="A8D08D"/>
            <w:vAlign w:val="center"/>
          </w:tcPr>
          <w:p w:rsidR="00AA4661" w:rsidRPr="00F8728A" w:rsidRDefault="00AA4661" w:rsidP="00386031">
            <w:pPr>
              <w:spacing w:before="20" w:after="20"/>
              <w:jc w:val="center"/>
              <w:rPr>
                <w:rFonts w:ascii="Calibri" w:hAnsi="Calibri" w:cs="Calibri"/>
                <w:b/>
                <w:sz w:val="24"/>
                <w:szCs w:val="24"/>
              </w:rPr>
            </w:pPr>
            <w:r w:rsidRPr="00F8728A">
              <w:rPr>
                <w:rFonts w:ascii="Calibri" w:hAnsi="Calibri" w:cs="Calibri"/>
                <w:b/>
                <w:sz w:val="24"/>
                <w:szCs w:val="24"/>
              </w:rPr>
              <w:t>Национално ниво</w:t>
            </w:r>
          </w:p>
        </w:tc>
      </w:tr>
      <w:tr w:rsidR="00AA4661" w:rsidRPr="00F8728A" w:rsidTr="004B1A4E">
        <w:trPr>
          <w:cantSplit/>
          <w:jc w:val="center"/>
        </w:trPr>
        <w:tc>
          <w:tcPr>
            <w:tcW w:w="1773"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Повишаване на адаптивния капацитет</w:t>
            </w:r>
          </w:p>
        </w:tc>
        <w:tc>
          <w:tcPr>
            <w:tcW w:w="2191"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Повишаването на институционалния, административния и експертния капацитет е важно за всяка стъпка от АИК и за всичките ѝ нива</w:t>
            </w:r>
          </w:p>
        </w:tc>
        <w:tc>
          <w:tcPr>
            <w:tcW w:w="1035" w:type="pct"/>
            <w:vAlign w:val="center"/>
          </w:tcPr>
          <w:p w:rsidR="00AA4661" w:rsidRPr="00F8728A" w:rsidRDefault="00AA4661" w:rsidP="00314C63">
            <w:pPr>
              <w:spacing w:before="60" w:after="60"/>
              <w:jc w:val="center"/>
              <w:rPr>
                <w:rFonts w:ascii="Calibri" w:hAnsi="Calibri" w:cs="Calibri"/>
                <w:sz w:val="22"/>
              </w:rPr>
            </w:pPr>
            <w:r w:rsidRPr="00F8728A">
              <w:rPr>
                <w:rFonts w:ascii="Calibri" w:hAnsi="Calibri" w:cs="Calibri"/>
                <w:sz w:val="22"/>
              </w:rPr>
              <w:t>МРРБ, университети, изследователски институции, местни власти, НПО</w:t>
            </w:r>
          </w:p>
        </w:tc>
      </w:tr>
      <w:tr w:rsidR="00AA4661" w:rsidRPr="00F8728A" w:rsidTr="004B1A4E">
        <w:trPr>
          <w:cantSplit/>
          <w:jc w:val="center"/>
        </w:trPr>
        <w:tc>
          <w:tcPr>
            <w:tcW w:w="1773" w:type="pct"/>
            <w:vAlign w:val="center"/>
          </w:tcPr>
          <w:p w:rsidR="00AA4661" w:rsidRPr="00F8728A" w:rsidRDefault="00AA4661" w:rsidP="00D47935">
            <w:pPr>
              <w:spacing w:before="40" w:after="40"/>
              <w:jc w:val="both"/>
              <w:rPr>
                <w:rFonts w:ascii="Calibri" w:hAnsi="Calibri" w:cs="Calibri"/>
                <w:sz w:val="22"/>
              </w:rPr>
            </w:pPr>
            <w:r w:rsidRPr="00F8728A">
              <w:rPr>
                <w:rFonts w:ascii="Calibri" w:hAnsi="Calibri" w:cs="Calibri"/>
                <w:sz w:val="22"/>
              </w:rPr>
              <w:t>Осъществяване на Националната стратегия за енергийна ефективност и Националната дългосрочна програма за насърчаване на инвестициите за енергийна ефективност на обществения и частен жилищен и търговски сграден фонд 2016 – 2020</w:t>
            </w:r>
          </w:p>
        </w:tc>
        <w:tc>
          <w:tcPr>
            <w:tcW w:w="2191" w:type="pct"/>
            <w:vAlign w:val="center"/>
          </w:tcPr>
          <w:p w:rsidR="00AA4661" w:rsidRPr="00F8728A" w:rsidRDefault="00AA4661" w:rsidP="00612F2F">
            <w:pPr>
              <w:spacing w:before="40" w:after="40"/>
              <w:jc w:val="both"/>
              <w:rPr>
                <w:rFonts w:ascii="Calibri" w:hAnsi="Calibri" w:cs="Calibri"/>
                <w:sz w:val="22"/>
              </w:rPr>
            </w:pPr>
            <w:r w:rsidRPr="00F8728A">
              <w:rPr>
                <w:rFonts w:ascii="Calibri" w:hAnsi="Calibri" w:cs="Calibri"/>
                <w:sz w:val="22"/>
              </w:rPr>
              <w:t>В България приоритет се дава на жилищното строителство поради високия дял на жилищните сгради, нуждаещи се от обновяване.</w:t>
            </w:r>
          </w:p>
        </w:tc>
        <w:tc>
          <w:tcPr>
            <w:tcW w:w="1035" w:type="pct"/>
            <w:vAlign w:val="center"/>
          </w:tcPr>
          <w:p w:rsidR="00AA4661" w:rsidRPr="00F8728A" w:rsidRDefault="00AA4661" w:rsidP="00314C63">
            <w:pPr>
              <w:spacing w:before="40" w:after="40"/>
              <w:jc w:val="center"/>
              <w:rPr>
                <w:rFonts w:ascii="Calibri" w:hAnsi="Calibri" w:cs="Calibri"/>
                <w:sz w:val="22"/>
              </w:rPr>
            </w:pPr>
            <w:r w:rsidRPr="00F8728A">
              <w:rPr>
                <w:rFonts w:ascii="Calibri" w:hAnsi="Calibri" w:cs="Calibri"/>
                <w:sz w:val="22"/>
              </w:rPr>
              <w:t>МРРБ, МФ, МЕ, местни власти, НПО</w:t>
            </w:r>
          </w:p>
        </w:tc>
      </w:tr>
      <w:tr w:rsidR="00AA4661" w:rsidRPr="00F8728A" w:rsidTr="004B1A4E">
        <w:trPr>
          <w:cantSplit/>
          <w:jc w:val="center"/>
        </w:trPr>
        <w:tc>
          <w:tcPr>
            <w:tcW w:w="1773"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lastRenderedPageBreak/>
              <w:t xml:space="preserve">Разработване и изпълнение на Националната жилищна стратегия </w:t>
            </w:r>
          </w:p>
        </w:tc>
        <w:tc>
          <w:tcPr>
            <w:tcW w:w="2191"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В процес на разработване. "Енергийно" обновяване на жилищни сгради във фокуса на една от програмите. Необходимост от правилно оценяване на рисковете и уязвимостите и подобряване на ефективността, ефикасността и качествения контрол на съществуващата програма</w:t>
            </w:r>
          </w:p>
        </w:tc>
        <w:tc>
          <w:tcPr>
            <w:tcW w:w="1035" w:type="pct"/>
            <w:vAlign w:val="center"/>
          </w:tcPr>
          <w:p w:rsidR="00AA4661" w:rsidRPr="00F8728A" w:rsidRDefault="00AA4661" w:rsidP="00314C63">
            <w:pPr>
              <w:spacing w:before="60" w:after="60"/>
              <w:jc w:val="center"/>
              <w:rPr>
                <w:rFonts w:ascii="Calibri" w:hAnsi="Calibri" w:cs="Calibri"/>
                <w:sz w:val="22"/>
              </w:rPr>
            </w:pPr>
            <w:r w:rsidRPr="00F8728A">
              <w:rPr>
                <w:rFonts w:ascii="Calibri" w:hAnsi="Calibri" w:cs="Calibri"/>
                <w:sz w:val="22"/>
              </w:rPr>
              <w:t>МРРБ, местни власти, жилищни асоциации, НПО</w:t>
            </w:r>
          </w:p>
        </w:tc>
      </w:tr>
      <w:tr w:rsidR="00AA4661" w:rsidRPr="00F8728A" w:rsidTr="004B1A4E">
        <w:trPr>
          <w:cantSplit/>
          <w:jc w:val="center"/>
        </w:trPr>
        <w:tc>
          <w:tcPr>
            <w:tcW w:w="1773"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Допълване на Националната стратегия за развитие на научните изследвания</w:t>
            </w:r>
          </w:p>
        </w:tc>
        <w:tc>
          <w:tcPr>
            <w:tcW w:w="2191"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Необходимост АИК на градската среда и всички релевантни теми да станат приоритетни</w:t>
            </w:r>
          </w:p>
        </w:tc>
        <w:tc>
          <w:tcPr>
            <w:tcW w:w="1035" w:type="pct"/>
            <w:vAlign w:val="center"/>
          </w:tcPr>
          <w:p w:rsidR="00AA4661" w:rsidRPr="00F8728A" w:rsidRDefault="00AA4661" w:rsidP="00386031">
            <w:pPr>
              <w:spacing w:before="40" w:after="40"/>
              <w:jc w:val="center"/>
              <w:rPr>
                <w:rFonts w:ascii="Calibri" w:hAnsi="Calibri" w:cs="Calibri"/>
                <w:sz w:val="22"/>
              </w:rPr>
            </w:pPr>
            <w:r w:rsidRPr="00F8728A">
              <w:rPr>
                <w:rFonts w:ascii="Calibri" w:hAnsi="Calibri" w:cs="Calibri"/>
                <w:sz w:val="22"/>
              </w:rPr>
              <w:t>МОН, БАН</w:t>
            </w:r>
          </w:p>
        </w:tc>
      </w:tr>
      <w:tr w:rsidR="00AA4661" w:rsidRPr="00F8728A" w:rsidTr="004B1A4E">
        <w:trPr>
          <w:cantSplit/>
          <w:jc w:val="center"/>
        </w:trPr>
        <w:tc>
          <w:tcPr>
            <w:tcW w:w="1773"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Подготвяне и приемане на Националната стратегия за адаптация към климатичните промени</w:t>
            </w:r>
          </w:p>
        </w:tc>
        <w:tc>
          <w:tcPr>
            <w:tcW w:w="2191"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В процес на разработване. По-всеобхватен подход, въведен на финален етап с по-добро съгласуване между секторите.</w:t>
            </w:r>
          </w:p>
        </w:tc>
        <w:tc>
          <w:tcPr>
            <w:tcW w:w="1035" w:type="pct"/>
            <w:vAlign w:val="center"/>
          </w:tcPr>
          <w:p w:rsidR="00AA4661" w:rsidRPr="00F8728A" w:rsidRDefault="00AA4661" w:rsidP="00386031">
            <w:pPr>
              <w:spacing w:after="0"/>
              <w:jc w:val="center"/>
              <w:rPr>
                <w:rFonts w:ascii="Calibri" w:hAnsi="Calibri" w:cs="Calibri"/>
                <w:sz w:val="22"/>
              </w:rPr>
            </w:pPr>
            <w:r w:rsidRPr="00F8728A">
              <w:rPr>
                <w:rFonts w:ascii="Calibri" w:hAnsi="Calibri" w:cs="Calibri"/>
                <w:sz w:val="22"/>
              </w:rPr>
              <w:t>МОСВ и всички свързани със секторите министерства</w:t>
            </w:r>
          </w:p>
        </w:tc>
      </w:tr>
      <w:tr w:rsidR="00AA4661" w:rsidRPr="00F8728A" w:rsidTr="004B1A4E">
        <w:trPr>
          <w:cantSplit/>
          <w:jc w:val="center"/>
        </w:trPr>
        <w:tc>
          <w:tcPr>
            <w:tcW w:w="1773"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Ограничаване разрастването на градовете чрез по-добро устройствено планиране, основано на оценка на риска и опасността</w:t>
            </w:r>
          </w:p>
        </w:tc>
        <w:tc>
          <w:tcPr>
            <w:tcW w:w="2191" w:type="pct"/>
            <w:vAlign w:val="center"/>
          </w:tcPr>
          <w:p w:rsidR="00AA4661" w:rsidRPr="00F8728A" w:rsidRDefault="00AA4661" w:rsidP="00846B20">
            <w:pPr>
              <w:spacing w:before="40" w:after="40"/>
              <w:jc w:val="both"/>
              <w:rPr>
                <w:rFonts w:ascii="Calibri" w:hAnsi="Calibri" w:cs="Calibri"/>
                <w:sz w:val="22"/>
              </w:rPr>
            </w:pPr>
            <w:r w:rsidRPr="00F8728A">
              <w:rPr>
                <w:rFonts w:ascii="Calibri" w:hAnsi="Calibri" w:cs="Calibri"/>
                <w:sz w:val="22"/>
              </w:rPr>
              <w:t>Необходимост от по-силен контрол върху градското развитие, планирано въпреки намаляващото население.</w:t>
            </w:r>
          </w:p>
        </w:tc>
        <w:tc>
          <w:tcPr>
            <w:tcW w:w="1035" w:type="pct"/>
            <w:vAlign w:val="center"/>
          </w:tcPr>
          <w:p w:rsidR="00AA4661" w:rsidRPr="00F8728A" w:rsidRDefault="00AA4661" w:rsidP="00846B20">
            <w:pPr>
              <w:spacing w:after="0"/>
              <w:jc w:val="center"/>
              <w:rPr>
                <w:rFonts w:ascii="Calibri" w:hAnsi="Calibri" w:cs="Calibri"/>
                <w:sz w:val="22"/>
              </w:rPr>
            </w:pPr>
            <w:r w:rsidRPr="00F8728A">
              <w:rPr>
                <w:rFonts w:ascii="Calibri" w:hAnsi="Calibri" w:cs="Calibri"/>
                <w:sz w:val="22"/>
              </w:rPr>
              <w:t>МРРБ, местни власти, консултанти по планиране</w:t>
            </w:r>
          </w:p>
        </w:tc>
      </w:tr>
      <w:tr w:rsidR="00AA4661" w:rsidRPr="00F8728A" w:rsidTr="004B1A4E">
        <w:trPr>
          <w:cantSplit/>
          <w:jc w:val="center"/>
        </w:trPr>
        <w:tc>
          <w:tcPr>
            <w:tcW w:w="5000" w:type="pct"/>
            <w:gridSpan w:val="3"/>
            <w:shd w:val="clear" w:color="auto" w:fill="A8D08D"/>
            <w:vAlign w:val="center"/>
          </w:tcPr>
          <w:p w:rsidR="00AA4661" w:rsidRPr="00F8728A" w:rsidRDefault="00AA4661" w:rsidP="00386031">
            <w:pPr>
              <w:spacing w:before="20" w:after="20"/>
              <w:jc w:val="center"/>
              <w:rPr>
                <w:rFonts w:ascii="Calibri" w:hAnsi="Calibri" w:cs="Calibri"/>
                <w:b/>
                <w:sz w:val="24"/>
                <w:szCs w:val="24"/>
              </w:rPr>
            </w:pPr>
            <w:r w:rsidRPr="00F8728A">
              <w:rPr>
                <w:rFonts w:ascii="Calibri" w:hAnsi="Calibri" w:cs="Calibri"/>
                <w:b/>
                <w:sz w:val="24"/>
                <w:szCs w:val="24"/>
              </w:rPr>
              <w:t>Регионално ниво</w:t>
            </w:r>
          </w:p>
        </w:tc>
      </w:tr>
      <w:tr w:rsidR="00AA4661" w:rsidRPr="00F8728A" w:rsidTr="004B1A4E">
        <w:trPr>
          <w:cantSplit/>
          <w:jc w:val="center"/>
        </w:trPr>
        <w:tc>
          <w:tcPr>
            <w:tcW w:w="1773" w:type="pct"/>
            <w:vAlign w:val="center"/>
          </w:tcPr>
          <w:p w:rsidR="00AA4661" w:rsidRPr="00F8728A" w:rsidRDefault="00AA4661" w:rsidP="00386031">
            <w:pPr>
              <w:spacing w:before="40" w:after="40"/>
              <w:jc w:val="center"/>
              <w:rPr>
                <w:rFonts w:ascii="Calibri" w:hAnsi="Calibri" w:cs="Calibri"/>
                <w:sz w:val="22"/>
              </w:rPr>
            </w:pPr>
            <w:r w:rsidRPr="00F8728A">
              <w:rPr>
                <w:rFonts w:ascii="Calibri" w:hAnsi="Calibri" w:cs="Calibri"/>
                <w:sz w:val="22"/>
              </w:rPr>
              <w:t>НП</w:t>
            </w:r>
          </w:p>
        </w:tc>
        <w:tc>
          <w:tcPr>
            <w:tcW w:w="2191"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6-те района и 28-те области в България нямат административна власт, нито финансови ресурси. Те могат да имат съвещателна роля в обсъждането на документите и програмите.</w:t>
            </w:r>
          </w:p>
        </w:tc>
        <w:tc>
          <w:tcPr>
            <w:tcW w:w="1035" w:type="pct"/>
            <w:vAlign w:val="center"/>
          </w:tcPr>
          <w:p w:rsidR="00AA4661" w:rsidRPr="00F8728A" w:rsidRDefault="00AA4661" w:rsidP="00386031">
            <w:pPr>
              <w:spacing w:before="40" w:after="40"/>
              <w:jc w:val="center"/>
              <w:rPr>
                <w:rFonts w:ascii="Calibri" w:hAnsi="Calibri" w:cs="Calibri"/>
                <w:sz w:val="22"/>
              </w:rPr>
            </w:pPr>
            <w:r w:rsidRPr="00F8728A">
              <w:rPr>
                <w:rFonts w:ascii="Calibri" w:hAnsi="Calibri" w:cs="Calibri"/>
                <w:sz w:val="22"/>
              </w:rPr>
              <w:t>Регионални съвети за развитие</w:t>
            </w:r>
          </w:p>
        </w:tc>
      </w:tr>
      <w:tr w:rsidR="00AA4661" w:rsidRPr="00F8728A" w:rsidTr="004B1A4E">
        <w:trPr>
          <w:cantSplit/>
          <w:jc w:val="center"/>
        </w:trPr>
        <w:tc>
          <w:tcPr>
            <w:tcW w:w="5000" w:type="pct"/>
            <w:gridSpan w:val="3"/>
            <w:shd w:val="clear" w:color="auto" w:fill="A8D08D"/>
            <w:vAlign w:val="center"/>
          </w:tcPr>
          <w:p w:rsidR="00AA4661" w:rsidRPr="00F8728A" w:rsidRDefault="00AA4661" w:rsidP="00386031">
            <w:pPr>
              <w:spacing w:before="20" w:after="20"/>
              <w:jc w:val="center"/>
              <w:rPr>
                <w:rFonts w:ascii="Calibri" w:hAnsi="Calibri" w:cs="Calibri"/>
                <w:b/>
                <w:sz w:val="24"/>
                <w:szCs w:val="24"/>
              </w:rPr>
            </w:pPr>
            <w:r w:rsidRPr="00F8728A">
              <w:rPr>
                <w:rFonts w:ascii="Calibri" w:hAnsi="Calibri" w:cs="Calibri"/>
                <w:b/>
                <w:sz w:val="24"/>
                <w:szCs w:val="24"/>
              </w:rPr>
              <w:t>Локално ниво</w:t>
            </w:r>
          </w:p>
        </w:tc>
      </w:tr>
      <w:tr w:rsidR="00AA4661" w:rsidRPr="00F8728A" w:rsidTr="004B1A4E">
        <w:trPr>
          <w:cantSplit/>
          <w:jc w:val="center"/>
        </w:trPr>
        <w:tc>
          <w:tcPr>
            <w:tcW w:w="1773" w:type="pct"/>
            <w:vAlign w:val="center"/>
          </w:tcPr>
          <w:p w:rsidR="00AA4661" w:rsidRPr="00F8728A" w:rsidRDefault="00AA4661" w:rsidP="00846B20">
            <w:pPr>
              <w:spacing w:before="40" w:after="40"/>
              <w:jc w:val="both"/>
              <w:rPr>
                <w:rFonts w:ascii="Calibri" w:hAnsi="Calibri" w:cs="Calibri"/>
                <w:sz w:val="22"/>
              </w:rPr>
            </w:pPr>
            <w:r w:rsidRPr="00F8728A">
              <w:rPr>
                <w:rFonts w:ascii="Calibri" w:hAnsi="Calibri" w:cs="Calibri"/>
                <w:sz w:val="22"/>
              </w:rPr>
              <w:t xml:space="preserve">Събиране на данни и осигуряване на достъп до информация за екстремни температури на градско ниво  </w:t>
            </w:r>
          </w:p>
        </w:tc>
        <w:tc>
          <w:tcPr>
            <w:tcW w:w="2191" w:type="pct"/>
            <w:vAlign w:val="center"/>
          </w:tcPr>
          <w:p w:rsidR="00AA4661" w:rsidRPr="00F8728A" w:rsidRDefault="00AA4661" w:rsidP="00846B20">
            <w:pPr>
              <w:spacing w:before="40" w:after="40"/>
              <w:jc w:val="both"/>
              <w:rPr>
                <w:rFonts w:ascii="Calibri" w:hAnsi="Calibri" w:cs="Calibri"/>
                <w:sz w:val="22"/>
              </w:rPr>
            </w:pPr>
            <w:r w:rsidRPr="00F8728A">
              <w:rPr>
                <w:rFonts w:ascii="Calibri" w:hAnsi="Calibri" w:cs="Calibri"/>
                <w:sz w:val="22"/>
              </w:rPr>
              <w:t>Необходимост от данни на локално ниво за научни изследвания, образование и за практика</w:t>
            </w:r>
          </w:p>
        </w:tc>
        <w:tc>
          <w:tcPr>
            <w:tcW w:w="1035" w:type="pct"/>
            <w:vAlign w:val="center"/>
          </w:tcPr>
          <w:p w:rsidR="00AA4661" w:rsidRPr="00F8728A" w:rsidRDefault="00AA4661" w:rsidP="00314C63">
            <w:pPr>
              <w:spacing w:after="0"/>
              <w:jc w:val="center"/>
              <w:rPr>
                <w:rFonts w:ascii="Calibri" w:hAnsi="Calibri" w:cs="Calibri"/>
                <w:sz w:val="22"/>
              </w:rPr>
            </w:pPr>
            <w:r w:rsidRPr="00F8728A">
              <w:rPr>
                <w:rFonts w:ascii="Calibri" w:hAnsi="Calibri" w:cs="Calibri"/>
                <w:sz w:val="22"/>
              </w:rPr>
              <w:t>НСИ, БАН, НИМХ, ИАОС, РИОСВ</w:t>
            </w:r>
          </w:p>
        </w:tc>
      </w:tr>
      <w:tr w:rsidR="00AA4661" w:rsidRPr="00F8728A" w:rsidTr="004B1A4E">
        <w:trPr>
          <w:cantSplit/>
          <w:jc w:val="center"/>
        </w:trPr>
        <w:tc>
          <w:tcPr>
            <w:tcW w:w="1773"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Подготовка и приемане на местни стратегии/планове за адаптация към измененията на климата</w:t>
            </w:r>
          </w:p>
        </w:tc>
        <w:tc>
          <w:tcPr>
            <w:tcW w:w="2191" w:type="pct"/>
            <w:vAlign w:val="center"/>
          </w:tcPr>
          <w:p w:rsidR="00AA4661" w:rsidRPr="00F8728A" w:rsidRDefault="00AA4661" w:rsidP="00211574">
            <w:pPr>
              <w:spacing w:before="40" w:after="40"/>
              <w:jc w:val="both"/>
              <w:rPr>
                <w:rFonts w:ascii="Calibri" w:hAnsi="Calibri" w:cs="Calibri"/>
                <w:sz w:val="22"/>
              </w:rPr>
            </w:pPr>
            <w:r w:rsidRPr="00F8728A">
              <w:rPr>
                <w:rFonts w:ascii="Calibri" w:hAnsi="Calibri" w:cs="Calibri"/>
                <w:sz w:val="22"/>
              </w:rPr>
              <w:t xml:space="preserve">Само София, Бургас и Димитровград имат такива документи, разработени и приети като част от инициативата Конвент на кметовете. </w:t>
            </w:r>
          </w:p>
        </w:tc>
        <w:tc>
          <w:tcPr>
            <w:tcW w:w="1035" w:type="pct"/>
            <w:vAlign w:val="center"/>
          </w:tcPr>
          <w:p w:rsidR="00AA4661" w:rsidRPr="00F8728A" w:rsidRDefault="00AA4661" w:rsidP="00386031">
            <w:pPr>
              <w:spacing w:after="0"/>
              <w:jc w:val="center"/>
              <w:rPr>
                <w:rFonts w:ascii="Calibri" w:hAnsi="Calibri" w:cs="Calibri"/>
                <w:sz w:val="22"/>
              </w:rPr>
            </w:pPr>
            <w:r w:rsidRPr="00F8728A">
              <w:rPr>
                <w:rFonts w:ascii="Calibri" w:hAnsi="Calibri" w:cs="Calibri"/>
                <w:sz w:val="22"/>
              </w:rPr>
              <w:t>МОСВ, местни власти</w:t>
            </w:r>
          </w:p>
        </w:tc>
      </w:tr>
      <w:tr w:rsidR="00AA4661" w:rsidRPr="00F8728A" w:rsidTr="004B1A4E">
        <w:trPr>
          <w:cantSplit/>
          <w:jc w:val="center"/>
        </w:trPr>
        <w:tc>
          <w:tcPr>
            <w:tcW w:w="1773" w:type="pct"/>
            <w:vAlign w:val="center"/>
          </w:tcPr>
          <w:p w:rsidR="00AA4661" w:rsidRPr="00F8728A" w:rsidRDefault="00AA4661" w:rsidP="00211574">
            <w:pPr>
              <w:spacing w:before="40" w:after="40"/>
              <w:jc w:val="both"/>
              <w:rPr>
                <w:rFonts w:ascii="Calibri" w:hAnsi="Calibri" w:cs="Calibri"/>
                <w:sz w:val="22"/>
              </w:rPr>
            </w:pPr>
            <w:r w:rsidRPr="00F8728A">
              <w:rPr>
                <w:rFonts w:ascii="Calibri" w:hAnsi="Calibri" w:cs="Calibri"/>
                <w:sz w:val="22"/>
              </w:rPr>
              <w:t>Прилагане на схеми за интелигентна мобилност в градовете</w:t>
            </w:r>
          </w:p>
        </w:tc>
        <w:tc>
          <w:tcPr>
            <w:tcW w:w="2191" w:type="pct"/>
            <w:vAlign w:val="center"/>
          </w:tcPr>
          <w:p w:rsidR="00AA4661" w:rsidRPr="00F8728A" w:rsidRDefault="00AA4661" w:rsidP="00211574">
            <w:pPr>
              <w:spacing w:before="40" w:after="40"/>
              <w:jc w:val="both"/>
              <w:rPr>
                <w:rFonts w:ascii="Calibri" w:hAnsi="Calibri" w:cs="Calibri"/>
                <w:sz w:val="22"/>
              </w:rPr>
            </w:pPr>
            <w:r w:rsidRPr="00F8728A">
              <w:rPr>
                <w:rFonts w:ascii="Calibri" w:hAnsi="Calibri" w:cs="Calibri"/>
                <w:sz w:val="22"/>
              </w:rPr>
              <w:t>Българските градове са сред тези с най-замърсен въздух в ЕС. Интегрираните планове за градски транспорт за големите градове са в процес на разработване. Нужно е да бъдат подготвени и осъществени също и в други градове.</w:t>
            </w:r>
          </w:p>
        </w:tc>
        <w:tc>
          <w:tcPr>
            <w:tcW w:w="1035" w:type="pct"/>
            <w:vAlign w:val="center"/>
          </w:tcPr>
          <w:p w:rsidR="00AA4661" w:rsidRPr="00F8728A" w:rsidRDefault="00AA4661" w:rsidP="00386031">
            <w:pPr>
              <w:spacing w:after="0"/>
              <w:jc w:val="center"/>
              <w:rPr>
                <w:rFonts w:ascii="Calibri" w:hAnsi="Calibri" w:cs="Calibri"/>
                <w:sz w:val="22"/>
              </w:rPr>
            </w:pPr>
            <w:r w:rsidRPr="00F8728A">
              <w:rPr>
                <w:rFonts w:ascii="Calibri" w:hAnsi="Calibri" w:cs="Calibri"/>
                <w:sz w:val="22"/>
              </w:rPr>
              <w:t>МРРБ, ОПРР, местни власти</w:t>
            </w:r>
          </w:p>
          <w:p w:rsidR="00AA4661" w:rsidRPr="00F8728A" w:rsidRDefault="00AA4661" w:rsidP="00386031">
            <w:pPr>
              <w:spacing w:after="0"/>
              <w:jc w:val="center"/>
              <w:rPr>
                <w:rFonts w:ascii="Calibri" w:hAnsi="Calibri" w:cs="Calibri"/>
                <w:sz w:val="22"/>
              </w:rPr>
            </w:pPr>
          </w:p>
        </w:tc>
      </w:tr>
      <w:tr w:rsidR="00AA4661" w:rsidRPr="00F8728A" w:rsidTr="004B1A4E">
        <w:trPr>
          <w:cantSplit/>
          <w:jc w:val="center"/>
        </w:trPr>
        <w:tc>
          <w:tcPr>
            <w:tcW w:w="1773"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lastRenderedPageBreak/>
              <w:t>Намаляване на горещите вълни чрез интелигентно информирано за рисковете градско планиране и проектиране; по-добър контрол върху развитието и по-високо качество на строителството</w:t>
            </w:r>
          </w:p>
        </w:tc>
        <w:tc>
          <w:tcPr>
            <w:tcW w:w="2191"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Устройствените планове се придружават от схеми за състоянието на околната среда, доста често изготвени формално. Нужда от по-подробни изследвания и препоръчани конкретни мерки.</w:t>
            </w:r>
          </w:p>
        </w:tc>
        <w:tc>
          <w:tcPr>
            <w:tcW w:w="1035" w:type="pct"/>
            <w:vAlign w:val="center"/>
          </w:tcPr>
          <w:p w:rsidR="00AA4661" w:rsidRPr="00F8728A" w:rsidRDefault="00AA4661" w:rsidP="00314C63">
            <w:pPr>
              <w:spacing w:before="60" w:after="60"/>
              <w:jc w:val="center"/>
              <w:rPr>
                <w:rFonts w:ascii="Calibri" w:hAnsi="Calibri" w:cs="Calibri"/>
                <w:sz w:val="22"/>
              </w:rPr>
            </w:pPr>
            <w:r w:rsidRPr="00F8728A">
              <w:rPr>
                <w:rFonts w:ascii="Calibri" w:hAnsi="Calibri" w:cs="Calibri"/>
                <w:sz w:val="22"/>
              </w:rPr>
              <w:t xml:space="preserve">Местни власти, </w:t>
            </w:r>
            <w:r w:rsidRPr="00F8728A">
              <w:rPr>
                <w:rFonts w:ascii="Calibri" w:hAnsi="Calibri" w:cs="Calibri"/>
                <w:sz w:val="22"/>
              </w:rPr>
              <w:br/>
              <w:t>Експертни съвети по устройство на територията, РИОСВ, консул-тантски фирми по планиране</w:t>
            </w:r>
          </w:p>
        </w:tc>
      </w:tr>
      <w:tr w:rsidR="00AA4661" w:rsidRPr="00F8728A" w:rsidTr="004B1A4E">
        <w:trPr>
          <w:cantSplit/>
          <w:jc w:val="center"/>
        </w:trPr>
        <w:tc>
          <w:tcPr>
            <w:tcW w:w="1773"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Опазване и развитие на градската зелена система за намаляване на екстремално високите температури, силните ветрове и замърсяването на въздуха</w:t>
            </w:r>
          </w:p>
        </w:tc>
        <w:tc>
          <w:tcPr>
            <w:tcW w:w="2191" w:type="pct"/>
            <w:vAlign w:val="center"/>
          </w:tcPr>
          <w:p w:rsidR="00AA4661" w:rsidRPr="00F8728A" w:rsidRDefault="00AA4661" w:rsidP="00DB7CDB">
            <w:pPr>
              <w:spacing w:before="40" w:after="40"/>
              <w:jc w:val="both"/>
              <w:rPr>
                <w:rFonts w:ascii="Calibri" w:hAnsi="Calibri" w:cs="Calibri"/>
                <w:sz w:val="22"/>
              </w:rPr>
            </w:pPr>
            <w:r w:rsidRPr="00F8728A">
              <w:rPr>
                <w:rFonts w:ascii="Calibri" w:hAnsi="Calibri" w:cs="Calibri"/>
                <w:sz w:val="22"/>
              </w:rPr>
              <w:t>Устройствените плановете се придружават от схеми на зелената система, доста често изготвени формално. Нужда от по-подробни изследвания и препоръчани мерки.</w:t>
            </w:r>
          </w:p>
        </w:tc>
        <w:tc>
          <w:tcPr>
            <w:tcW w:w="1035" w:type="pct"/>
            <w:vAlign w:val="center"/>
          </w:tcPr>
          <w:p w:rsidR="00AA4661" w:rsidRPr="00F8728A" w:rsidRDefault="00AA4661" w:rsidP="00314C63">
            <w:pPr>
              <w:spacing w:before="60" w:after="60"/>
              <w:jc w:val="center"/>
              <w:rPr>
                <w:rFonts w:ascii="Calibri" w:hAnsi="Calibri" w:cs="Calibri"/>
                <w:sz w:val="22"/>
              </w:rPr>
            </w:pPr>
            <w:r w:rsidRPr="00F8728A">
              <w:rPr>
                <w:rFonts w:ascii="Calibri" w:hAnsi="Calibri" w:cs="Calibri"/>
                <w:sz w:val="22"/>
              </w:rPr>
              <w:t>Местни власти, ЕСУТ, РИОСВ, консултантски фирми по планиране</w:t>
            </w:r>
          </w:p>
        </w:tc>
      </w:tr>
      <w:tr w:rsidR="00AA4661" w:rsidRPr="00F8728A" w:rsidTr="004B1A4E">
        <w:trPr>
          <w:cantSplit/>
          <w:jc w:val="center"/>
        </w:trPr>
        <w:tc>
          <w:tcPr>
            <w:tcW w:w="5000" w:type="pct"/>
            <w:gridSpan w:val="3"/>
            <w:shd w:val="clear" w:color="auto" w:fill="A8D08D"/>
            <w:vAlign w:val="center"/>
          </w:tcPr>
          <w:p w:rsidR="00AA4661" w:rsidRPr="00F8728A" w:rsidRDefault="00AA4661" w:rsidP="00386031">
            <w:pPr>
              <w:spacing w:before="20" w:after="20"/>
              <w:jc w:val="center"/>
              <w:rPr>
                <w:rFonts w:ascii="Calibri" w:hAnsi="Calibri" w:cs="Calibri"/>
                <w:b/>
                <w:sz w:val="24"/>
                <w:szCs w:val="24"/>
              </w:rPr>
            </w:pPr>
            <w:r w:rsidRPr="00F8728A">
              <w:rPr>
                <w:rFonts w:ascii="Calibri" w:hAnsi="Calibri" w:cs="Calibri"/>
                <w:b/>
                <w:sz w:val="24"/>
                <w:szCs w:val="24"/>
              </w:rPr>
              <w:t>Градски зони</w:t>
            </w:r>
          </w:p>
        </w:tc>
      </w:tr>
      <w:tr w:rsidR="00AA4661" w:rsidRPr="00F8728A" w:rsidTr="004B1A4E">
        <w:trPr>
          <w:cantSplit/>
          <w:jc w:val="center"/>
        </w:trPr>
        <w:tc>
          <w:tcPr>
            <w:tcW w:w="1773" w:type="pct"/>
            <w:vAlign w:val="center"/>
          </w:tcPr>
          <w:p w:rsidR="00AA4661" w:rsidRPr="00F8728A" w:rsidRDefault="00AA4661" w:rsidP="00211574">
            <w:pPr>
              <w:spacing w:before="40" w:after="40"/>
              <w:jc w:val="both"/>
              <w:rPr>
                <w:rFonts w:ascii="Calibri" w:hAnsi="Calibri" w:cs="Calibri"/>
                <w:sz w:val="22"/>
              </w:rPr>
            </w:pPr>
            <w:r w:rsidRPr="00F8728A">
              <w:rPr>
                <w:rFonts w:ascii="Calibri" w:hAnsi="Calibri" w:cs="Calibri"/>
                <w:sz w:val="22"/>
              </w:rPr>
              <w:t>Приоритетно развитие на замърсени/“кафеви“ терени вместо на зелени</w:t>
            </w:r>
          </w:p>
        </w:tc>
        <w:tc>
          <w:tcPr>
            <w:tcW w:w="2191" w:type="pct"/>
            <w:vAlign w:val="center"/>
          </w:tcPr>
          <w:p w:rsidR="00AA4661" w:rsidRPr="00F8728A" w:rsidRDefault="00AA4661" w:rsidP="00211574">
            <w:pPr>
              <w:spacing w:before="40" w:after="40"/>
              <w:jc w:val="both"/>
              <w:rPr>
                <w:rFonts w:ascii="Calibri" w:hAnsi="Calibri" w:cs="Calibri"/>
                <w:sz w:val="22"/>
              </w:rPr>
            </w:pPr>
            <w:r w:rsidRPr="00F8728A">
              <w:rPr>
                <w:rFonts w:ascii="Calibri" w:hAnsi="Calibri" w:cs="Calibri"/>
                <w:sz w:val="22"/>
              </w:rPr>
              <w:t>Подобен вид развитие трябва да бъде стимулирано чрез подходящи инструменти, специално за градове с огромни и изоставени индустриални зони</w:t>
            </w:r>
          </w:p>
        </w:tc>
        <w:tc>
          <w:tcPr>
            <w:tcW w:w="1035" w:type="pct"/>
            <w:vAlign w:val="center"/>
          </w:tcPr>
          <w:p w:rsidR="00AA4661" w:rsidRPr="00F8728A" w:rsidRDefault="00AA4661" w:rsidP="00211574">
            <w:pPr>
              <w:spacing w:after="0"/>
              <w:jc w:val="center"/>
              <w:rPr>
                <w:rFonts w:ascii="Calibri" w:hAnsi="Calibri" w:cs="Calibri"/>
                <w:sz w:val="22"/>
              </w:rPr>
            </w:pPr>
            <w:r w:rsidRPr="00F8728A">
              <w:rPr>
                <w:rFonts w:ascii="Calibri" w:hAnsi="Calibri" w:cs="Calibri"/>
                <w:sz w:val="22"/>
              </w:rPr>
              <w:t>МРРБ, ОПРР, МФ, местни власти</w:t>
            </w:r>
          </w:p>
        </w:tc>
      </w:tr>
      <w:tr w:rsidR="00AA4661" w:rsidRPr="00F8728A" w:rsidTr="004B1A4E">
        <w:trPr>
          <w:cantSplit/>
          <w:jc w:val="center"/>
        </w:trPr>
        <w:tc>
          <w:tcPr>
            <w:tcW w:w="5000" w:type="pct"/>
            <w:gridSpan w:val="3"/>
            <w:shd w:val="clear" w:color="auto" w:fill="A8D08D"/>
            <w:vAlign w:val="center"/>
          </w:tcPr>
          <w:p w:rsidR="00AA4661" w:rsidRPr="00F8728A" w:rsidRDefault="00AA4661" w:rsidP="00386031">
            <w:pPr>
              <w:spacing w:before="20" w:after="20"/>
              <w:jc w:val="center"/>
              <w:rPr>
                <w:rFonts w:ascii="Calibri" w:hAnsi="Calibri" w:cs="Calibri"/>
                <w:b/>
                <w:sz w:val="24"/>
                <w:szCs w:val="24"/>
              </w:rPr>
            </w:pPr>
            <w:r w:rsidRPr="00F8728A">
              <w:rPr>
                <w:rFonts w:ascii="Calibri" w:hAnsi="Calibri" w:cs="Calibri"/>
                <w:b/>
                <w:sz w:val="24"/>
                <w:szCs w:val="24"/>
              </w:rPr>
              <w:t>Публични открити пространства/Сгради</w:t>
            </w:r>
          </w:p>
        </w:tc>
      </w:tr>
      <w:tr w:rsidR="00AA4661" w:rsidRPr="00F8728A" w:rsidTr="004B1A4E">
        <w:trPr>
          <w:cantSplit/>
          <w:jc w:val="center"/>
        </w:trPr>
        <w:tc>
          <w:tcPr>
            <w:tcW w:w="1773" w:type="pct"/>
            <w:vMerge w:val="restar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Постигане на стандартите за сградите за енергоспестяване и енергийна ефективност, подобрявайки цялостната устойчивост и безопасност на жилищния фонд</w:t>
            </w:r>
          </w:p>
        </w:tc>
        <w:tc>
          <w:tcPr>
            <w:tcW w:w="2191" w:type="pct"/>
            <w:vAlign w:val="center"/>
          </w:tcPr>
          <w:p w:rsidR="00AA4661" w:rsidRPr="00F8728A" w:rsidRDefault="00AA4661" w:rsidP="00211574">
            <w:pPr>
              <w:spacing w:before="40" w:after="40"/>
              <w:jc w:val="both"/>
              <w:rPr>
                <w:rFonts w:ascii="Calibri" w:hAnsi="Calibri" w:cs="Calibri"/>
                <w:sz w:val="22"/>
              </w:rPr>
            </w:pPr>
            <w:r w:rsidRPr="00F8728A">
              <w:rPr>
                <w:rFonts w:ascii="Calibri" w:hAnsi="Calibri" w:cs="Calibri"/>
                <w:sz w:val="22"/>
              </w:rPr>
              <w:t>Изготвяне на технически паспорти на сградите с характеристики за енергийна ефективност след наблюдение и конструктивно обследване</w:t>
            </w:r>
          </w:p>
        </w:tc>
        <w:tc>
          <w:tcPr>
            <w:tcW w:w="1035" w:type="pct"/>
            <w:vAlign w:val="center"/>
          </w:tcPr>
          <w:p w:rsidR="00AA4661" w:rsidRPr="00F8728A" w:rsidRDefault="00AA4661" w:rsidP="00314C63">
            <w:pPr>
              <w:spacing w:before="60" w:after="60"/>
              <w:jc w:val="center"/>
              <w:rPr>
                <w:rFonts w:ascii="Calibri" w:hAnsi="Calibri" w:cs="Calibri"/>
                <w:sz w:val="22"/>
              </w:rPr>
            </w:pPr>
            <w:r w:rsidRPr="00F8728A">
              <w:rPr>
                <w:rFonts w:ascii="Calibri" w:hAnsi="Calibri" w:cs="Calibri"/>
                <w:sz w:val="22"/>
              </w:rPr>
              <w:t>МРРБ, консултантски фирми</w:t>
            </w:r>
          </w:p>
        </w:tc>
      </w:tr>
      <w:tr w:rsidR="00AA4661" w:rsidRPr="00F8728A" w:rsidTr="004B1A4E">
        <w:trPr>
          <w:cantSplit/>
          <w:jc w:val="center"/>
        </w:trPr>
        <w:tc>
          <w:tcPr>
            <w:tcW w:w="1773" w:type="pct"/>
            <w:vMerge/>
            <w:vAlign w:val="center"/>
          </w:tcPr>
          <w:p w:rsidR="00AA4661" w:rsidRPr="00F8728A" w:rsidRDefault="00AA4661" w:rsidP="00386031">
            <w:pPr>
              <w:spacing w:before="40" w:after="40"/>
              <w:jc w:val="both"/>
              <w:rPr>
                <w:rFonts w:ascii="Calibri" w:hAnsi="Calibri" w:cs="Calibri"/>
                <w:sz w:val="22"/>
              </w:rPr>
            </w:pPr>
          </w:p>
        </w:tc>
        <w:tc>
          <w:tcPr>
            <w:tcW w:w="2191"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Изпълнение на програмите за обновяване на сградите и инова-ционни проекти за по-ефикасни системи за отопление/охлаждане</w:t>
            </w:r>
          </w:p>
        </w:tc>
        <w:tc>
          <w:tcPr>
            <w:tcW w:w="1035" w:type="pct"/>
            <w:vAlign w:val="center"/>
          </w:tcPr>
          <w:p w:rsidR="00AA4661" w:rsidRPr="00F8728A" w:rsidRDefault="00AA4661" w:rsidP="00314C63">
            <w:pPr>
              <w:spacing w:before="60" w:after="60"/>
              <w:jc w:val="center"/>
              <w:rPr>
                <w:rFonts w:ascii="Calibri" w:hAnsi="Calibri" w:cs="Calibri"/>
                <w:sz w:val="22"/>
              </w:rPr>
            </w:pPr>
            <w:r w:rsidRPr="00F8728A">
              <w:rPr>
                <w:rFonts w:ascii="Calibri" w:hAnsi="Calibri" w:cs="Calibri"/>
                <w:sz w:val="22"/>
              </w:rPr>
              <w:t>МРРБ, местни власти, консултантски фирми</w:t>
            </w:r>
          </w:p>
        </w:tc>
      </w:tr>
      <w:tr w:rsidR="00AA4661" w:rsidRPr="00F8728A" w:rsidTr="004B1A4E">
        <w:trPr>
          <w:cantSplit/>
          <w:jc w:val="center"/>
        </w:trPr>
        <w:tc>
          <w:tcPr>
            <w:tcW w:w="1773" w:type="pct"/>
            <w:vAlign w:val="center"/>
          </w:tcPr>
          <w:p w:rsidR="00AA4661" w:rsidRPr="00F8728A" w:rsidRDefault="00AA4661" w:rsidP="00032F94">
            <w:pPr>
              <w:spacing w:before="60" w:after="60"/>
              <w:rPr>
                <w:rFonts w:ascii="Calibri" w:hAnsi="Calibri" w:cs="Calibri"/>
                <w:sz w:val="22"/>
              </w:rPr>
            </w:pPr>
            <w:r w:rsidRPr="00F8728A">
              <w:rPr>
                <w:rFonts w:ascii="Calibri" w:hAnsi="Calibri" w:cs="Calibri"/>
                <w:sz w:val="22"/>
              </w:rPr>
              <w:t>Креативни  архитектурни проекти за увеличаване на комфорта и създаване на естествена вентилация/засенчване</w:t>
            </w:r>
          </w:p>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Строителство с предвиждане на допълнителна височина, която позволява следващи модификации, съвместими с прогнозите за температурите</w:t>
            </w:r>
          </w:p>
        </w:tc>
        <w:tc>
          <w:tcPr>
            <w:tcW w:w="2191"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Архитектурните проекти не са обект на контрол по тези въпроси, а само относно съответствието на технически норми. Нужда от по-добър контрол в процеса на одобряване на проектите и от изменения на конструктивните норми.</w:t>
            </w:r>
          </w:p>
        </w:tc>
        <w:tc>
          <w:tcPr>
            <w:tcW w:w="1035" w:type="pct"/>
            <w:vAlign w:val="center"/>
          </w:tcPr>
          <w:p w:rsidR="00AA4661" w:rsidRPr="00F8728A" w:rsidRDefault="00AA4661" w:rsidP="00314C63">
            <w:pPr>
              <w:spacing w:before="60" w:after="60"/>
              <w:jc w:val="center"/>
              <w:rPr>
                <w:rFonts w:ascii="Calibri" w:hAnsi="Calibri" w:cs="Calibri"/>
                <w:sz w:val="22"/>
              </w:rPr>
            </w:pPr>
            <w:r w:rsidRPr="00F8728A">
              <w:rPr>
                <w:rFonts w:ascii="Calibri" w:hAnsi="Calibri" w:cs="Calibri"/>
                <w:sz w:val="22"/>
              </w:rPr>
              <w:t>МРРБ, местни власти, експертни съвети, Архитектурни фирми за консултации и проектиране</w:t>
            </w:r>
          </w:p>
        </w:tc>
      </w:tr>
      <w:tr w:rsidR="00AA4661" w:rsidRPr="00F8728A" w:rsidTr="004B1A4E">
        <w:trPr>
          <w:cantSplit/>
          <w:jc w:val="center"/>
        </w:trPr>
        <w:tc>
          <w:tcPr>
            <w:tcW w:w="1773"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Производство и приложение на строителни материали за сгради и публични открити пространства с добри изолационни характеристики</w:t>
            </w:r>
          </w:p>
        </w:tc>
        <w:tc>
          <w:tcPr>
            <w:tcW w:w="2191" w:type="pct"/>
            <w:vAlign w:val="center"/>
          </w:tcPr>
          <w:p w:rsidR="00AA4661" w:rsidRPr="00F8728A" w:rsidRDefault="00AA4661" w:rsidP="00C01F15">
            <w:pPr>
              <w:spacing w:before="40" w:after="40"/>
              <w:jc w:val="both"/>
              <w:rPr>
                <w:rFonts w:ascii="Calibri" w:hAnsi="Calibri" w:cs="Calibri"/>
                <w:sz w:val="22"/>
              </w:rPr>
            </w:pPr>
            <w:r w:rsidRPr="00F8728A">
              <w:rPr>
                <w:rFonts w:ascii="Calibri" w:hAnsi="Calibri" w:cs="Calibri"/>
                <w:sz w:val="22"/>
              </w:rPr>
              <w:t>Еврокодовете и националните норми трябва да бъдат актуализирани по отношение на високи температури в съответствие с предвижданията за екстремни температури.</w:t>
            </w:r>
          </w:p>
        </w:tc>
        <w:tc>
          <w:tcPr>
            <w:tcW w:w="1035" w:type="pct"/>
            <w:vAlign w:val="center"/>
          </w:tcPr>
          <w:p w:rsidR="00AA4661" w:rsidRPr="00F8728A" w:rsidRDefault="00AA4661" w:rsidP="00314C63">
            <w:pPr>
              <w:spacing w:before="60" w:after="60"/>
              <w:jc w:val="center"/>
              <w:rPr>
                <w:rFonts w:ascii="Calibri" w:hAnsi="Calibri" w:cs="Calibri"/>
                <w:sz w:val="22"/>
              </w:rPr>
            </w:pPr>
            <w:r w:rsidRPr="00F8728A">
              <w:rPr>
                <w:rFonts w:ascii="Calibri" w:hAnsi="Calibri" w:cs="Calibri"/>
                <w:sz w:val="22"/>
              </w:rPr>
              <w:t>МРРБ, Български институт за стандартизация,  (БИС)</w:t>
            </w:r>
          </w:p>
        </w:tc>
      </w:tr>
    </w:tbl>
    <w:p w:rsidR="00AA4661" w:rsidRPr="00B73D7E" w:rsidRDefault="00AA4661" w:rsidP="00656190">
      <w:pPr>
        <w:pStyle w:val="BodyText"/>
        <w:numPr>
          <w:ilvl w:val="0"/>
          <w:numId w:val="0"/>
        </w:numPr>
        <w:spacing w:before="60" w:after="200"/>
        <w:rPr>
          <w:rFonts w:ascii="Calibri" w:hAnsi="Calibri" w:cs="Calibri"/>
          <w:i/>
          <w:color w:val="FF0000"/>
          <w:sz w:val="20"/>
          <w:lang w:val="bg-BG"/>
        </w:rPr>
      </w:pPr>
      <w:r w:rsidRPr="00B73D7E">
        <w:rPr>
          <w:rFonts w:ascii="Calibri" w:hAnsi="Calibri" w:cs="Calibri"/>
          <w:i/>
          <w:sz w:val="20"/>
          <w:lang w:val="bg-BG"/>
        </w:rPr>
        <w:t>Бележка: МОН – Министерство на образованието и науката, МФ – Министерство на финансите, РИОСВ – Регионална инспекция по околната среда и водите</w:t>
      </w:r>
    </w:p>
    <w:p w:rsidR="00AA4661" w:rsidRPr="00B73D7E" w:rsidRDefault="00AA4661" w:rsidP="00CF297A">
      <w:pPr>
        <w:pStyle w:val="BodyText"/>
        <w:numPr>
          <w:ilvl w:val="0"/>
          <w:numId w:val="41"/>
        </w:numPr>
        <w:ind w:left="0" w:firstLine="0"/>
        <w:rPr>
          <w:color w:val="FF0000"/>
          <w:lang w:val="bg-BG"/>
        </w:rPr>
      </w:pPr>
      <w:r w:rsidRPr="00B73D7E">
        <w:rPr>
          <w:lang w:val="bg-BG"/>
        </w:rPr>
        <w:lastRenderedPageBreak/>
        <w:t xml:space="preserve">Увеличеният брой дни с </w:t>
      </w:r>
      <w:r w:rsidRPr="00B73D7E">
        <w:rPr>
          <w:b/>
          <w:lang w:val="bg-BG"/>
        </w:rPr>
        <w:t>интензивни валежи</w:t>
      </w:r>
      <w:r w:rsidRPr="00B73D7E">
        <w:rPr>
          <w:lang w:val="bg-BG"/>
        </w:rPr>
        <w:t>, често съпътствани от бури и градушки, е причина за по-чести наводнения и значителни щети през последните години (</w:t>
      </w:r>
      <w:r w:rsidRPr="00B73D7E">
        <w:rPr>
          <w:b/>
          <w:i/>
          <w:lang w:val="bg-BG"/>
        </w:rPr>
        <w:t>таблица 5</w:t>
      </w:r>
      <w:r w:rsidRPr="00B73D7E">
        <w:rPr>
          <w:lang w:val="bg-BG"/>
        </w:rPr>
        <w:t xml:space="preserve">). Специфичните мерки за справяне със силни валежи в градовете целят адаптация към увеличението на дъждовните води в кратък период от време, намаляване на риска за населението, инфраструктурата и имуществото. Европейските и други международни документи описват различни варианти за адаптация и примери за добри практики за зелена архитектура (зелени покриви, стени, паркинги и други зелени структури), линейни паркове и градски реки (Сеул, Париж, Ню Йорк, Копенхаген и др.). Най-подходящите варианти за градската среда в България са систематизирани в </w:t>
      </w:r>
      <w:r w:rsidRPr="00B73D7E">
        <w:rPr>
          <w:b/>
          <w:i/>
          <w:lang w:val="bg-BG"/>
        </w:rPr>
        <w:t>таблица 11</w:t>
      </w:r>
      <w:r w:rsidRPr="00B73D7E">
        <w:rPr>
          <w:lang w:val="bg-BG"/>
        </w:rPr>
        <w:t>.</w:t>
      </w:r>
      <w:r w:rsidRPr="00B73D7E">
        <w:rPr>
          <w:color w:val="FF0000"/>
          <w:lang w:val="bg-BG"/>
        </w:rPr>
        <w:t xml:space="preserve"> </w:t>
      </w:r>
    </w:p>
    <w:p w:rsidR="00AA4661" w:rsidRPr="00F8728A" w:rsidRDefault="00AA4661" w:rsidP="00B73D7E">
      <w:pPr>
        <w:pStyle w:val="FiguresTablesCaption"/>
      </w:pPr>
      <w:bookmarkStart w:id="650" w:name="_Toc529286638"/>
      <w:r w:rsidRPr="00F8728A">
        <w:t xml:space="preserve">Таблица </w:t>
      </w:r>
      <w:r w:rsidRPr="00F8728A">
        <w:fldChar w:fldCharType="begin"/>
      </w:r>
      <w:r w:rsidRPr="00F8728A">
        <w:instrText xml:space="preserve"> SEQ Table \* ARABIC </w:instrText>
      </w:r>
      <w:r w:rsidRPr="00F8728A">
        <w:fldChar w:fldCharType="separate"/>
      </w:r>
      <w:r w:rsidRPr="00F8728A">
        <w:t>11</w:t>
      </w:r>
      <w:r w:rsidRPr="00F8728A">
        <w:fldChar w:fldCharType="end"/>
      </w:r>
      <w:r w:rsidRPr="00F8728A">
        <w:t>. Възможни варианти за адаптация, свързани с интензивните валежи</w:t>
      </w:r>
      <w:bookmarkEnd w:id="650"/>
    </w:p>
    <w:tbl>
      <w:tblPr>
        <w:tblW w:w="5000"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3308"/>
        <w:gridCol w:w="4052"/>
        <w:gridCol w:w="1940"/>
      </w:tblGrid>
      <w:tr w:rsidR="00AA4661" w:rsidRPr="00F8728A" w:rsidTr="00FC2D66">
        <w:trPr>
          <w:cantSplit/>
          <w:trHeight w:val="233"/>
          <w:tblHeader/>
          <w:jc w:val="center"/>
        </w:trPr>
        <w:tc>
          <w:tcPr>
            <w:tcW w:w="1783" w:type="pct"/>
            <w:shd w:val="clear" w:color="auto" w:fill="365F91"/>
            <w:vAlign w:val="center"/>
          </w:tcPr>
          <w:p w:rsidR="00AA4661" w:rsidRPr="00F8728A" w:rsidRDefault="00AA4661" w:rsidP="00386031">
            <w:pPr>
              <w:spacing w:before="60" w:after="60"/>
              <w:jc w:val="center"/>
              <w:rPr>
                <w:rFonts w:ascii="Calibri" w:hAnsi="Calibri" w:cs="Calibri"/>
                <w:b/>
                <w:color w:val="FFFFFF"/>
                <w:sz w:val="22"/>
              </w:rPr>
            </w:pPr>
            <w:r w:rsidRPr="00F8728A">
              <w:rPr>
                <w:rFonts w:ascii="Calibri" w:hAnsi="Calibri" w:cs="Calibri"/>
                <w:b/>
                <w:color w:val="FFFFFF"/>
                <w:sz w:val="24"/>
                <w:szCs w:val="24"/>
              </w:rPr>
              <w:t>Специфични варианти за адаптация</w:t>
            </w:r>
          </w:p>
        </w:tc>
        <w:tc>
          <w:tcPr>
            <w:tcW w:w="2182" w:type="pct"/>
            <w:shd w:val="clear" w:color="auto" w:fill="365F91"/>
            <w:vAlign w:val="center"/>
          </w:tcPr>
          <w:p w:rsidR="00AA4661" w:rsidRPr="00F8728A" w:rsidRDefault="00AA4661" w:rsidP="00386031">
            <w:pPr>
              <w:spacing w:before="60" w:after="60"/>
              <w:jc w:val="center"/>
              <w:rPr>
                <w:rFonts w:ascii="Calibri" w:hAnsi="Calibri" w:cs="Calibri"/>
                <w:b/>
                <w:color w:val="FFFFFF"/>
                <w:sz w:val="22"/>
              </w:rPr>
            </w:pPr>
            <w:r w:rsidRPr="00F8728A">
              <w:rPr>
                <w:rFonts w:ascii="Calibri" w:hAnsi="Calibri" w:cs="Calibri"/>
                <w:b/>
                <w:color w:val="FFFFFF"/>
                <w:sz w:val="24"/>
                <w:szCs w:val="24"/>
              </w:rPr>
              <w:t xml:space="preserve">Релевантност към градската среда </w:t>
            </w:r>
          </w:p>
        </w:tc>
        <w:tc>
          <w:tcPr>
            <w:tcW w:w="1035" w:type="pct"/>
            <w:shd w:val="clear" w:color="auto" w:fill="365F91"/>
            <w:vAlign w:val="center"/>
          </w:tcPr>
          <w:p w:rsidR="00AA4661" w:rsidRPr="00F8728A" w:rsidRDefault="00AA4661" w:rsidP="00386031">
            <w:pPr>
              <w:spacing w:before="60" w:after="60"/>
              <w:jc w:val="center"/>
              <w:rPr>
                <w:rFonts w:ascii="Calibri" w:hAnsi="Calibri" w:cs="Calibri"/>
                <w:b/>
                <w:color w:val="FFFFFF"/>
                <w:sz w:val="22"/>
              </w:rPr>
            </w:pPr>
            <w:r w:rsidRPr="00F8728A">
              <w:rPr>
                <w:rFonts w:ascii="Calibri" w:hAnsi="Calibri" w:cs="Calibri"/>
                <w:b/>
                <w:color w:val="FFFFFF"/>
                <w:sz w:val="24"/>
                <w:szCs w:val="24"/>
              </w:rPr>
              <w:t>Участници</w:t>
            </w:r>
          </w:p>
        </w:tc>
      </w:tr>
      <w:tr w:rsidR="00AA4661" w:rsidRPr="00F8728A" w:rsidTr="004B1A4E">
        <w:trPr>
          <w:cantSplit/>
          <w:trHeight w:val="233"/>
          <w:jc w:val="center"/>
        </w:trPr>
        <w:tc>
          <w:tcPr>
            <w:tcW w:w="5000" w:type="pct"/>
            <w:gridSpan w:val="3"/>
            <w:shd w:val="clear" w:color="auto" w:fill="A8D08D"/>
            <w:vAlign w:val="center"/>
          </w:tcPr>
          <w:p w:rsidR="00AA4661" w:rsidRPr="00F8728A" w:rsidRDefault="00AA4661" w:rsidP="00386031">
            <w:pPr>
              <w:spacing w:before="20" w:after="20"/>
              <w:jc w:val="center"/>
              <w:rPr>
                <w:rFonts w:ascii="Calibri" w:hAnsi="Calibri" w:cs="Calibri"/>
                <w:b/>
                <w:color w:val="FFFFFF"/>
                <w:sz w:val="24"/>
                <w:szCs w:val="24"/>
              </w:rPr>
            </w:pPr>
            <w:r w:rsidRPr="00F8728A">
              <w:rPr>
                <w:rFonts w:ascii="Calibri" w:hAnsi="Calibri" w:cs="Calibri"/>
                <w:b/>
                <w:sz w:val="24"/>
                <w:szCs w:val="24"/>
              </w:rPr>
              <w:t>Наднационално ниво</w:t>
            </w:r>
          </w:p>
        </w:tc>
      </w:tr>
      <w:tr w:rsidR="00AA4661" w:rsidRPr="00F8728A" w:rsidTr="00FC2D66">
        <w:trPr>
          <w:cantSplit/>
          <w:jc w:val="center"/>
        </w:trPr>
        <w:tc>
          <w:tcPr>
            <w:tcW w:w="1783"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Обмен на информация и знания със СМО и програмата „World Weather Watch“ за ранни действия</w:t>
            </w:r>
          </w:p>
        </w:tc>
        <w:tc>
          <w:tcPr>
            <w:tcW w:w="2182"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Националният институт по метеорология и хидрология (БАН) има установени връзки на сътрудничество със СМО и европейските институции.</w:t>
            </w:r>
          </w:p>
        </w:tc>
        <w:tc>
          <w:tcPr>
            <w:tcW w:w="1035" w:type="pct"/>
            <w:vAlign w:val="center"/>
          </w:tcPr>
          <w:p w:rsidR="00AA4661" w:rsidRPr="00F8728A" w:rsidRDefault="00AA4661" w:rsidP="00314C63">
            <w:pPr>
              <w:spacing w:before="60" w:after="60"/>
              <w:jc w:val="center"/>
              <w:rPr>
                <w:rFonts w:ascii="Calibri" w:hAnsi="Calibri" w:cs="Calibri"/>
                <w:sz w:val="22"/>
              </w:rPr>
            </w:pPr>
            <w:r w:rsidRPr="00F8728A">
              <w:rPr>
                <w:rFonts w:ascii="Calibri" w:hAnsi="Calibri" w:cs="Calibri"/>
                <w:sz w:val="22"/>
              </w:rPr>
              <w:t>НИМХ (БАН)</w:t>
            </w:r>
          </w:p>
        </w:tc>
      </w:tr>
      <w:tr w:rsidR="00AA4661" w:rsidRPr="00F8728A" w:rsidTr="004B1A4E">
        <w:trPr>
          <w:cantSplit/>
          <w:jc w:val="center"/>
        </w:trPr>
        <w:tc>
          <w:tcPr>
            <w:tcW w:w="5000" w:type="pct"/>
            <w:gridSpan w:val="3"/>
            <w:shd w:val="clear" w:color="auto" w:fill="A8D08D"/>
            <w:vAlign w:val="center"/>
          </w:tcPr>
          <w:p w:rsidR="00AA4661" w:rsidRPr="00F8728A" w:rsidRDefault="00AA4661" w:rsidP="00386031">
            <w:pPr>
              <w:spacing w:before="20" w:after="20"/>
              <w:jc w:val="center"/>
              <w:rPr>
                <w:rFonts w:ascii="Calibri" w:hAnsi="Calibri" w:cs="Calibri"/>
                <w:b/>
                <w:sz w:val="24"/>
                <w:szCs w:val="24"/>
              </w:rPr>
            </w:pPr>
            <w:r w:rsidRPr="00F8728A">
              <w:rPr>
                <w:rFonts w:ascii="Calibri" w:hAnsi="Calibri" w:cs="Calibri"/>
                <w:b/>
                <w:sz w:val="24"/>
                <w:szCs w:val="24"/>
              </w:rPr>
              <w:t>Национално ниво</w:t>
            </w:r>
          </w:p>
        </w:tc>
      </w:tr>
      <w:tr w:rsidR="00AA4661" w:rsidRPr="00F8728A" w:rsidTr="00FC2D66">
        <w:trPr>
          <w:cantSplit/>
          <w:jc w:val="center"/>
        </w:trPr>
        <w:tc>
          <w:tcPr>
            <w:tcW w:w="1783"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Да се заложат предвижданията за валежите в документите за национално, регионално и пространствено развитие – Национална концепция за пространствено развитие (2013–2025 г.) и Национална стратегия за регионално развитие (2012–2022г.)</w:t>
            </w:r>
          </w:p>
        </w:tc>
        <w:tc>
          <w:tcPr>
            <w:tcW w:w="2182"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НКПР (2013–2025) не представя зоните на интензивни валежи с градове изложени на риск. Картографирането на тези области ще окаже подкрепа на действията за АИК на местно ниво.</w:t>
            </w:r>
          </w:p>
        </w:tc>
        <w:tc>
          <w:tcPr>
            <w:tcW w:w="1035" w:type="pct"/>
            <w:vAlign w:val="center"/>
          </w:tcPr>
          <w:p w:rsidR="00AA4661" w:rsidRPr="00F8728A" w:rsidRDefault="00AA4661" w:rsidP="00314C63">
            <w:pPr>
              <w:spacing w:before="60" w:after="60"/>
              <w:jc w:val="center"/>
              <w:rPr>
                <w:rFonts w:ascii="Calibri" w:hAnsi="Calibri" w:cs="Calibri"/>
                <w:sz w:val="22"/>
              </w:rPr>
            </w:pPr>
            <w:r w:rsidRPr="00F8728A">
              <w:rPr>
                <w:rFonts w:ascii="Calibri" w:hAnsi="Calibri" w:cs="Calibri"/>
                <w:sz w:val="22"/>
              </w:rPr>
              <w:t>МРРБ, ОПРР, басейнови дирекции</w:t>
            </w:r>
          </w:p>
        </w:tc>
      </w:tr>
      <w:tr w:rsidR="00AA4661" w:rsidRPr="00F8728A" w:rsidTr="00FC2D66">
        <w:trPr>
          <w:cantSplit/>
          <w:jc w:val="center"/>
        </w:trPr>
        <w:tc>
          <w:tcPr>
            <w:tcW w:w="1783" w:type="pct"/>
            <w:vAlign w:val="center"/>
          </w:tcPr>
          <w:p w:rsidR="00AA4661" w:rsidRPr="00F8728A" w:rsidRDefault="00AA4661" w:rsidP="00FB6640">
            <w:pPr>
              <w:spacing w:before="40" w:after="40"/>
              <w:jc w:val="both"/>
              <w:rPr>
                <w:rFonts w:ascii="Calibri" w:hAnsi="Calibri" w:cs="Calibri"/>
                <w:sz w:val="22"/>
              </w:rPr>
            </w:pPr>
            <w:r w:rsidRPr="00F8728A">
              <w:rPr>
                <w:rFonts w:ascii="Calibri" w:hAnsi="Calibri" w:cs="Calibri"/>
                <w:sz w:val="22"/>
              </w:rPr>
              <w:t xml:space="preserve">Доразвиване на „модул“ за валежите в Системата за ранно предупреждение и оповестяване </w:t>
            </w:r>
          </w:p>
        </w:tc>
        <w:tc>
          <w:tcPr>
            <w:tcW w:w="2182"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Националната система за ранно предупреждение и оповестяване функционира добре, но се нуждае от допълнително разработване за по-малките и отдалечените градове.</w:t>
            </w:r>
          </w:p>
        </w:tc>
        <w:tc>
          <w:tcPr>
            <w:tcW w:w="1035" w:type="pct"/>
            <w:vAlign w:val="center"/>
          </w:tcPr>
          <w:p w:rsidR="00AA4661" w:rsidRPr="00F8728A" w:rsidRDefault="00AA4661" w:rsidP="00386031">
            <w:pPr>
              <w:spacing w:after="0"/>
              <w:jc w:val="center"/>
              <w:rPr>
                <w:rFonts w:ascii="Calibri" w:hAnsi="Calibri" w:cs="Calibri"/>
                <w:sz w:val="22"/>
              </w:rPr>
            </w:pPr>
            <w:r w:rsidRPr="00F8728A">
              <w:rPr>
                <w:rFonts w:ascii="Calibri" w:hAnsi="Calibri" w:cs="Calibri"/>
                <w:sz w:val="22"/>
              </w:rPr>
              <w:t>МВР, управители, кметове</w:t>
            </w:r>
          </w:p>
        </w:tc>
      </w:tr>
      <w:tr w:rsidR="00AA4661" w:rsidRPr="00F8728A" w:rsidTr="00FC2D66">
        <w:trPr>
          <w:cantSplit/>
          <w:jc w:val="center"/>
        </w:trPr>
        <w:tc>
          <w:tcPr>
            <w:tcW w:w="1783"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Допълване на Националната стратегия за развитие на научните изследвания, с приоритет за АИК</w:t>
            </w:r>
          </w:p>
        </w:tc>
        <w:tc>
          <w:tcPr>
            <w:tcW w:w="2182"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Необходимост АИК на градската среда и всички свързани теми да станат приоритетни</w:t>
            </w:r>
          </w:p>
        </w:tc>
        <w:tc>
          <w:tcPr>
            <w:tcW w:w="1035" w:type="pct"/>
            <w:vAlign w:val="center"/>
          </w:tcPr>
          <w:p w:rsidR="00AA4661" w:rsidRPr="00F8728A" w:rsidRDefault="00AA4661" w:rsidP="00386031">
            <w:pPr>
              <w:spacing w:after="0"/>
              <w:jc w:val="center"/>
              <w:rPr>
                <w:rFonts w:ascii="Calibri" w:hAnsi="Calibri" w:cs="Calibri"/>
                <w:sz w:val="22"/>
              </w:rPr>
            </w:pPr>
            <w:r w:rsidRPr="00F8728A">
              <w:rPr>
                <w:rFonts w:ascii="Calibri" w:hAnsi="Calibri" w:cs="Calibri"/>
                <w:sz w:val="22"/>
              </w:rPr>
              <w:t>МОН, БАН</w:t>
            </w:r>
          </w:p>
        </w:tc>
      </w:tr>
      <w:tr w:rsidR="00AA4661" w:rsidRPr="00F8728A" w:rsidTr="00FC2D66">
        <w:trPr>
          <w:cantSplit/>
          <w:trHeight w:hRule="exact" w:val="1515"/>
          <w:jc w:val="center"/>
        </w:trPr>
        <w:tc>
          <w:tcPr>
            <w:tcW w:w="1783" w:type="pct"/>
            <w:vAlign w:val="center"/>
          </w:tcPr>
          <w:p w:rsidR="00AA4661" w:rsidRPr="00F8728A" w:rsidRDefault="00AA4661" w:rsidP="002F0004">
            <w:pPr>
              <w:spacing w:before="40" w:after="40"/>
              <w:jc w:val="both"/>
              <w:rPr>
                <w:rFonts w:ascii="Calibri" w:hAnsi="Calibri" w:cs="Calibri"/>
                <w:sz w:val="22"/>
              </w:rPr>
            </w:pPr>
            <w:r w:rsidRPr="00F8728A">
              <w:rPr>
                <w:rFonts w:ascii="Calibri" w:hAnsi="Calibri" w:cs="Calibri"/>
                <w:sz w:val="22"/>
              </w:rPr>
              <w:t>Подготвяне и приемане на Националната стратегия за адаптация с ясни послания към заинтересованите лица на всички равнища</w:t>
            </w:r>
          </w:p>
        </w:tc>
        <w:tc>
          <w:tcPr>
            <w:tcW w:w="2182"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В процес на разработване</w:t>
            </w:r>
          </w:p>
        </w:tc>
        <w:tc>
          <w:tcPr>
            <w:tcW w:w="1035" w:type="pct"/>
            <w:vAlign w:val="center"/>
          </w:tcPr>
          <w:p w:rsidR="00AA4661" w:rsidRPr="00F8728A" w:rsidRDefault="00AA4661" w:rsidP="00386031">
            <w:pPr>
              <w:spacing w:after="0"/>
              <w:jc w:val="center"/>
              <w:rPr>
                <w:rFonts w:ascii="Calibri" w:hAnsi="Calibri" w:cs="Calibri"/>
                <w:sz w:val="22"/>
              </w:rPr>
            </w:pPr>
            <w:r w:rsidRPr="00F8728A">
              <w:rPr>
                <w:rFonts w:ascii="Calibri" w:hAnsi="Calibri" w:cs="Calibri"/>
                <w:sz w:val="22"/>
              </w:rPr>
              <w:t>МОСВ и всички релевантни за секторите министерства</w:t>
            </w:r>
          </w:p>
        </w:tc>
      </w:tr>
      <w:tr w:rsidR="00AA4661" w:rsidRPr="00F8728A" w:rsidTr="004B1A4E">
        <w:trPr>
          <w:cantSplit/>
          <w:jc w:val="center"/>
        </w:trPr>
        <w:tc>
          <w:tcPr>
            <w:tcW w:w="5000" w:type="pct"/>
            <w:gridSpan w:val="3"/>
            <w:shd w:val="clear" w:color="auto" w:fill="A8D08D"/>
            <w:vAlign w:val="center"/>
          </w:tcPr>
          <w:p w:rsidR="00AA4661" w:rsidRPr="00F8728A" w:rsidRDefault="00AA4661" w:rsidP="00FC2D66">
            <w:pPr>
              <w:keepNext/>
              <w:keepLines/>
              <w:spacing w:before="20" w:after="20"/>
              <w:jc w:val="center"/>
              <w:rPr>
                <w:rFonts w:ascii="Calibri" w:hAnsi="Calibri" w:cs="Calibri"/>
                <w:b/>
                <w:sz w:val="24"/>
                <w:szCs w:val="24"/>
              </w:rPr>
            </w:pPr>
            <w:r w:rsidRPr="00F8728A">
              <w:rPr>
                <w:rFonts w:ascii="Calibri" w:hAnsi="Calibri" w:cs="Calibri"/>
                <w:b/>
                <w:sz w:val="24"/>
                <w:szCs w:val="24"/>
              </w:rPr>
              <w:lastRenderedPageBreak/>
              <w:t>Регионално ниво</w:t>
            </w:r>
          </w:p>
        </w:tc>
      </w:tr>
      <w:tr w:rsidR="00AA4661" w:rsidRPr="00F8728A" w:rsidTr="00FC2D66">
        <w:trPr>
          <w:cantSplit/>
          <w:jc w:val="center"/>
        </w:trPr>
        <w:tc>
          <w:tcPr>
            <w:tcW w:w="1783" w:type="pct"/>
            <w:vAlign w:val="center"/>
          </w:tcPr>
          <w:p w:rsidR="00AA4661" w:rsidRPr="00F8728A" w:rsidRDefault="00AA4661" w:rsidP="00386031">
            <w:pPr>
              <w:spacing w:before="40" w:after="40"/>
              <w:rPr>
                <w:rFonts w:ascii="Calibri" w:hAnsi="Calibri" w:cs="Calibri"/>
                <w:sz w:val="22"/>
              </w:rPr>
            </w:pPr>
            <w:r w:rsidRPr="00F8728A">
              <w:rPr>
                <w:rFonts w:ascii="Calibri" w:hAnsi="Calibri" w:cs="Calibri"/>
                <w:sz w:val="22"/>
              </w:rPr>
              <w:t>Да се заложат предвижданията за валежите в документите за национално, регионално и пространствено развитие</w:t>
            </w:r>
          </w:p>
        </w:tc>
        <w:tc>
          <w:tcPr>
            <w:tcW w:w="2182"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Разработването на схемите за пространствено развитие на шестте района от ниво 2 още не е възложено от МРРБ. Очаквано въвеждане на изменение на районите NUTS II през 2018 г.</w:t>
            </w:r>
          </w:p>
        </w:tc>
        <w:tc>
          <w:tcPr>
            <w:tcW w:w="1035" w:type="pct"/>
            <w:vAlign w:val="center"/>
          </w:tcPr>
          <w:p w:rsidR="00AA4661" w:rsidRPr="00F8728A" w:rsidRDefault="00AA4661" w:rsidP="00314C63">
            <w:pPr>
              <w:spacing w:before="60" w:after="60"/>
              <w:jc w:val="center"/>
              <w:rPr>
                <w:rFonts w:ascii="Calibri" w:hAnsi="Calibri" w:cs="Calibri"/>
                <w:sz w:val="22"/>
              </w:rPr>
            </w:pPr>
            <w:r w:rsidRPr="00F8728A">
              <w:rPr>
                <w:rFonts w:ascii="Calibri" w:hAnsi="Calibri" w:cs="Calibri"/>
                <w:sz w:val="22"/>
              </w:rPr>
              <w:t>МРРБ, НЦРР, Регионални съвети за развитие</w:t>
            </w:r>
          </w:p>
        </w:tc>
      </w:tr>
      <w:tr w:rsidR="00AA4661" w:rsidRPr="00F8728A" w:rsidTr="004B1A4E">
        <w:trPr>
          <w:cantSplit/>
          <w:jc w:val="center"/>
        </w:trPr>
        <w:tc>
          <w:tcPr>
            <w:tcW w:w="5000" w:type="pct"/>
            <w:gridSpan w:val="3"/>
            <w:shd w:val="clear" w:color="auto" w:fill="A8D08D"/>
            <w:vAlign w:val="center"/>
          </w:tcPr>
          <w:p w:rsidR="00AA4661" w:rsidRPr="00F8728A" w:rsidRDefault="00AA4661" w:rsidP="00386031">
            <w:pPr>
              <w:spacing w:before="20" w:after="20"/>
              <w:jc w:val="center"/>
              <w:rPr>
                <w:rFonts w:ascii="Calibri" w:hAnsi="Calibri" w:cs="Calibri"/>
                <w:b/>
                <w:sz w:val="24"/>
                <w:szCs w:val="24"/>
              </w:rPr>
            </w:pPr>
            <w:r w:rsidRPr="00F8728A">
              <w:rPr>
                <w:rFonts w:ascii="Calibri" w:hAnsi="Calibri" w:cs="Calibri"/>
                <w:b/>
                <w:sz w:val="24"/>
                <w:szCs w:val="24"/>
              </w:rPr>
              <w:t>Локално ниво</w:t>
            </w:r>
          </w:p>
        </w:tc>
      </w:tr>
      <w:tr w:rsidR="00AA4661" w:rsidRPr="00F8728A" w:rsidTr="00FC2D66">
        <w:trPr>
          <w:cantSplit/>
          <w:jc w:val="center"/>
        </w:trPr>
        <w:tc>
          <w:tcPr>
            <w:tcW w:w="1783" w:type="pct"/>
            <w:vAlign w:val="center"/>
          </w:tcPr>
          <w:p w:rsidR="00AA4661" w:rsidRPr="00F8728A" w:rsidRDefault="00AA4661" w:rsidP="002F0004">
            <w:pPr>
              <w:spacing w:before="40" w:after="40"/>
              <w:jc w:val="both"/>
              <w:rPr>
                <w:rFonts w:ascii="Calibri" w:hAnsi="Calibri" w:cs="Calibri"/>
                <w:sz w:val="22"/>
              </w:rPr>
            </w:pPr>
            <w:r w:rsidRPr="00F8728A">
              <w:rPr>
                <w:rFonts w:ascii="Calibri" w:hAnsi="Calibri" w:cs="Calibri"/>
                <w:sz w:val="22"/>
              </w:rPr>
              <w:t>Събиране на данни и достъп до информация за интензивните валежи на градско ниво</w:t>
            </w:r>
          </w:p>
        </w:tc>
        <w:tc>
          <w:tcPr>
            <w:tcW w:w="2182" w:type="pct"/>
            <w:vAlign w:val="center"/>
          </w:tcPr>
          <w:p w:rsidR="00AA4661" w:rsidRPr="00F8728A" w:rsidRDefault="00AA4661" w:rsidP="002F0004">
            <w:pPr>
              <w:spacing w:before="40" w:after="40"/>
              <w:jc w:val="both"/>
              <w:rPr>
                <w:rFonts w:ascii="Calibri" w:hAnsi="Calibri" w:cs="Calibri"/>
                <w:sz w:val="22"/>
              </w:rPr>
            </w:pPr>
            <w:r w:rsidRPr="00F8728A">
              <w:rPr>
                <w:rFonts w:ascii="Calibri" w:hAnsi="Calibri" w:cs="Calibri"/>
                <w:sz w:val="22"/>
              </w:rPr>
              <w:t>Необходимост от данни за валежите на местно ниво за изследване, обучение и практика</w:t>
            </w:r>
          </w:p>
        </w:tc>
        <w:tc>
          <w:tcPr>
            <w:tcW w:w="1035" w:type="pct"/>
            <w:vAlign w:val="center"/>
          </w:tcPr>
          <w:p w:rsidR="00AA4661" w:rsidRPr="00F8728A" w:rsidRDefault="00AA4661" w:rsidP="00314C63">
            <w:pPr>
              <w:spacing w:before="60" w:after="60"/>
              <w:jc w:val="center"/>
              <w:rPr>
                <w:rFonts w:ascii="Calibri" w:hAnsi="Calibri" w:cs="Calibri"/>
                <w:sz w:val="22"/>
              </w:rPr>
            </w:pPr>
            <w:r w:rsidRPr="00F8728A">
              <w:rPr>
                <w:rFonts w:ascii="Calibri" w:hAnsi="Calibri" w:cs="Calibri"/>
                <w:sz w:val="22"/>
              </w:rPr>
              <w:t>НСИ, БАН, НИМХ, ИАОС, РИОСВ</w:t>
            </w:r>
          </w:p>
        </w:tc>
      </w:tr>
      <w:tr w:rsidR="00AA4661" w:rsidRPr="00F8728A" w:rsidTr="00FC2D66">
        <w:trPr>
          <w:cantSplit/>
          <w:jc w:val="center"/>
        </w:trPr>
        <w:tc>
          <w:tcPr>
            <w:tcW w:w="1783" w:type="pct"/>
            <w:vAlign w:val="center"/>
          </w:tcPr>
          <w:p w:rsidR="00AA4661" w:rsidRPr="00F8728A" w:rsidRDefault="00AA4661" w:rsidP="00767224">
            <w:pPr>
              <w:spacing w:before="40" w:after="40"/>
              <w:jc w:val="both"/>
              <w:rPr>
                <w:rFonts w:ascii="Calibri" w:hAnsi="Calibri" w:cs="Calibri"/>
                <w:sz w:val="22"/>
              </w:rPr>
            </w:pPr>
            <w:r w:rsidRPr="00F8728A">
              <w:rPr>
                <w:rFonts w:ascii="Calibri" w:hAnsi="Calibri" w:cs="Calibri"/>
                <w:sz w:val="22"/>
              </w:rPr>
              <w:t>Подготвяне и приемане на местни стратегии/планове за АИК и обвързване с общинските програми за оценка на риска и намаляване риска от бедствия</w:t>
            </w:r>
          </w:p>
        </w:tc>
        <w:tc>
          <w:tcPr>
            <w:tcW w:w="2182" w:type="pct"/>
            <w:vAlign w:val="center"/>
          </w:tcPr>
          <w:p w:rsidR="00AA4661" w:rsidRPr="00F8728A" w:rsidRDefault="00AA4661" w:rsidP="00767224">
            <w:pPr>
              <w:spacing w:before="40" w:after="40"/>
              <w:jc w:val="both"/>
              <w:rPr>
                <w:rFonts w:ascii="Calibri" w:hAnsi="Calibri" w:cs="Calibri"/>
                <w:sz w:val="22"/>
              </w:rPr>
            </w:pPr>
            <w:r w:rsidRPr="00F8728A">
              <w:rPr>
                <w:rFonts w:ascii="Calibri" w:hAnsi="Calibri" w:cs="Calibri"/>
                <w:sz w:val="22"/>
              </w:rPr>
              <w:t>Само София, Бургас и Димитровград вече са подготвили и приели такива документи в рамките на инициативата на Конвента на кметовете.</w:t>
            </w:r>
          </w:p>
        </w:tc>
        <w:tc>
          <w:tcPr>
            <w:tcW w:w="1035" w:type="pct"/>
            <w:vAlign w:val="center"/>
          </w:tcPr>
          <w:p w:rsidR="00AA4661" w:rsidRPr="00F8728A" w:rsidRDefault="00AA4661" w:rsidP="00314C63">
            <w:pPr>
              <w:spacing w:before="60" w:after="60"/>
              <w:jc w:val="center"/>
              <w:rPr>
                <w:rFonts w:ascii="Calibri" w:hAnsi="Calibri" w:cs="Calibri"/>
                <w:sz w:val="22"/>
              </w:rPr>
            </w:pPr>
            <w:r w:rsidRPr="00F8728A">
              <w:rPr>
                <w:rFonts w:ascii="Calibri" w:hAnsi="Calibri" w:cs="Calibri"/>
                <w:sz w:val="22"/>
              </w:rPr>
              <w:t>МОСВ, местни власти,</w:t>
            </w:r>
          </w:p>
        </w:tc>
      </w:tr>
      <w:tr w:rsidR="00AA4661" w:rsidRPr="00F8728A" w:rsidTr="00FC2D66">
        <w:trPr>
          <w:cantSplit/>
          <w:jc w:val="center"/>
        </w:trPr>
        <w:tc>
          <w:tcPr>
            <w:tcW w:w="1783"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Планиране и изграждане на разделна канализационна система в новите/изменените устройствени планове или увеличаване капацитета на реновираната система</w:t>
            </w:r>
          </w:p>
        </w:tc>
        <w:tc>
          <w:tcPr>
            <w:tcW w:w="2182"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Съществуващите смесени канализационни системи в градовете се нуждаят от реконструкция и подмяна.</w:t>
            </w:r>
          </w:p>
        </w:tc>
        <w:tc>
          <w:tcPr>
            <w:tcW w:w="1035" w:type="pct"/>
            <w:vAlign w:val="center"/>
          </w:tcPr>
          <w:p w:rsidR="00AA4661" w:rsidRPr="00F8728A" w:rsidRDefault="00AA4661" w:rsidP="00314C63">
            <w:pPr>
              <w:spacing w:before="60" w:after="60"/>
              <w:jc w:val="center"/>
              <w:rPr>
                <w:rFonts w:ascii="Calibri" w:hAnsi="Calibri" w:cs="Calibri"/>
                <w:sz w:val="22"/>
              </w:rPr>
            </w:pPr>
            <w:r w:rsidRPr="00F8728A">
              <w:rPr>
                <w:rFonts w:ascii="Calibri" w:hAnsi="Calibri" w:cs="Calibri"/>
                <w:sz w:val="22"/>
              </w:rPr>
              <w:t>МРРБ, ОПОС, местни власти,</w:t>
            </w:r>
          </w:p>
        </w:tc>
      </w:tr>
      <w:tr w:rsidR="00AA4661" w:rsidRPr="00F8728A" w:rsidTr="00FC2D66">
        <w:trPr>
          <w:cantSplit/>
          <w:jc w:val="center"/>
        </w:trPr>
        <w:tc>
          <w:tcPr>
            <w:tcW w:w="1783"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Поддръжка и усъвършенстване на отводнителните системи, съгласно прогнозите за валежи</w:t>
            </w:r>
          </w:p>
        </w:tc>
        <w:tc>
          <w:tcPr>
            <w:tcW w:w="2182"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Наводненията са сред най-честите последствия на интензивните валежи в българските градове.</w:t>
            </w:r>
          </w:p>
        </w:tc>
        <w:tc>
          <w:tcPr>
            <w:tcW w:w="1035" w:type="pct"/>
            <w:vAlign w:val="center"/>
          </w:tcPr>
          <w:p w:rsidR="00AA4661" w:rsidRPr="00F8728A" w:rsidRDefault="00AA4661" w:rsidP="00314C63">
            <w:pPr>
              <w:spacing w:before="60" w:after="60"/>
              <w:jc w:val="center"/>
              <w:rPr>
                <w:rFonts w:ascii="Calibri" w:hAnsi="Calibri" w:cs="Calibri"/>
                <w:sz w:val="22"/>
              </w:rPr>
            </w:pPr>
            <w:r w:rsidRPr="00F8728A">
              <w:rPr>
                <w:rFonts w:ascii="Calibri" w:hAnsi="Calibri" w:cs="Calibri"/>
                <w:sz w:val="22"/>
              </w:rPr>
              <w:t>Местни власти, консултантски инженерни фирми</w:t>
            </w:r>
          </w:p>
        </w:tc>
      </w:tr>
      <w:tr w:rsidR="00AA4661" w:rsidRPr="00F8728A" w:rsidTr="00FC2D66">
        <w:trPr>
          <w:cantSplit/>
          <w:jc w:val="center"/>
        </w:trPr>
        <w:tc>
          <w:tcPr>
            <w:tcW w:w="1783"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Разширяване на естествените зони с голям капацитет за поглъщане на вода от валежите и намаляване на зоните за ново развитие с по-висок дял на „запечатаните“ пространства</w:t>
            </w:r>
          </w:p>
        </w:tc>
        <w:tc>
          <w:tcPr>
            <w:tcW w:w="2182"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В повечето случаи устройствените планове се изготвят под натиск от местните власти и общинските съвети да се разширяват градските зони въпреки намаляването на населението в повечето градове.</w:t>
            </w:r>
          </w:p>
        </w:tc>
        <w:tc>
          <w:tcPr>
            <w:tcW w:w="1035" w:type="pct"/>
            <w:vAlign w:val="center"/>
          </w:tcPr>
          <w:p w:rsidR="00AA4661" w:rsidRPr="00F8728A" w:rsidRDefault="00AA4661" w:rsidP="00314C63">
            <w:pPr>
              <w:spacing w:before="60" w:after="60"/>
              <w:jc w:val="center"/>
              <w:rPr>
                <w:rFonts w:ascii="Calibri" w:hAnsi="Calibri" w:cs="Calibri"/>
                <w:sz w:val="22"/>
              </w:rPr>
            </w:pPr>
            <w:r w:rsidRPr="00F8728A">
              <w:rPr>
                <w:rFonts w:ascii="Calibri" w:hAnsi="Calibri" w:cs="Calibri"/>
                <w:sz w:val="22"/>
              </w:rPr>
              <w:t>МРРБ, местни власти, специалисти по планиране и консултантски фирми</w:t>
            </w:r>
          </w:p>
        </w:tc>
      </w:tr>
      <w:tr w:rsidR="00AA4661" w:rsidRPr="00F8728A" w:rsidTr="00FC2D66">
        <w:trPr>
          <w:cantSplit/>
          <w:jc w:val="center"/>
        </w:trPr>
        <w:tc>
          <w:tcPr>
            <w:tcW w:w="1783" w:type="pct"/>
            <w:vAlign w:val="center"/>
          </w:tcPr>
          <w:p w:rsidR="00AA4661" w:rsidRPr="00F8728A" w:rsidRDefault="00AA4661" w:rsidP="00A342A7">
            <w:pPr>
              <w:spacing w:before="40" w:after="40"/>
              <w:jc w:val="both"/>
              <w:rPr>
                <w:rFonts w:ascii="Calibri" w:hAnsi="Calibri" w:cs="Calibri"/>
                <w:sz w:val="22"/>
              </w:rPr>
            </w:pPr>
            <w:r w:rsidRPr="00F8728A">
              <w:rPr>
                <w:rFonts w:ascii="Calibri" w:hAnsi="Calibri" w:cs="Calibri"/>
                <w:sz w:val="22"/>
              </w:rPr>
              <w:t xml:space="preserve">Подобряване на системата за подготовка и реагиране при бедствия на локално ниво и в градските зони. </w:t>
            </w:r>
          </w:p>
        </w:tc>
        <w:tc>
          <w:tcPr>
            <w:tcW w:w="2182" w:type="pct"/>
            <w:vAlign w:val="center"/>
          </w:tcPr>
          <w:p w:rsidR="00AA4661" w:rsidRPr="00F8728A" w:rsidRDefault="00AA4661" w:rsidP="00186420">
            <w:pPr>
              <w:spacing w:before="40" w:after="40"/>
              <w:jc w:val="both"/>
              <w:rPr>
                <w:rFonts w:ascii="Calibri" w:hAnsi="Calibri" w:cs="Calibri"/>
                <w:sz w:val="22"/>
              </w:rPr>
            </w:pPr>
            <w:r w:rsidRPr="00F8728A">
              <w:rPr>
                <w:rFonts w:ascii="Calibri" w:hAnsi="Calibri" w:cs="Calibri"/>
                <w:sz w:val="22"/>
              </w:rPr>
              <w:t xml:space="preserve">Най-важни са звената за малките градове, особено тези, разположени в отдалечените райони. </w:t>
            </w:r>
          </w:p>
        </w:tc>
        <w:tc>
          <w:tcPr>
            <w:tcW w:w="1035" w:type="pct"/>
            <w:vAlign w:val="center"/>
          </w:tcPr>
          <w:p w:rsidR="00AA4661" w:rsidRPr="00F8728A" w:rsidRDefault="00AA4661" w:rsidP="002E7BDE">
            <w:pPr>
              <w:spacing w:before="40" w:after="40"/>
              <w:jc w:val="center"/>
              <w:rPr>
                <w:rFonts w:ascii="Calibri" w:hAnsi="Calibri" w:cs="Calibri"/>
                <w:sz w:val="22"/>
              </w:rPr>
            </w:pPr>
            <w:r w:rsidRPr="00F8728A">
              <w:rPr>
                <w:rFonts w:ascii="Calibri" w:hAnsi="Calibri" w:cs="Calibri"/>
                <w:sz w:val="22"/>
              </w:rPr>
              <w:t xml:space="preserve">Местни структури на МВР, </w:t>
            </w:r>
          </w:p>
          <w:p w:rsidR="00AA4661" w:rsidRPr="00F8728A" w:rsidRDefault="00AA4661" w:rsidP="00186420">
            <w:pPr>
              <w:spacing w:before="60" w:after="60"/>
              <w:jc w:val="center"/>
              <w:rPr>
                <w:rFonts w:ascii="Calibri" w:hAnsi="Calibri" w:cs="Calibri"/>
                <w:sz w:val="22"/>
              </w:rPr>
            </w:pPr>
            <w:r w:rsidRPr="00F8728A">
              <w:rPr>
                <w:rFonts w:ascii="Calibri" w:hAnsi="Calibri" w:cs="Calibri"/>
                <w:sz w:val="22"/>
              </w:rPr>
              <w:t xml:space="preserve">местни власти,  неправителствени организации </w:t>
            </w:r>
          </w:p>
        </w:tc>
      </w:tr>
      <w:tr w:rsidR="00AA4661" w:rsidRPr="00F8728A" w:rsidTr="004B1A4E">
        <w:trPr>
          <w:cantSplit/>
          <w:jc w:val="center"/>
        </w:trPr>
        <w:tc>
          <w:tcPr>
            <w:tcW w:w="5000" w:type="pct"/>
            <w:gridSpan w:val="3"/>
            <w:shd w:val="clear" w:color="auto" w:fill="A8D08D"/>
            <w:vAlign w:val="center"/>
          </w:tcPr>
          <w:p w:rsidR="00AA4661" w:rsidRPr="00F8728A" w:rsidRDefault="00AA4661" w:rsidP="00386031">
            <w:pPr>
              <w:spacing w:before="20" w:after="20"/>
              <w:jc w:val="center"/>
              <w:rPr>
                <w:rFonts w:ascii="Calibri" w:hAnsi="Calibri" w:cs="Calibri"/>
                <w:b/>
                <w:sz w:val="24"/>
                <w:szCs w:val="24"/>
              </w:rPr>
            </w:pPr>
            <w:r w:rsidRPr="00F8728A">
              <w:rPr>
                <w:rFonts w:ascii="Calibri" w:hAnsi="Calibri" w:cs="Calibri"/>
                <w:b/>
                <w:sz w:val="24"/>
                <w:szCs w:val="24"/>
              </w:rPr>
              <w:t>Градски зони</w:t>
            </w:r>
          </w:p>
        </w:tc>
      </w:tr>
      <w:tr w:rsidR="00AA4661" w:rsidRPr="00F8728A" w:rsidTr="00FC2D66">
        <w:trPr>
          <w:cantSplit/>
          <w:jc w:val="center"/>
        </w:trPr>
        <w:tc>
          <w:tcPr>
            <w:tcW w:w="1783"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Опазване и развитие на градската зелена система</w:t>
            </w:r>
          </w:p>
        </w:tc>
        <w:tc>
          <w:tcPr>
            <w:tcW w:w="2182"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Има потенциал за развитие на „зелена“ система успоредно със „синята“ мрежа, който не е използван</w:t>
            </w:r>
          </w:p>
        </w:tc>
        <w:tc>
          <w:tcPr>
            <w:tcW w:w="1035" w:type="pct"/>
            <w:vAlign w:val="center"/>
          </w:tcPr>
          <w:p w:rsidR="00AA4661" w:rsidRPr="00F8728A" w:rsidRDefault="00AA4661" w:rsidP="00314C63">
            <w:pPr>
              <w:spacing w:before="60" w:after="60"/>
              <w:jc w:val="center"/>
              <w:rPr>
                <w:rFonts w:ascii="Calibri" w:hAnsi="Calibri" w:cs="Calibri"/>
                <w:sz w:val="22"/>
              </w:rPr>
            </w:pPr>
            <w:r w:rsidRPr="00F8728A">
              <w:rPr>
                <w:rFonts w:ascii="Calibri" w:hAnsi="Calibri" w:cs="Calibri"/>
                <w:sz w:val="22"/>
              </w:rPr>
              <w:t>Местни власти, специалисти по планиране и консултантски фирми</w:t>
            </w:r>
          </w:p>
        </w:tc>
      </w:tr>
      <w:tr w:rsidR="00AA4661" w:rsidRPr="00F8728A" w:rsidTr="00FC2D66">
        <w:trPr>
          <w:cantSplit/>
          <w:trHeight w:val="1855"/>
          <w:jc w:val="center"/>
        </w:trPr>
        <w:tc>
          <w:tcPr>
            <w:tcW w:w="1783"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lastRenderedPageBreak/>
              <w:t>Творческо градско и архитектурно проектиране, което предлага достатъчно място за временно събиране на дъждовната вода (градски резервоари, басейни, спортни полета и др.)</w:t>
            </w:r>
          </w:p>
        </w:tc>
        <w:tc>
          <w:tcPr>
            <w:tcW w:w="2182"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Няма информация за примери за такова планиране и проектиране в България, което значително да намалява опасността от наводнения.</w:t>
            </w:r>
          </w:p>
        </w:tc>
        <w:tc>
          <w:tcPr>
            <w:tcW w:w="1035" w:type="pct"/>
            <w:vAlign w:val="center"/>
          </w:tcPr>
          <w:p w:rsidR="00AA4661" w:rsidRPr="00F8728A" w:rsidRDefault="00AA4661" w:rsidP="00F7005A">
            <w:pPr>
              <w:spacing w:after="0"/>
              <w:jc w:val="center"/>
              <w:rPr>
                <w:rFonts w:ascii="Calibri" w:hAnsi="Calibri" w:cs="Calibri"/>
                <w:sz w:val="22"/>
              </w:rPr>
            </w:pPr>
            <w:r w:rsidRPr="00F8728A">
              <w:rPr>
                <w:rFonts w:ascii="Calibri" w:hAnsi="Calibri" w:cs="Calibri"/>
                <w:sz w:val="22"/>
              </w:rPr>
              <w:t>Специалисти по планиране и консултантски фирми</w:t>
            </w:r>
          </w:p>
        </w:tc>
      </w:tr>
      <w:tr w:rsidR="00AA4661" w:rsidRPr="00F8728A" w:rsidTr="004B1A4E">
        <w:trPr>
          <w:cantSplit/>
          <w:jc w:val="center"/>
        </w:trPr>
        <w:tc>
          <w:tcPr>
            <w:tcW w:w="5000" w:type="pct"/>
            <w:gridSpan w:val="3"/>
            <w:shd w:val="clear" w:color="auto" w:fill="A8D08D"/>
            <w:vAlign w:val="center"/>
          </w:tcPr>
          <w:p w:rsidR="00AA4661" w:rsidRPr="00F8728A" w:rsidRDefault="00AA4661" w:rsidP="00386031">
            <w:pPr>
              <w:spacing w:before="20" w:after="20"/>
              <w:jc w:val="center"/>
              <w:rPr>
                <w:rFonts w:ascii="Calibri" w:hAnsi="Calibri" w:cs="Calibri"/>
                <w:b/>
                <w:sz w:val="24"/>
                <w:szCs w:val="24"/>
              </w:rPr>
            </w:pPr>
            <w:r w:rsidRPr="00F8728A">
              <w:rPr>
                <w:rFonts w:ascii="Calibri" w:hAnsi="Calibri" w:cs="Calibri"/>
                <w:b/>
                <w:sz w:val="24"/>
                <w:szCs w:val="24"/>
              </w:rPr>
              <w:t>Публични открити пространства/Сгради</w:t>
            </w:r>
          </w:p>
        </w:tc>
      </w:tr>
      <w:tr w:rsidR="00AA4661" w:rsidRPr="00F8728A" w:rsidTr="00FC2D66">
        <w:trPr>
          <w:cantSplit/>
          <w:jc w:val="center"/>
        </w:trPr>
        <w:tc>
          <w:tcPr>
            <w:tcW w:w="1783"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Строителство с допълнителна височина, която позволява следващи модификации, съвместими с интензивните валежи и наводнения</w:t>
            </w:r>
          </w:p>
        </w:tc>
        <w:tc>
          <w:tcPr>
            <w:tcW w:w="2182"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Архитектурните проекти не са обект на контрол по тези въпроси, а само относно съответствието на технически норми. Нужда от по-добър контрол в процеса на одобряване на проектите и от изменения на нормите за проектиране</w:t>
            </w:r>
          </w:p>
        </w:tc>
        <w:tc>
          <w:tcPr>
            <w:tcW w:w="1035" w:type="pct"/>
            <w:vAlign w:val="center"/>
          </w:tcPr>
          <w:p w:rsidR="00AA4661" w:rsidRPr="00F8728A" w:rsidRDefault="00AA4661" w:rsidP="00314C63">
            <w:pPr>
              <w:spacing w:before="60" w:after="60"/>
              <w:jc w:val="center"/>
              <w:rPr>
                <w:rFonts w:ascii="Calibri" w:hAnsi="Calibri" w:cs="Calibri"/>
                <w:sz w:val="22"/>
              </w:rPr>
            </w:pPr>
            <w:r w:rsidRPr="00F8728A">
              <w:rPr>
                <w:rFonts w:ascii="Calibri" w:hAnsi="Calibri" w:cs="Calibri"/>
                <w:sz w:val="22"/>
              </w:rPr>
              <w:t>МРРБ, местни власти, експертни съвети, архитектурни компании за консултации и проектиране</w:t>
            </w:r>
          </w:p>
        </w:tc>
      </w:tr>
      <w:tr w:rsidR="00AA4661" w:rsidRPr="00F8728A" w:rsidTr="00FC2D66">
        <w:trPr>
          <w:cantSplit/>
          <w:jc w:val="center"/>
        </w:trPr>
        <w:tc>
          <w:tcPr>
            <w:tcW w:w="1783"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Производство и приложение на водонепроницаеми строителни материали за сгради и публични открити пространства</w:t>
            </w:r>
          </w:p>
        </w:tc>
        <w:tc>
          <w:tcPr>
            <w:tcW w:w="2182"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Еврокодовете и националните регулации трябва да бъдат въведени по отношение на интензивните валежи в съответствие с предвижданията за ИК</w:t>
            </w:r>
          </w:p>
        </w:tc>
        <w:tc>
          <w:tcPr>
            <w:tcW w:w="1035" w:type="pct"/>
            <w:vAlign w:val="center"/>
          </w:tcPr>
          <w:p w:rsidR="00AA4661" w:rsidRPr="00F8728A" w:rsidRDefault="00AA4661" w:rsidP="00F7005A">
            <w:pPr>
              <w:spacing w:before="40" w:after="40"/>
              <w:jc w:val="center"/>
              <w:rPr>
                <w:rFonts w:ascii="Calibri" w:hAnsi="Calibri" w:cs="Calibri"/>
                <w:sz w:val="22"/>
              </w:rPr>
            </w:pPr>
            <w:r w:rsidRPr="00F8728A">
              <w:rPr>
                <w:rFonts w:ascii="Calibri" w:hAnsi="Calibri" w:cs="Calibri"/>
                <w:sz w:val="22"/>
              </w:rPr>
              <w:t>МРРБ, БИС</w:t>
            </w:r>
          </w:p>
        </w:tc>
      </w:tr>
    </w:tbl>
    <w:p w:rsidR="00AA4661" w:rsidRPr="00F8728A" w:rsidRDefault="00AA4661" w:rsidP="007B4265">
      <w:pPr>
        <w:spacing w:before="60"/>
        <w:jc w:val="center"/>
        <w:rPr>
          <w:rFonts w:ascii="Calibri" w:hAnsi="Calibri" w:cs="Calibri"/>
          <w:i/>
        </w:rPr>
      </w:pPr>
      <w:r w:rsidRPr="00F8728A">
        <w:rPr>
          <w:rFonts w:ascii="Calibri" w:hAnsi="Calibri" w:cs="Calibri"/>
          <w:i/>
        </w:rPr>
        <w:t>Бележка: СМО – Световна метеорологична организация</w:t>
      </w:r>
    </w:p>
    <w:p w:rsidR="00AA4661" w:rsidRPr="00B73D7E" w:rsidRDefault="00AA4661" w:rsidP="00CF297A">
      <w:pPr>
        <w:pStyle w:val="BodyText"/>
        <w:numPr>
          <w:ilvl w:val="0"/>
          <w:numId w:val="41"/>
        </w:numPr>
        <w:spacing w:before="240"/>
        <w:ind w:left="0" w:firstLine="0"/>
        <w:rPr>
          <w:color w:val="FF0000"/>
          <w:lang w:val="bg-BG"/>
        </w:rPr>
      </w:pPr>
      <w:r w:rsidRPr="00B73D7E">
        <w:rPr>
          <w:lang w:val="bg-BG"/>
        </w:rPr>
        <w:t xml:space="preserve">Вариантите за адаптация по отношение на </w:t>
      </w:r>
      <w:r w:rsidRPr="00B73D7E">
        <w:rPr>
          <w:b/>
          <w:lang w:val="bg-BG"/>
        </w:rPr>
        <w:t>наводненията</w:t>
      </w:r>
      <w:r w:rsidRPr="00B73D7E">
        <w:rPr>
          <w:lang w:val="bg-BG"/>
        </w:rPr>
        <w:t xml:space="preserve"> в градските зони са сред най-важните за България поради по-високия риск за населението, градската инфраструктура и имуществото. Статистическите данни за щетите показват, че в тази област е най-големият дял на предвижданите разходи за периода 2010–2015 г. Плановете за овладяване на риска от наводнения, за които е отговорно МОСВ, покриват териториите на Басейновите дирекции. Тези планове са обвързани с Общите устройствени планове и техните ЕО, но не и с приетата по-рано НКПР.</w:t>
      </w:r>
      <w:r w:rsidRPr="00B73D7E">
        <w:rPr>
          <w:color w:val="FF0000"/>
          <w:lang w:val="bg-BG"/>
        </w:rPr>
        <w:t xml:space="preserve"> </w:t>
      </w:r>
      <w:r w:rsidRPr="00B73D7E">
        <w:rPr>
          <w:lang w:val="bg-BG"/>
        </w:rPr>
        <w:t xml:space="preserve">Последната трябва да бъде преразгледана, оценена и актуализирана най-късно до 2018 г. </w:t>
      </w:r>
    </w:p>
    <w:p w:rsidR="00AA4661" w:rsidRPr="00B73D7E" w:rsidRDefault="00AA4661" w:rsidP="00CF297A">
      <w:pPr>
        <w:pStyle w:val="BodyText"/>
        <w:numPr>
          <w:ilvl w:val="0"/>
          <w:numId w:val="41"/>
        </w:numPr>
        <w:ind w:left="0" w:firstLine="0"/>
        <w:rPr>
          <w:lang w:val="bg-BG"/>
        </w:rPr>
      </w:pPr>
      <w:r w:rsidRPr="00B73D7E">
        <w:rPr>
          <w:lang w:val="bg-BG"/>
        </w:rPr>
        <w:t>Вариантите за АИК са взети предвид в някои трансгранични проекти за сътрудничество, в които България участва заедно с Румъния, Гърция, бившата Югославска република Македония, Сърбия и Турция. Някои от градовете в съответните области са изложени на риск от наводнения, предимно тези по трансграничните реки Дунав, Струма и Марица. Въпреки че климатичните промени са приоритет в повечето от програмите, понастоящем незначителна част от съвместните проекти е посветена на адаптацията.</w:t>
      </w:r>
    </w:p>
    <w:p w:rsidR="00AA4661" w:rsidRPr="00B73D7E" w:rsidRDefault="00AA4661" w:rsidP="00CF297A">
      <w:pPr>
        <w:pStyle w:val="BodyText"/>
        <w:numPr>
          <w:ilvl w:val="0"/>
          <w:numId w:val="41"/>
        </w:numPr>
        <w:ind w:left="0" w:firstLine="0"/>
        <w:rPr>
          <w:lang w:val="bg-BG"/>
        </w:rPr>
      </w:pPr>
      <w:r w:rsidRPr="00B73D7E">
        <w:rPr>
          <w:lang w:val="bg-BG"/>
        </w:rPr>
        <w:t>МРРБ изостава с осъществяването на инициативата на ЕС за Съвместно ИУКЗ и Морско пространствено планиране (МПП). То трябва да координира релевантните политики, засягащи крайбрежните области, в интегрираната стратегия за управление на крайбрежната зона, за да осигури устойчиво развитие, здравословна околна среда и АИК</w:t>
      </w:r>
      <w:r w:rsidRPr="00B73D7E">
        <w:rPr>
          <w:sz w:val="18"/>
          <w:vertAlign w:val="superscript"/>
          <w:lang w:val="bg-BG"/>
        </w:rPr>
        <w:footnoteReference w:id="136"/>
      </w:r>
      <w:r w:rsidRPr="00B73D7E">
        <w:rPr>
          <w:lang w:val="bg-BG"/>
        </w:rPr>
        <w:t>. Предвид на ограничения експертен и финансов капацитет министерството би могло да обмисли приложението на знанията от съществуващото трансгранично сътрудничество с Румъния в морския проект MARS-PLAN-BS (</w:t>
      </w:r>
      <w:r w:rsidRPr="00B73D7E">
        <w:rPr>
          <w:b/>
          <w:i/>
          <w:iCs/>
          <w:lang w:val="bg-BG"/>
        </w:rPr>
        <w:t xml:space="preserve">приложение </w:t>
      </w:r>
      <w:r w:rsidR="008276B1" w:rsidRPr="00B73D7E">
        <w:rPr>
          <w:b/>
          <w:i/>
          <w:iCs/>
          <w:lang w:val="bg-BG"/>
        </w:rPr>
        <w:t>10</w:t>
      </w:r>
      <w:r w:rsidRPr="00B73D7E">
        <w:rPr>
          <w:lang w:val="bg-BG"/>
        </w:rPr>
        <w:t>), като се включат варианти за адаптация към климатичните промени в интегрирания стратегически документ за Черно море. Такъв документ би оказал подкрепа на разработването на планове за адаптация на местно ниво за градовете по протежение на река Дунав и черноморския бряг.</w:t>
      </w:r>
    </w:p>
    <w:p w:rsidR="00AA4661" w:rsidRPr="00B73D7E" w:rsidRDefault="00AA4661" w:rsidP="00CF297A">
      <w:pPr>
        <w:pStyle w:val="BodyText"/>
        <w:numPr>
          <w:ilvl w:val="0"/>
          <w:numId w:val="41"/>
        </w:numPr>
        <w:ind w:left="0" w:firstLine="0"/>
        <w:rPr>
          <w:lang w:val="bg-BG"/>
        </w:rPr>
      </w:pPr>
      <w:r w:rsidRPr="00B73D7E">
        <w:rPr>
          <w:lang w:val="bg-BG"/>
        </w:rPr>
        <w:t xml:space="preserve">Потенциалът на градската среда за адаптация и опитът на други страни с овладяването на рисковете от наводнение предлагат значителен брой възможни варианти за адаптация на национално и местно ниво, обобщени в </w:t>
      </w:r>
      <w:r w:rsidRPr="00B73D7E">
        <w:rPr>
          <w:b/>
          <w:i/>
          <w:iCs/>
          <w:lang w:val="bg-BG"/>
        </w:rPr>
        <w:t>таблица 12</w:t>
      </w:r>
      <w:r w:rsidRPr="00B73D7E">
        <w:rPr>
          <w:lang w:val="bg-BG"/>
        </w:rPr>
        <w:t>.</w:t>
      </w:r>
    </w:p>
    <w:p w:rsidR="00AA4661" w:rsidRPr="00F8728A" w:rsidRDefault="00AA4661" w:rsidP="00B73D7E">
      <w:pPr>
        <w:pStyle w:val="FiguresTablesCaption"/>
      </w:pPr>
      <w:bookmarkStart w:id="651" w:name="_Toc529286639"/>
      <w:r w:rsidRPr="00F8728A">
        <w:t xml:space="preserve">Таблица </w:t>
      </w:r>
      <w:r w:rsidRPr="00F8728A">
        <w:fldChar w:fldCharType="begin"/>
      </w:r>
      <w:r w:rsidRPr="00F8728A">
        <w:instrText xml:space="preserve"> SEQ Table \* ARABIC </w:instrText>
      </w:r>
      <w:r w:rsidRPr="00F8728A">
        <w:fldChar w:fldCharType="separate"/>
      </w:r>
      <w:r w:rsidRPr="00F8728A">
        <w:t>12</w:t>
      </w:r>
      <w:r w:rsidRPr="00F8728A">
        <w:fldChar w:fldCharType="end"/>
      </w:r>
      <w:r w:rsidRPr="00F8728A">
        <w:t>. Възможни варианти за адаптация, свързани с наводненията</w:t>
      </w:r>
      <w:bookmarkEnd w:id="651"/>
    </w:p>
    <w:tbl>
      <w:tblPr>
        <w:tblW w:w="5000"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3223"/>
        <w:gridCol w:w="4031"/>
        <w:gridCol w:w="2046"/>
      </w:tblGrid>
      <w:tr w:rsidR="00AA4661" w:rsidRPr="00F8728A" w:rsidTr="00FC2D66">
        <w:trPr>
          <w:cantSplit/>
          <w:trHeight w:val="233"/>
          <w:tblHeader/>
          <w:jc w:val="center"/>
        </w:trPr>
        <w:tc>
          <w:tcPr>
            <w:tcW w:w="1733" w:type="pct"/>
            <w:shd w:val="clear" w:color="auto" w:fill="365F91"/>
            <w:vAlign w:val="center"/>
          </w:tcPr>
          <w:p w:rsidR="00AA4661" w:rsidRPr="00F8728A" w:rsidRDefault="00AA4661" w:rsidP="00386031">
            <w:pPr>
              <w:spacing w:before="60" w:after="60"/>
              <w:jc w:val="center"/>
              <w:rPr>
                <w:rFonts w:ascii="Calibri" w:hAnsi="Calibri" w:cs="Calibri"/>
                <w:b/>
                <w:color w:val="FFFFFF"/>
                <w:sz w:val="24"/>
                <w:szCs w:val="24"/>
              </w:rPr>
            </w:pPr>
            <w:r w:rsidRPr="00F8728A">
              <w:rPr>
                <w:rFonts w:ascii="Calibri" w:hAnsi="Calibri" w:cs="Calibri"/>
                <w:b/>
                <w:color w:val="FFFFFF"/>
                <w:sz w:val="24"/>
                <w:szCs w:val="24"/>
              </w:rPr>
              <w:t>Специфични варианти за адаптация</w:t>
            </w:r>
          </w:p>
        </w:tc>
        <w:tc>
          <w:tcPr>
            <w:tcW w:w="2167" w:type="pct"/>
            <w:shd w:val="clear" w:color="auto" w:fill="365F91"/>
            <w:vAlign w:val="center"/>
          </w:tcPr>
          <w:p w:rsidR="00AA4661" w:rsidRPr="00F8728A" w:rsidRDefault="00AA4661" w:rsidP="00386031">
            <w:pPr>
              <w:spacing w:before="60" w:after="60"/>
              <w:jc w:val="center"/>
              <w:rPr>
                <w:rFonts w:ascii="Calibri" w:hAnsi="Calibri" w:cs="Calibri"/>
                <w:b/>
                <w:color w:val="FFFFFF"/>
                <w:sz w:val="22"/>
              </w:rPr>
            </w:pPr>
            <w:r w:rsidRPr="00F8728A">
              <w:rPr>
                <w:rFonts w:ascii="Calibri" w:hAnsi="Calibri" w:cs="Calibri"/>
                <w:b/>
                <w:color w:val="FFFFFF"/>
                <w:sz w:val="24"/>
                <w:szCs w:val="24"/>
              </w:rPr>
              <w:t xml:space="preserve">Релевантност към градската среда </w:t>
            </w:r>
          </w:p>
        </w:tc>
        <w:tc>
          <w:tcPr>
            <w:tcW w:w="1100" w:type="pct"/>
            <w:shd w:val="clear" w:color="auto" w:fill="365F91"/>
            <w:vAlign w:val="center"/>
          </w:tcPr>
          <w:p w:rsidR="00AA4661" w:rsidRPr="00F8728A" w:rsidRDefault="00AA4661" w:rsidP="00386031">
            <w:pPr>
              <w:spacing w:before="60" w:after="60"/>
              <w:jc w:val="center"/>
              <w:rPr>
                <w:rFonts w:ascii="Calibri" w:hAnsi="Calibri" w:cs="Calibri"/>
                <w:b/>
                <w:color w:val="FFFFFF"/>
                <w:sz w:val="22"/>
              </w:rPr>
            </w:pPr>
            <w:r w:rsidRPr="00F8728A">
              <w:rPr>
                <w:rFonts w:ascii="Calibri" w:hAnsi="Calibri" w:cs="Calibri"/>
                <w:b/>
                <w:color w:val="FFFFFF"/>
                <w:sz w:val="24"/>
                <w:szCs w:val="24"/>
              </w:rPr>
              <w:t>Участници</w:t>
            </w:r>
          </w:p>
        </w:tc>
      </w:tr>
      <w:tr w:rsidR="00AA4661" w:rsidRPr="00F8728A" w:rsidTr="00FC2D66">
        <w:trPr>
          <w:cantSplit/>
          <w:trHeight w:val="233"/>
          <w:jc w:val="center"/>
        </w:trPr>
        <w:tc>
          <w:tcPr>
            <w:tcW w:w="5000" w:type="pct"/>
            <w:gridSpan w:val="3"/>
            <w:shd w:val="clear" w:color="auto" w:fill="A8D08D"/>
            <w:vAlign w:val="center"/>
          </w:tcPr>
          <w:p w:rsidR="00AA4661" w:rsidRPr="00F8728A" w:rsidRDefault="00AA4661" w:rsidP="00386031">
            <w:pPr>
              <w:spacing w:before="20" w:after="20"/>
              <w:jc w:val="center"/>
              <w:rPr>
                <w:rFonts w:ascii="Calibri" w:hAnsi="Calibri" w:cs="Calibri"/>
                <w:b/>
                <w:color w:val="FFFFFF"/>
                <w:sz w:val="24"/>
                <w:szCs w:val="24"/>
              </w:rPr>
            </w:pPr>
            <w:r w:rsidRPr="00F8728A">
              <w:rPr>
                <w:rFonts w:ascii="Calibri" w:hAnsi="Calibri" w:cs="Calibri"/>
                <w:b/>
                <w:sz w:val="24"/>
                <w:szCs w:val="24"/>
              </w:rPr>
              <w:t>Наднационално ниво</w:t>
            </w:r>
          </w:p>
        </w:tc>
      </w:tr>
      <w:tr w:rsidR="00AA4661" w:rsidRPr="00F8728A" w:rsidTr="00FC2D66">
        <w:trPr>
          <w:cantSplit/>
          <w:jc w:val="center"/>
        </w:trPr>
        <w:tc>
          <w:tcPr>
            <w:tcW w:w="1733" w:type="pct"/>
            <w:vAlign w:val="center"/>
          </w:tcPr>
          <w:p w:rsidR="00AA4661" w:rsidRPr="00F8728A" w:rsidRDefault="00AA4661" w:rsidP="00386031">
            <w:pPr>
              <w:spacing w:before="20" w:after="20"/>
              <w:jc w:val="both"/>
              <w:rPr>
                <w:rFonts w:ascii="Calibri" w:hAnsi="Calibri" w:cs="Calibri"/>
                <w:sz w:val="22"/>
              </w:rPr>
            </w:pPr>
            <w:r w:rsidRPr="00F8728A">
              <w:rPr>
                <w:rFonts w:ascii="Calibri" w:hAnsi="Calibri" w:cs="Calibri"/>
                <w:sz w:val="22"/>
              </w:rPr>
              <w:t xml:space="preserve">Обмен на мониторингова и обзорна информация за въвеждане на ИУКЗ и интегрирано управление на речните басейни </w:t>
            </w:r>
          </w:p>
        </w:tc>
        <w:tc>
          <w:tcPr>
            <w:tcW w:w="2167" w:type="pct"/>
            <w:vAlign w:val="center"/>
          </w:tcPr>
          <w:p w:rsidR="00AA4661" w:rsidRPr="00F8728A" w:rsidRDefault="00AA4661" w:rsidP="00BB7AFD">
            <w:pPr>
              <w:spacing w:before="20" w:after="20"/>
              <w:jc w:val="both"/>
              <w:rPr>
                <w:rFonts w:ascii="Calibri" w:hAnsi="Calibri" w:cs="Calibri"/>
                <w:sz w:val="22"/>
              </w:rPr>
            </w:pPr>
            <w:r w:rsidRPr="00F8728A">
              <w:rPr>
                <w:rFonts w:ascii="Calibri" w:hAnsi="Calibri" w:cs="Calibri"/>
                <w:sz w:val="22"/>
              </w:rPr>
              <w:t>Ангажименти на българското правителство към ЕС за Стратегията за река Дунав и Интегрираната морска политика за черноморския регион</w:t>
            </w:r>
          </w:p>
        </w:tc>
        <w:tc>
          <w:tcPr>
            <w:tcW w:w="1100" w:type="pct"/>
            <w:vAlign w:val="center"/>
          </w:tcPr>
          <w:p w:rsidR="00AA4661" w:rsidRPr="00F8728A" w:rsidRDefault="00AA4661" w:rsidP="002D5748">
            <w:pPr>
              <w:spacing w:before="60" w:after="60"/>
              <w:jc w:val="center"/>
              <w:rPr>
                <w:rFonts w:ascii="Calibri" w:hAnsi="Calibri" w:cs="Calibri"/>
                <w:sz w:val="22"/>
              </w:rPr>
            </w:pPr>
            <w:r w:rsidRPr="00F8728A">
              <w:rPr>
                <w:rFonts w:ascii="Calibri" w:hAnsi="Calibri" w:cs="Calibri"/>
                <w:sz w:val="22"/>
              </w:rPr>
              <w:t>МРРБ, МОСВ, МТИТС, Институт по океанология (БАН)</w:t>
            </w:r>
          </w:p>
        </w:tc>
      </w:tr>
      <w:tr w:rsidR="00AA4661" w:rsidRPr="00F8728A" w:rsidTr="00FC2D66">
        <w:trPr>
          <w:cantSplit/>
          <w:jc w:val="center"/>
        </w:trPr>
        <w:tc>
          <w:tcPr>
            <w:tcW w:w="5000" w:type="pct"/>
            <w:gridSpan w:val="3"/>
            <w:shd w:val="clear" w:color="auto" w:fill="A8D08D"/>
            <w:vAlign w:val="center"/>
          </w:tcPr>
          <w:p w:rsidR="00AA4661" w:rsidRPr="00F8728A" w:rsidRDefault="00AA4661" w:rsidP="00386031">
            <w:pPr>
              <w:spacing w:before="20" w:after="20"/>
              <w:jc w:val="center"/>
              <w:rPr>
                <w:rFonts w:ascii="Calibri" w:hAnsi="Calibri" w:cs="Calibri"/>
                <w:b/>
                <w:sz w:val="24"/>
                <w:szCs w:val="24"/>
              </w:rPr>
            </w:pPr>
            <w:r w:rsidRPr="00F8728A">
              <w:rPr>
                <w:rFonts w:ascii="Calibri" w:hAnsi="Calibri" w:cs="Calibri"/>
                <w:b/>
                <w:sz w:val="24"/>
                <w:szCs w:val="24"/>
              </w:rPr>
              <w:t>Национално ниво</w:t>
            </w:r>
          </w:p>
        </w:tc>
      </w:tr>
      <w:tr w:rsidR="00AA4661" w:rsidRPr="00F8728A" w:rsidTr="00FC2D66">
        <w:trPr>
          <w:cantSplit/>
          <w:jc w:val="center"/>
        </w:trPr>
        <w:tc>
          <w:tcPr>
            <w:tcW w:w="1733" w:type="pct"/>
            <w:vAlign w:val="center"/>
          </w:tcPr>
          <w:p w:rsidR="00AA4661" w:rsidRPr="00F8728A" w:rsidRDefault="00AA4661" w:rsidP="007B4265">
            <w:pPr>
              <w:spacing w:before="20" w:after="20"/>
              <w:jc w:val="both"/>
              <w:rPr>
                <w:rFonts w:ascii="Calibri" w:hAnsi="Calibri" w:cs="Calibri"/>
                <w:sz w:val="22"/>
              </w:rPr>
            </w:pPr>
            <w:r w:rsidRPr="00F8728A">
              <w:rPr>
                <w:rFonts w:ascii="Calibri" w:hAnsi="Calibri" w:cs="Calibri"/>
                <w:sz w:val="22"/>
              </w:rPr>
              <w:t>Разработване на интегриран стратегически документ в съответствие с изискванията на ИУКЗ и МПП в черноморския район – националните МПП</w:t>
            </w:r>
          </w:p>
        </w:tc>
        <w:tc>
          <w:tcPr>
            <w:tcW w:w="2167" w:type="pct"/>
            <w:vAlign w:val="center"/>
          </w:tcPr>
          <w:p w:rsidR="00AA4661" w:rsidRPr="00F8728A" w:rsidRDefault="00AA4661" w:rsidP="007B4265">
            <w:pPr>
              <w:spacing w:before="20" w:after="20"/>
              <w:jc w:val="both"/>
              <w:rPr>
                <w:rFonts w:ascii="Calibri" w:hAnsi="Calibri" w:cs="Calibri"/>
                <w:sz w:val="22"/>
              </w:rPr>
            </w:pPr>
            <w:r w:rsidRPr="00F8728A">
              <w:rPr>
                <w:rFonts w:ascii="Calibri" w:hAnsi="Calibri" w:cs="Calibri"/>
                <w:sz w:val="22"/>
              </w:rPr>
              <w:t>Защитата на крайбрежните градски зони ще залегне в стратегическите документи.</w:t>
            </w:r>
          </w:p>
        </w:tc>
        <w:tc>
          <w:tcPr>
            <w:tcW w:w="1100" w:type="pct"/>
            <w:vAlign w:val="center"/>
          </w:tcPr>
          <w:p w:rsidR="00AA4661" w:rsidRPr="00F8728A" w:rsidRDefault="00AA4661" w:rsidP="007B4265">
            <w:pPr>
              <w:spacing w:before="60" w:after="60"/>
              <w:jc w:val="center"/>
              <w:rPr>
                <w:rFonts w:ascii="Calibri" w:hAnsi="Calibri" w:cs="Calibri"/>
                <w:sz w:val="22"/>
              </w:rPr>
            </w:pPr>
            <w:r w:rsidRPr="00F8728A">
              <w:rPr>
                <w:rFonts w:ascii="Calibri" w:hAnsi="Calibri" w:cs="Calibri"/>
                <w:sz w:val="22"/>
              </w:rPr>
              <w:t>МРРБ, Институт по океанология (БАН), МОСВ, местни власти</w:t>
            </w:r>
          </w:p>
        </w:tc>
      </w:tr>
      <w:tr w:rsidR="00AA4661" w:rsidRPr="00F8728A" w:rsidTr="00FC2D66">
        <w:trPr>
          <w:cantSplit/>
          <w:jc w:val="center"/>
        </w:trPr>
        <w:tc>
          <w:tcPr>
            <w:tcW w:w="1733" w:type="pct"/>
            <w:vAlign w:val="center"/>
          </w:tcPr>
          <w:p w:rsidR="00AA4661" w:rsidRPr="00F8728A" w:rsidRDefault="00AA4661" w:rsidP="007B4265">
            <w:pPr>
              <w:spacing w:before="20" w:after="20"/>
              <w:jc w:val="both"/>
              <w:rPr>
                <w:rFonts w:ascii="Calibri" w:hAnsi="Calibri" w:cs="Calibri"/>
                <w:sz w:val="22"/>
              </w:rPr>
            </w:pPr>
            <w:r w:rsidRPr="00F8728A">
              <w:rPr>
                <w:rFonts w:ascii="Calibri" w:hAnsi="Calibri" w:cs="Calibri"/>
                <w:sz w:val="22"/>
              </w:rPr>
              <w:t>Изграждане и усилване на защитата срещу речни наводнения по река Дунав и други големи реки за предпазване на градските зони и население</w:t>
            </w:r>
          </w:p>
        </w:tc>
        <w:tc>
          <w:tcPr>
            <w:tcW w:w="2167" w:type="pct"/>
            <w:vAlign w:val="center"/>
          </w:tcPr>
          <w:p w:rsidR="00AA4661" w:rsidRPr="00F8728A" w:rsidRDefault="00AA4661" w:rsidP="007B4265">
            <w:pPr>
              <w:spacing w:before="20" w:after="20"/>
              <w:jc w:val="both"/>
              <w:rPr>
                <w:rFonts w:ascii="Calibri" w:hAnsi="Calibri" w:cs="Calibri"/>
                <w:sz w:val="22"/>
              </w:rPr>
            </w:pPr>
            <w:r w:rsidRPr="00F8728A">
              <w:rPr>
                <w:rFonts w:ascii="Calibri" w:hAnsi="Calibri" w:cs="Calibri"/>
                <w:sz w:val="22"/>
              </w:rPr>
              <w:t>Информацията от плановете на басейновите дирекции за овладяване на риска да се използва правилно в устройствените планове и да се предложат мерки за изпълнение</w:t>
            </w:r>
          </w:p>
        </w:tc>
        <w:tc>
          <w:tcPr>
            <w:tcW w:w="1100" w:type="pct"/>
            <w:vAlign w:val="center"/>
          </w:tcPr>
          <w:p w:rsidR="00AA4661" w:rsidRPr="00F8728A" w:rsidRDefault="00AA4661" w:rsidP="007B4265">
            <w:pPr>
              <w:spacing w:before="60" w:after="60"/>
              <w:jc w:val="center"/>
              <w:rPr>
                <w:rFonts w:ascii="Calibri" w:hAnsi="Calibri" w:cs="Calibri"/>
                <w:sz w:val="22"/>
              </w:rPr>
            </w:pPr>
            <w:r w:rsidRPr="00F8728A">
              <w:rPr>
                <w:rFonts w:ascii="Calibri" w:hAnsi="Calibri" w:cs="Calibri"/>
                <w:sz w:val="22"/>
              </w:rPr>
              <w:t>МРРБ, Институт по океанология (БАН), МОСВ, местни власти</w:t>
            </w:r>
          </w:p>
        </w:tc>
      </w:tr>
      <w:tr w:rsidR="00AA4661" w:rsidRPr="00F8728A" w:rsidTr="00FC2D66">
        <w:trPr>
          <w:cantSplit/>
          <w:jc w:val="center"/>
        </w:trPr>
        <w:tc>
          <w:tcPr>
            <w:tcW w:w="5000" w:type="pct"/>
            <w:gridSpan w:val="3"/>
            <w:shd w:val="clear" w:color="auto" w:fill="A8D08D"/>
            <w:vAlign w:val="center"/>
          </w:tcPr>
          <w:p w:rsidR="00AA4661" w:rsidRPr="00F8728A" w:rsidRDefault="00AA4661" w:rsidP="00386031">
            <w:pPr>
              <w:spacing w:before="20" w:after="20"/>
              <w:jc w:val="center"/>
              <w:rPr>
                <w:rFonts w:ascii="Calibri" w:hAnsi="Calibri" w:cs="Calibri"/>
                <w:b/>
                <w:sz w:val="24"/>
                <w:szCs w:val="24"/>
              </w:rPr>
            </w:pPr>
            <w:r w:rsidRPr="00F8728A">
              <w:rPr>
                <w:rFonts w:ascii="Calibri" w:hAnsi="Calibri" w:cs="Calibri"/>
                <w:b/>
                <w:sz w:val="24"/>
                <w:szCs w:val="24"/>
              </w:rPr>
              <w:t>Регионално ниво</w:t>
            </w:r>
          </w:p>
        </w:tc>
      </w:tr>
      <w:tr w:rsidR="00AA4661" w:rsidRPr="00F8728A" w:rsidTr="00FC2D66">
        <w:trPr>
          <w:cantSplit/>
          <w:jc w:val="center"/>
        </w:trPr>
        <w:tc>
          <w:tcPr>
            <w:tcW w:w="1733" w:type="pct"/>
            <w:vAlign w:val="center"/>
          </w:tcPr>
          <w:p w:rsidR="00AA4661" w:rsidRPr="00F8728A" w:rsidRDefault="00AA4661" w:rsidP="00DE0F46">
            <w:pPr>
              <w:spacing w:before="20" w:after="20"/>
              <w:jc w:val="both"/>
              <w:rPr>
                <w:rFonts w:ascii="Calibri" w:hAnsi="Calibri" w:cs="Calibri"/>
                <w:sz w:val="22"/>
              </w:rPr>
            </w:pPr>
            <w:r w:rsidRPr="00F8728A">
              <w:rPr>
                <w:rFonts w:ascii="Calibri" w:hAnsi="Calibri" w:cs="Calibri"/>
                <w:sz w:val="22"/>
              </w:rPr>
              <w:t>Създаване или възстановяване на разливни тераси в крайградските райони, според опасностите и оценката на риска от наводнения на речните басейни.</w:t>
            </w:r>
          </w:p>
        </w:tc>
        <w:tc>
          <w:tcPr>
            <w:tcW w:w="2167" w:type="pct"/>
            <w:vAlign w:val="center"/>
          </w:tcPr>
          <w:p w:rsidR="00AA4661" w:rsidRPr="00F8728A" w:rsidRDefault="00AA4661" w:rsidP="007B4265">
            <w:pPr>
              <w:spacing w:before="20" w:after="20"/>
              <w:jc w:val="both"/>
              <w:rPr>
                <w:rFonts w:ascii="Calibri" w:hAnsi="Calibri" w:cs="Calibri"/>
                <w:sz w:val="22"/>
              </w:rPr>
            </w:pPr>
            <w:r w:rsidRPr="00F8728A">
              <w:rPr>
                <w:rFonts w:ascii="Calibri" w:hAnsi="Calibri" w:cs="Calibri"/>
                <w:sz w:val="22"/>
              </w:rPr>
              <w:t>Да се вземе предвид в Регионалните схеми за пространствено развитие за NUTS II районите в страната</w:t>
            </w:r>
          </w:p>
        </w:tc>
        <w:tc>
          <w:tcPr>
            <w:tcW w:w="1100" w:type="pct"/>
            <w:vAlign w:val="center"/>
          </w:tcPr>
          <w:p w:rsidR="00AA4661" w:rsidRPr="00F8728A" w:rsidRDefault="00AA4661" w:rsidP="007B4265">
            <w:pPr>
              <w:spacing w:before="60" w:after="60"/>
              <w:jc w:val="center"/>
              <w:rPr>
                <w:rFonts w:ascii="Calibri" w:hAnsi="Calibri" w:cs="Calibri"/>
                <w:sz w:val="22"/>
              </w:rPr>
            </w:pPr>
            <w:r w:rsidRPr="00F8728A">
              <w:rPr>
                <w:rFonts w:ascii="Calibri" w:hAnsi="Calibri" w:cs="Calibri"/>
                <w:sz w:val="22"/>
              </w:rPr>
              <w:t>МРРБ, регионални съвети, областни власти</w:t>
            </w:r>
          </w:p>
        </w:tc>
      </w:tr>
      <w:tr w:rsidR="00AA4661" w:rsidRPr="00F8728A" w:rsidTr="00FC2D66">
        <w:trPr>
          <w:cantSplit/>
          <w:jc w:val="center"/>
        </w:trPr>
        <w:tc>
          <w:tcPr>
            <w:tcW w:w="1733" w:type="pct"/>
            <w:vAlign w:val="center"/>
          </w:tcPr>
          <w:p w:rsidR="00AA4661" w:rsidRPr="00F8728A" w:rsidRDefault="00AA4661" w:rsidP="007B4265">
            <w:pPr>
              <w:spacing w:before="20" w:after="20"/>
              <w:jc w:val="both"/>
              <w:rPr>
                <w:rFonts w:ascii="Calibri" w:hAnsi="Calibri" w:cs="Calibri"/>
                <w:sz w:val="22"/>
              </w:rPr>
            </w:pPr>
            <w:r w:rsidRPr="00F8728A">
              <w:rPr>
                <w:rFonts w:ascii="Calibri" w:hAnsi="Calibri" w:cs="Calibri"/>
                <w:sz w:val="22"/>
              </w:rPr>
              <w:t>Поддръжка на речните корита извън градските зони чрез поддръжка на зелените системи и правилен контрол на управлението на отпадъците</w:t>
            </w:r>
          </w:p>
        </w:tc>
        <w:tc>
          <w:tcPr>
            <w:tcW w:w="2167" w:type="pct"/>
            <w:vAlign w:val="center"/>
          </w:tcPr>
          <w:p w:rsidR="00AA4661" w:rsidRPr="00F8728A" w:rsidRDefault="00AA4661" w:rsidP="007B4265">
            <w:pPr>
              <w:spacing w:before="20" w:after="20"/>
              <w:jc w:val="both"/>
              <w:rPr>
                <w:rFonts w:ascii="Calibri" w:hAnsi="Calibri" w:cs="Calibri"/>
                <w:sz w:val="22"/>
              </w:rPr>
            </w:pPr>
            <w:r w:rsidRPr="00F8728A">
              <w:rPr>
                <w:rFonts w:ascii="Calibri" w:hAnsi="Calibri" w:cs="Calibri"/>
                <w:sz w:val="22"/>
              </w:rPr>
              <w:t>Липсата на поддръжка на речните корита доведе до увеличаване на риска за градските зони.</w:t>
            </w:r>
          </w:p>
        </w:tc>
        <w:tc>
          <w:tcPr>
            <w:tcW w:w="1100" w:type="pct"/>
            <w:vAlign w:val="center"/>
          </w:tcPr>
          <w:p w:rsidR="00AA4661" w:rsidRPr="00F8728A" w:rsidRDefault="00AA4661" w:rsidP="007B4265">
            <w:pPr>
              <w:spacing w:before="60" w:after="60"/>
              <w:jc w:val="center"/>
              <w:rPr>
                <w:rFonts w:ascii="Calibri" w:hAnsi="Calibri" w:cs="Calibri"/>
                <w:sz w:val="22"/>
              </w:rPr>
            </w:pPr>
            <w:r w:rsidRPr="00F8728A">
              <w:rPr>
                <w:rFonts w:ascii="Calibri" w:hAnsi="Calibri" w:cs="Calibri"/>
                <w:sz w:val="22"/>
              </w:rPr>
              <w:t>РИОСВ, местни власти,</w:t>
            </w:r>
          </w:p>
        </w:tc>
      </w:tr>
      <w:tr w:rsidR="00AA4661" w:rsidRPr="00F8728A" w:rsidTr="00FC2D66">
        <w:trPr>
          <w:cantSplit/>
          <w:jc w:val="center"/>
        </w:trPr>
        <w:tc>
          <w:tcPr>
            <w:tcW w:w="1733" w:type="pct"/>
            <w:vAlign w:val="center"/>
          </w:tcPr>
          <w:p w:rsidR="00AA4661" w:rsidRPr="00F8728A" w:rsidRDefault="00AA4661" w:rsidP="007B4265">
            <w:pPr>
              <w:spacing w:before="20" w:after="20"/>
              <w:jc w:val="both"/>
              <w:rPr>
                <w:rFonts w:ascii="Calibri" w:hAnsi="Calibri" w:cs="Calibri"/>
                <w:sz w:val="22"/>
              </w:rPr>
            </w:pPr>
            <w:r w:rsidRPr="00F8728A">
              <w:rPr>
                <w:rFonts w:ascii="Calibri" w:hAnsi="Calibri" w:cs="Calibri"/>
                <w:sz w:val="22"/>
              </w:rPr>
              <w:t>Ревизия на съществуващата инфраструктура от напоителни канали, използвани за отводняване при наводнения.</w:t>
            </w:r>
          </w:p>
        </w:tc>
        <w:tc>
          <w:tcPr>
            <w:tcW w:w="2167" w:type="pct"/>
            <w:vAlign w:val="center"/>
          </w:tcPr>
          <w:p w:rsidR="00AA4661" w:rsidRPr="00F8728A" w:rsidRDefault="00AA4661" w:rsidP="007B4265">
            <w:pPr>
              <w:spacing w:before="20" w:after="20"/>
              <w:jc w:val="both"/>
              <w:rPr>
                <w:rFonts w:ascii="Calibri" w:hAnsi="Calibri" w:cs="Calibri"/>
                <w:sz w:val="22"/>
              </w:rPr>
            </w:pPr>
            <w:r w:rsidRPr="00F8728A">
              <w:rPr>
                <w:rFonts w:ascii="Calibri" w:hAnsi="Calibri" w:cs="Calibri"/>
                <w:sz w:val="22"/>
              </w:rPr>
              <w:t>Липса на поддръжка на системата от напоителни канали в Софийско поле, което допълнително повишава риска от наводнения</w:t>
            </w:r>
          </w:p>
        </w:tc>
        <w:tc>
          <w:tcPr>
            <w:tcW w:w="1100" w:type="pct"/>
            <w:vAlign w:val="center"/>
          </w:tcPr>
          <w:p w:rsidR="00AA4661" w:rsidRPr="00F8728A" w:rsidRDefault="00AA4661" w:rsidP="007B4265">
            <w:pPr>
              <w:spacing w:before="20" w:after="20"/>
              <w:jc w:val="center"/>
              <w:rPr>
                <w:rFonts w:ascii="Calibri" w:hAnsi="Calibri" w:cs="Calibri"/>
                <w:sz w:val="22"/>
              </w:rPr>
            </w:pPr>
            <w:r w:rsidRPr="00F8728A">
              <w:rPr>
                <w:rFonts w:ascii="Calibri" w:hAnsi="Calibri" w:cs="Calibri"/>
                <w:sz w:val="22"/>
              </w:rPr>
              <w:t>Мастни администрации</w:t>
            </w:r>
          </w:p>
        </w:tc>
      </w:tr>
      <w:tr w:rsidR="00AA4661" w:rsidRPr="00F8728A" w:rsidTr="00FC2D66">
        <w:trPr>
          <w:cantSplit/>
          <w:jc w:val="center"/>
        </w:trPr>
        <w:tc>
          <w:tcPr>
            <w:tcW w:w="5000" w:type="pct"/>
            <w:gridSpan w:val="3"/>
            <w:shd w:val="clear" w:color="auto" w:fill="A8D08D"/>
            <w:vAlign w:val="center"/>
          </w:tcPr>
          <w:p w:rsidR="00AA4661" w:rsidRPr="00F8728A" w:rsidRDefault="00AA4661" w:rsidP="00386031">
            <w:pPr>
              <w:spacing w:before="20" w:after="20"/>
              <w:jc w:val="center"/>
              <w:rPr>
                <w:rFonts w:ascii="Calibri" w:hAnsi="Calibri" w:cs="Calibri"/>
                <w:b/>
                <w:sz w:val="24"/>
                <w:szCs w:val="24"/>
              </w:rPr>
            </w:pPr>
            <w:r w:rsidRPr="00F8728A">
              <w:rPr>
                <w:rFonts w:ascii="Calibri" w:hAnsi="Calibri" w:cs="Calibri"/>
                <w:b/>
                <w:sz w:val="24"/>
                <w:szCs w:val="24"/>
              </w:rPr>
              <w:t>Локално ниво</w:t>
            </w:r>
          </w:p>
        </w:tc>
      </w:tr>
      <w:tr w:rsidR="00AA4661" w:rsidRPr="00F8728A" w:rsidTr="00FC2D66">
        <w:trPr>
          <w:cantSplit/>
          <w:jc w:val="center"/>
        </w:trPr>
        <w:tc>
          <w:tcPr>
            <w:tcW w:w="1733" w:type="pct"/>
            <w:vAlign w:val="center"/>
          </w:tcPr>
          <w:p w:rsidR="00AA4661" w:rsidRPr="00F8728A" w:rsidRDefault="00AA4661" w:rsidP="007B4265">
            <w:pPr>
              <w:spacing w:before="20" w:after="20"/>
              <w:jc w:val="both"/>
              <w:rPr>
                <w:rFonts w:ascii="Calibri" w:hAnsi="Calibri" w:cs="Calibri"/>
                <w:sz w:val="22"/>
              </w:rPr>
            </w:pPr>
            <w:r w:rsidRPr="00F8728A">
              <w:rPr>
                <w:rFonts w:ascii="Calibri" w:hAnsi="Calibri" w:cs="Calibri"/>
                <w:sz w:val="22"/>
              </w:rPr>
              <w:t>Планиране и изграждане на разделна канализационна система и увеличаване на капацитета ѝ</w:t>
            </w:r>
          </w:p>
        </w:tc>
        <w:tc>
          <w:tcPr>
            <w:tcW w:w="2167" w:type="pct"/>
            <w:vAlign w:val="center"/>
          </w:tcPr>
          <w:p w:rsidR="00AA4661" w:rsidRPr="00F8728A" w:rsidRDefault="00AA4661" w:rsidP="007B4265">
            <w:pPr>
              <w:spacing w:before="20" w:after="20"/>
              <w:jc w:val="both"/>
              <w:rPr>
                <w:rFonts w:ascii="Calibri" w:hAnsi="Calibri" w:cs="Calibri"/>
                <w:sz w:val="22"/>
              </w:rPr>
            </w:pPr>
            <w:r w:rsidRPr="00F8728A">
              <w:rPr>
                <w:rFonts w:ascii="Calibri" w:hAnsi="Calibri" w:cs="Calibri"/>
                <w:sz w:val="22"/>
              </w:rPr>
              <w:t>Съществуващите смесени канализационни системи в градовете се нуждаят от реконструкция и подмяна.</w:t>
            </w:r>
          </w:p>
        </w:tc>
        <w:tc>
          <w:tcPr>
            <w:tcW w:w="1100" w:type="pct"/>
            <w:vAlign w:val="center"/>
          </w:tcPr>
          <w:p w:rsidR="00AA4661" w:rsidRPr="00F8728A" w:rsidRDefault="00AA4661" w:rsidP="007B4265">
            <w:pPr>
              <w:spacing w:before="20" w:after="20"/>
              <w:jc w:val="center"/>
              <w:rPr>
                <w:rFonts w:ascii="Calibri" w:hAnsi="Calibri" w:cs="Calibri"/>
                <w:sz w:val="22"/>
              </w:rPr>
            </w:pPr>
            <w:r w:rsidRPr="00F8728A">
              <w:rPr>
                <w:rFonts w:ascii="Calibri" w:hAnsi="Calibri" w:cs="Calibri"/>
                <w:sz w:val="22"/>
              </w:rPr>
              <w:t>МРРБ, местни власти</w:t>
            </w:r>
          </w:p>
        </w:tc>
      </w:tr>
      <w:tr w:rsidR="00AA4661" w:rsidRPr="00F8728A" w:rsidTr="00FC2D66">
        <w:trPr>
          <w:cantSplit/>
          <w:jc w:val="center"/>
        </w:trPr>
        <w:tc>
          <w:tcPr>
            <w:tcW w:w="1733" w:type="pct"/>
            <w:vAlign w:val="center"/>
          </w:tcPr>
          <w:p w:rsidR="00AA4661" w:rsidRPr="00F8728A" w:rsidRDefault="00AA4661" w:rsidP="007B4265">
            <w:pPr>
              <w:spacing w:before="20" w:after="20"/>
              <w:jc w:val="both"/>
              <w:rPr>
                <w:rFonts w:ascii="Calibri" w:hAnsi="Calibri" w:cs="Calibri"/>
                <w:sz w:val="22"/>
              </w:rPr>
            </w:pPr>
            <w:r w:rsidRPr="00F8728A">
              <w:rPr>
                <w:rFonts w:ascii="Calibri" w:hAnsi="Calibri" w:cs="Calibri"/>
                <w:sz w:val="22"/>
              </w:rPr>
              <w:t>Разширяване на естествените територии с голям капацитет за поглъщане на вода и намаляване на зоните за ново развитие</w:t>
            </w:r>
          </w:p>
        </w:tc>
        <w:tc>
          <w:tcPr>
            <w:tcW w:w="2167" w:type="pct"/>
            <w:vAlign w:val="center"/>
          </w:tcPr>
          <w:p w:rsidR="00AA4661" w:rsidRPr="00F8728A" w:rsidRDefault="00AA4661" w:rsidP="007B4265">
            <w:pPr>
              <w:spacing w:before="20" w:after="20"/>
              <w:jc w:val="both"/>
              <w:rPr>
                <w:rFonts w:ascii="Calibri" w:hAnsi="Calibri" w:cs="Calibri"/>
                <w:sz w:val="22"/>
              </w:rPr>
            </w:pPr>
            <w:r w:rsidRPr="00F8728A">
              <w:rPr>
                <w:rFonts w:ascii="Calibri" w:hAnsi="Calibri" w:cs="Calibri"/>
                <w:sz w:val="22"/>
              </w:rPr>
              <w:t>В повечето случаи устройствените планове се изготвят под натиск от местните власти и общинските съвети да се разширяват градските зони въпреки намаляването на населението в повечето градове.</w:t>
            </w:r>
          </w:p>
        </w:tc>
        <w:tc>
          <w:tcPr>
            <w:tcW w:w="1100" w:type="pct"/>
            <w:vAlign w:val="center"/>
          </w:tcPr>
          <w:p w:rsidR="00AA4661" w:rsidRPr="00F8728A" w:rsidRDefault="00AA4661" w:rsidP="007B4265">
            <w:pPr>
              <w:spacing w:before="20" w:after="20"/>
              <w:jc w:val="center"/>
              <w:rPr>
                <w:rFonts w:ascii="Calibri" w:hAnsi="Calibri" w:cs="Calibri"/>
                <w:sz w:val="22"/>
              </w:rPr>
            </w:pPr>
            <w:r w:rsidRPr="00F8728A">
              <w:rPr>
                <w:rFonts w:ascii="Calibri" w:hAnsi="Calibri" w:cs="Calibri"/>
                <w:sz w:val="22"/>
              </w:rPr>
              <w:t>МРРБ</w:t>
            </w:r>
          </w:p>
        </w:tc>
      </w:tr>
      <w:tr w:rsidR="00AA4661" w:rsidRPr="00F8728A" w:rsidTr="00FC2D66">
        <w:trPr>
          <w:cantSplit/>
          <w:jc w:val="center"/>
        </w:trPr>
        <w:tc>
          <w:tcPr>
            <w:tcW w:w="1733" w:type="pct"/>
            <w:vAlign w:val="center"/>
          </w:tcPr>
          <w:p w:rsidR="00AA4661" w:rsidRPr="00F8728A" w:rsidRDefault="00AA4661" w:rsidP="007B4265">
            <w:pPr>
              <w:spacing w:before="20" w:after="20"/>
              <w:jc w:val="both"/>
              <w:rPr>
                <w:rFonts w:ascii="Calibri" w:hAnsi="Calibri" w:cs="Calibri"/>
                <w:sz w:val="22"/>
              </w:rPr>
            </w:pPr>
            <w:r w:rsidRPr="00F8728A">
              <w:rPr>
                <w:rFonts w:ascii="Calibri" w:hAnsi="Calibri" w:cs="Calibri"/>
                <w:sz w:val="22"/>
              </w:rPr>
              <w:t>Забрана на строителството в уязвими към наводнения територии  и премахване на незаконните постройки на тези места</w:t>
            </w:r>
          </w:p>
        </w:tc>
        <w:tc>
          <w:tcPr>
            <w:tcW w:w="2167" w:type="pct"/>
            <w:vAlign w:val="center"/>
          </w:tcPr>
          <w:p w:rsidR="00AA4661" w:rsidRPr="00F8728A" w:rsidRDefault="00AA4661" w:rsidP="007B4265">
            <w:pPr>
              <w:spacing w:before="20" w:after="20"/>
              <w:jc w:val="both"/>
              <w:rPr>
                <w:rFonts w:ascii="Calibri" w:hAnsi="Calibri" w:cs="Calibri"/>
                <w:sz w:val="22"/>
              </w:rPr>
            </w:pPr>
            <w:r w:rsidRPr="00F8728A">
              <w:rPr>
                <w:rFonts w:ascii="Calibri" w:hAnsi="Calibri" w:cs="Calibri"/>
                <w:sz w:val="22"/>
              </w:rPr>
              <w:t>Незаконно построените сгради в уязвими към наводнения територии създават допълнителен риск за градските зони.</w:t>
            </w:r>
          </w:p>
        </w:tc>
        <w:tc>
          <w:tcPr>
            <w:tcW w:w="1100" w:type="pct"/>
            <w:vAlign w:val="center"/>
          </w:tcPr>
          <w:p w:rsidR="00AA4661" w:rsidRPr="00F8728A" w:rsidRDefault="00AA4661" w:rsidP="00D679B9">
            <w:pPr>
              <w:spacing w:before="60" w:after="60"/>
              <w:jc w:val="center"/>
              <w:rPr>
                <w:rFonts w:ascii="Calibri" w:hAnsi="Calibri" w:cs="Calibri"/>
                <w:sz w:val="22"/>
              </w:rPr>
            </w:pPr>
            <w:r w:rsidRPr="00F8728A">
              <w:rPr>
                <w:rFonts w:ascii="Calibri" w:hAnsi="Calibri" w:cs="Calibri"/>
                <w:sz w:val="22"/>
              </w:rPr>
              <w:t>МРРБ, ДНСК, РДНСК, общинските администрации</w:t>
            </w:r>
          </w:p>
        </w:tc>
      </w:tr>
      <w:tr w:rsidR="00AA4661" w:rsidRPr="00F8728A" w:rsidTr="00FC2D66">
        <w:trPr>
          <w:cantSplit/>
          <w:trHeight w:val="640"/>
          <w:jc w:val="center"/>
        </w:trPr>
        <w:tc>
          <w:tcPr>
            <w:tcW w:w="1733" w:type="pct"/>
            <w:vAlign w:val="center"/>
          </w:tcPr>
          <w:p w:rsidR="00AA4661" w:rsidRPr="00F8728A" w:rsidRDefault="00AA4661" w:rsidP="0086177D">
            <w:pPr>
              <w:spacing w:before="20" w:after="20"/>
              <w:jc w:val="both"/>
              <w:rPr>
                <w:rFonts w:ascii="Calibri" w:hAnsi="Calibri" w:cs="Calibri"/>
                <w:sz w:val="22"/>
              </w:rPr>
            </w:pPr>
            <w:r w:rsidRPr="00F8728A">
              <w:rPr>
                <w:rFonts w:ascii="Calibri" w:hAnsi="Calibri" w:cs="Calibri"/>
                <w:sz w:val="22"/>
              </w:rPr>
              <w:t>Подобряване на системата за подготовка и реагиране при бедствия на локално ниво и в градските зони</w:t>
            </w:r>
          </w:p>
        </w:tc>
        <w:tc>
          <w:tcPr>
            <w:tcW w:w="2167" w:type="pct"/>
            <w:vAlign w:val="center"/>
          </w:tcPr>
          <w:p w:rsidR="00AA4661" w:rsidRPr="00F8728A" w:rsidRDefault="00AA4661" w:rsidP="0086177D">
            <w:pPr>
              <w:spacing w:before="20" w:after="20"/>
              <w:jc w:val="both"/>
              <w:rPr>
                <w:rFonts w:ascii="Calibri" w:hAnsi="Calibri" w:cs="Calibri"/>
                <w:sz w:val="22"/>
              </w:rPr>
            </w:pPr>
            <w:r w:rsidRPr="00F8728A">
              <w:rPr>
                <w:rFonts w:ascii="Calibri" w:hAnsi="Calibri" w:cs="Calibri"/>
                <w:sz w:val="22"/>
              </w:rPr>
              <w:t>Най-важни са звената за малките градове, особено тези, разположени в отдалечените райони и в близост до реки и язовири.</w:t>
            </w:r>
          </w:p>
        </w:tc>
        <w:tc>
          <w:tcPr>
            <w:tcW w:w="1100" w:type="pct"/>
            <w:vAlign w:val="center"/>
          </w:tcPr>
          <w:p w:rsidR="00AA4661" w:rsidRPr="00F8728A" w:rsidRDefault="00AA4661" w:rsidP="00E63622">
            <w:pPr>
              <w:spacing w:before="60" w:after="60"/>
              <w:jc w:val="center"/>
              <w:rPr>
                <w:rFonts w:ascii="Calibri" w:hAnsi="Calibri" w:cs="Calibri"/>
                <w:sz w:val="22"/>
              </w:rPr>
            </w:pPr>
            <w:r w:rsidRPr="00F8728A">
              <w:rPr>
                <w:rFonts w:ascii="Calibri" w:hAnsi="Calibri" w:cs="Calibri"/>
                <w:sz w:val="22"/>
              </w:rPr>
              <w:t>Местни структури на МВР, местни власти, НПО</w:t>
            </w:r>
          </w:p>
        </w:tc>
      </w:tr>
      <w:tr w:rsidR="00AA4661" w:rsidRPr="00F8728A" w:rsidTr="00FC2D66">
        <w:trPr>
          <w:cantSplit/>
          <w:jc w:val="center"/>
        </w:trPr>
        <w:tc>
          <w:tcPr>
            <w:tcW w:w="5000" w:type="pct"/>
            <w:gridSpan w:val="3"/>
            <w:shd w:val="clear" w:color="auto" w:fill="A8D08D"/>
            <w:vAlign w:val="center"/>
          </w:tcPr>
          <w:p w:rsidR="00AA4661" w:rsidRPr="00F8728A" w:rsidRDefault="00AA4661" w:rsidP="0086177D">
            <w:pPr>
              <w:spacing w:before="20" w:after="20"/>
              <w:jc w:val="center"/>
              <w:rPr>
                <w:rFonts w:ascii="Calibri" w:hAnsi="Calibri" w:cs="Calibri"/>
                <w:b/>
                <w:sz w:val="24"/>
                <w:szCs w:val="24"/>
              </w:rPr>
            </w:pPr>
            <w:r w:rsidRPr="00F8728A">
              <w:rPr>
                <w:rFonts w:ascii="Calibri" w:hAnsi="Calibri" w:cs="Calibri"/>
                <w:b/>
                <w:sz w:val="24"/>
                <w:szCs w:val="24"/>
              </w:rPr>
              <w:t>Градски зони</w:t>
            </w:r>
          </w:p>
        </w:tc>
      </w:tr>
      <w:tr w:rsidR="00AA4661" w:rsidRPr="00F8728A" w:rsidTr="00FC2D66">
        <w:trPr>
          <w:cantSplit/>
          <w:jc w:val="center"/>
        </w:trPr>
        <w:tc>
          <w:tcPr>
            <w:tcW w:w="1733" w:type="pct"/>
            <w:vAlign w:val="center"/>
          </w:tcPr>
          <w:p w:rsidR="00AA4661" w:rsidRPr="00F8728A" w:rsidRDefault="00AA4661" w:rsidP="0086177D">
            <w:pPr>
              <w:spacing w:before="20" w:after="20"/>
              <w:jc w:val="both"/>
              <w:rPr>
                <w:rFonts w:ascii="Calibri" w:hAnsi="Calibri" w:cs="Calibri"/>
                <w:sz w:val="22"/>
              </w:rPr>
            </w:pPr>
            <w:r w:rsidRPr="00F8728A">
              <w:rPr>
                <w:rFonts w:ascii="Calibri" w:hAnsi="Calibri" w:cs="Calibri"/>
                <w:sz w:val="22"/>
              </w:rPr>
              <w:t>Защита и развитие на градската зелена система и баланс между „меки“ и „запечатани“ площи.</w:t>
            </w:r>
          </w:p>
        </w:tc>
        <w:tc>
          <w:tcPr>
            <w:tcW w:w="2167" w:type="pct"/>
            <w:vAlign w:val="center"/>
          </w:tcPr>
          <w:p w:rsidR="00AA4661" w:rsidRPr="00F8728A" w:rsidRDefault="00AA4661" w:rsidP="0086177D">
            <w:pPr>
              <w:spacing w:before="20" w:after="20"/>
              <w:jc w:val="both"/>
              <w:rPr>
                <w:rFonts w:ascii="Calibri" w:hAnsi="Calibri" w:cs="Calibri"/>
                <w:sz w:val="22"/>
              </w:rPr>
            </w:pPr>
            <w:r w:rsidRPr="00F8728A">
              <w:rPr>
                <w:rFonts w:ascii="Calibri" w:hAnsi="Calibri" w:cs="Calibri"/>
                <w:sz w:val="22"/>
              </w:rPr>
              <w:t>Подробните устройствени планове се съпътстват от схема на зелената система, доста често изготвена формално. Нужда от по-подробни изследвания и препоръчани мерки.</w:t>
            </w:r>
          </w:p>
        </w:tc>
        <w:tc>
          <w:tcPr>
            <w:tcW w:w="1100" w:type="pct"/>
            <w:vAlign w:val="center"/>
          </w:tcPr>
          <w:p w:rsidR="00AA4661" w:rsidRPr="00F8728A" w:rsidRDefault="00AA4661" w:rsidP="0086177D">
            <w:pPr>
              <w:spacing w:before="60" w:after="60"/>
              <w:jc w:val="center"/>
              <w:rPr>
                <w:rFonts w:ascii="Calibri" w:hAnsi="Calibri" w:cs="Calibri"/>
                <w:sz w:val="22"/>
              </w:rPr>
            </w:pPr>
            <w:r w:rsidRPr="00F8728A">
              <w:rPr>
                <w:rFonts w:ascii="Calibri" w:hAnsi="Calibri" w:cs="Calibri"/>
                <w:sz w:val="22"/>
              </w:rPr>
              <w:t>Местни власти, специалисти по проектиране и консултантски фирми</w:t>
            </w:r>
          </w:p>
        </w:tc>
      </w:tr>
      <w:tr w:rsidR="00AA4661" w:rsidRPr="00F8728A" w:rsidTr="00FC2D66">
        <w:trPr>
          <w:cantSplit/>
          <w:trHeight w:val="865"/>
          <w:jc w:val="center"/>
        </w:trPr>
        <w:tc>
          <w:tcPr>
            <w:tcW w:w="1733" w:type="pct"/>
            <w:vAlign w:val="center"/>
          </w:tcPr>
          <w:p w:rsidR="00AA4661" w:rsidRPr="00F8728A" w:rsidRDefault="00AA4661" w:rsidP="0086177D">
            <w:pPr>
              <w:spacing w:before="20" w:after="20"/>
              <w:jc w:val="both"/>
              <w:rPr>
                <w:rFonts w:ascii="Calibri" w:hAnsi="Calibri" w:cs="Calibri"/>
                <w:sz w:val="22"/>
              </w:rPr>
            </w:pPr>
            <w:r w:rsidRPr="00F8728A">
              <w:rPr>
                <w:rFonts w:ascii="Calibri" w:hAnsi="Calibri" w:cs="Calibri"/>
                <w:sz w:val="22"/>
              </w:rPr>
              <w:t>Създаване на места за събиране на вода и резервоари в градските зони, използвайки съществуващи съоръжения и открити пространства</w:t>
            </w:r>
          </w:p>
        </w:tc>
        <w:tc>
          <w:tcPr>
            <w:tcW w:w="2167" w:type="pct"/>
            <w:vAlign w:val="center"/>
          </w:tcPr>
          <w:p w:rsidR="00AA4661" w:rsidRPr="00F8728A" w:rsidRDefault="00AA4661" w:rsidP="0086177D">
            <w:pPr>
              <w:spacing w:before="20" w:after="20"/>
              <w:jc w:val="both"/>
              <w:rPr>
                <w:rFonts w:ascii="Calibri" w:hAnsi="Calibri" w:cs="Calibri"/>
                <w:sz w:val="22"/>
              </w:rPr>
            </w:pPr>
            <w:r w:rsidRPr="00F8728A">
              <w:rPr>
                <w:rFonts w:ascii="Calibri" w:hAnsi="Calibri" w:cs="Calibri"/>
                <w:sz w:val="22"/>
              </w:rPr>
              <w:t>Практиката по пространствено планиране и проектиране се нуждае от по-добро проучване на този вариант за задържане на допълнителната вода поради наводнение.</w:t>
            </w:r>
          </w:p>
        </w:tc>
        <w:tc>
          <w:tcPr>
            <w:tcW w:w="1100" w:type="pct"/>
            <w:vAlign w:val="center"/>
          </w:tcPr>
          <w:p w:rsidR="00AA4661" w:rsidRPr="00F8728A" w:rsidRDefault="00AA4661" w:rsidP="0086177D">
            <w:pPr>
              <w:spacing w:before="60" w:after="60"/>
              <w:jc w:val="center"/>
              <w:rPr>
                <w:rFonts w:ascii="Calibri" w:hAnsi="Calibri" w:cs="Calibri"/>
                <w:sz w:val="22"/>
              </w:rPr>
            </w:pPr>
            <w:r w:rsidRPr="00F8728A">
              <w:rPr>
                <w:rFonts w:ascii="Calibri" w:hAnsi="Calibri" w:cs="Calibri"/>
                <w:sz w:val="22"/>
              </w:rPr>
              <w:t>Местни власти, експертни съвети по устройство на територията, консултантски фирми</w:t>
            </w:r>
          </w:p>
        </w:tc>
      </w:tr>
      <w:tr w:rsidR="00AA4661" w:rsidRPr="00F8728A" w:rsidTr="00FC2D66">
        <w:trPr>
          <w:cantSplit/>
          <w:jc w:val="center"/>
        </w:trPr>
        <w:tc>
          <w:tcPr>
            <w:tcW w:w="5000" w:type="pct"/>
            <w:gridSpan w:val="3"/>
            <w:shd w:val="clear" w:color="auto" w:fill="A8D08D"/>
            <w:vAlign w:val="center"/>
          </w:tcPr>
          <w:p w:rsidR="00AA4661" w:rsidRPr="00F8728A" w:rsidRDefault="00AA4661" w:rsidP="0086177D">
            <w:pPr>
              <w:spacing w:before="20" w:after="20"/>
              <w:jc w:val="center"/>
              <w:rPr>
                <w:rFonts w:ascii="Calibri" w:hAnsi="Calibri" w:cs="Calibri"/>
                <w:b/>
                <w:sz w:val="24"/>
                <w:szCs w:val="24"/>
              </w:rPr>
            </w:pPr>
            <w:r w:rsidRPr="00F8728A">
              <w:rPr>
                <w:rFonts w:ascii="Calibri" w:hAnsi="Calibri" w:cs="Calibri"/>
                <w:b/>
                <w:sz w:val="24"/>
                <w:szCs w:val="24"/>
              </w:rPr>
              <w:t>Публични открити пространства/Сгради</w:t>
            </w:r>
          </w:p>
        </w:tc>
      </w:tr>
      <w:tr w:rsidR="00AA4661" w:rsidRPr="00F8728A" w:rsidTr="00FC2D66">
        <w:trPr>
          <w:cantSplit/>
          <w:jc w:val="center"/>
        </w:trPr>
        <w:tc>
          <w:tcPr>
            <w:tcW w:w="1733" w:type="pct"/>
            <w:vAlign w:val="center"/>
          </w:tcPr>
          <w:p w:rsidR="00AA4661" w:rsidRPr="00F8728A" w:rsidRDefault="00AA4661" w:rsidP="00656190">
            <w:pPr>
              <w:spacing w:before="60" w:after="60"/>
              <w:jc w:val="both"/>
              <w:rPr>
                <w:rFonts w:ascii="Calibri" w:hAnsi="Calibri" w:cs="Calibri"/>
                <w:sz w:val="22"/>
              </w:rPr>
            </w:pPr>
            <w:r w:rsidRPr="00F8728A">
              <w:rPr>
                <w:rFonts w:ascii="Calibri" w:hAnsi="Calibri" w:cs="Calibri"/>
                <w:sz w:val="22"/>
              </w:rPr>
              <w:t>Творческо архитектурно проектиране, което да предвижда естествено оттичане. При нови проекти – строителство с допълнителна височина, която позволява следващи модификации, съвместими с рисковете от наводнение</w:t>
            </w:r>
          </w:p>
        </w:tc>
        <w:tc>
          <w:tcPr>
            <w:tcW w:w="2167" w:type="pct"/>
            <w:vAlign w:val="center"/>
          </w:tcPr>
          <w:p w:rsidR="00AA4661" w:rsidRPr="00F8728A" w:rsidRDefault="00AA4661" w:rsidP="00656190">
            <w:pPr>
              <w:spacing w:before="20" w:after="20"/>
              <w:jc w:val="both"/>
              <w:rPr>
                <w:rFonts w:ascii="Calibri" w:hAnsi="Calibri" w:cs="Calibri"/>
                <w:sz w:val="22"/>
              </w:rPr>
            </w:pPr>
            <w:r w:rsidRPr="00F8728A">
              <w:rPr>
                <w:rFonts w:ascii="Calibri" w:hAnsi="Calibri"/>
                <w:sz w:val="22"/>
              </w:rPr>
              <w:t>Архитектурните проекти не са обект на контрол по тези въпроси, а само относно съответствието на технически норми.</w:t>
            </w:r>
          </w:p>
        </w:tc>
        <w:tc>
          <w:tcPr>
            <w:tcW w:w="1100" w:type="pct"/>
            <w:vAlign w:val="center"/>
          </w:tcPr>
          <w:p w:rsidR="00AA4661" w:rsidRPr="00F8728A" w:rsidRDefault="00AA4661" w:rsidP="00656190">
            <w:pPr>
              <w:spacing w:after="0"/>
              <w:jc w:val="both"/>
              <w:rPr>
                <w:rFonts w:ascii="Calibri" w:hAnsi="Calibri" w:cs="Calibri"/>
                <w:sz w:val="22"/>
              </w:rPr>
            </w:pPr>
            <w:r w:rsidRPr="00F8728A">
              <w:rPr>
                <w:rFonts w:ascii="Calibri" w:hAnsi="Calibri"/>
                <w:sz w:val="22"/>
              </w:rPr>
              <w:t>МРРБ, местни власти, експертни съвети и проектантски фирми</w:t>
            </w:r>
          </w:p>
        </w:tc>
      </w:tr>
    </w:tbl>
    <w:p w:rsidR="00AA4661" w:rsidRPr="00B73D7E" w:rsidRDefault="00C96961" w:rsidP="00CF297A">
      <w:pPr>
        <w:pStyle w:val="BodyText"/>
        <w:numPr>
          <w:ilvl w:val="0"/>
          <w:numId w:val="41"/>
        </w:numPr>
        <w:spacing w:before="200"/>
        <w:ind w:left="0" w:firstLine="0"/>
        <w:rPr>
          <w:lang w:val="bg-BG"/>
        </w:rPr>
      </w:pPr>
      <w:r w:rsidRPr="00F8728A">
        <w:rPr>
          <w:lang w:val="bg-BG"/>
        </w:rPr>
        <w:t>Мониторингът на свлачишните процеси и поддържането на регистъра</w:t>
      </w:r>
      <w:r w:rsidR="00AA4661" w:rsidRPr="00B73D7E">
        <w:rPr>
          <w:lang w:val="bg-BG"/>
        </w:rPr>
        <w:t xml:space="preserve"> на </w:t>
      </w:r>
      <w:r w:rsidR="00AA4661" w:rsidRPr="00B73D7E">
        <w:rPr>
          <w:b/>
          <w:lang w:val="bg-BG"/>
        </w:rPr>
        <w:t>свлачищата</w:t>
      </w:r>
      <w:r w:rsidR="00AA4661" w:rsidRPr="00B73D7E">
        <w:rPr>
          <w:lang w:val="bg-BG"/>
        </w:rPr>
        <w:t xml:space="preserve"> </w:t>
      </w:r>
      <w:r w:rsidRPr="00F8728A">
        <w:rPr>
          <w:lang w:val="bg-BG"/>
        </w:rPr>
        <w:t xml:space="preserve">в България </w:t>
      </w:r>
      <w:r w:rsidR="00661691" w:rsidRPr="00F8728A">
        <w:rPr>
          <w:lang w:val="bg-BG"/>
        </w:rPr>
        <w:t>са</w:t>
      </w:r>
      <w:r w:rsidR="00661691" w:rsidRPr="00B73D7E">
        <w:rPr>
          <w:lang w:val="bg-BG"/>
        </w:rPr>
        <w:t xml:space="preserve"> </w:t>
      </w:r>
      <w:r w:rsidRPr="00F8728A">
        <w:rPr>
          <w:lang w:val="bg-BG"/>
        </w:rPr>
        <w:t>в компетенциите</w:t>
      </w:r>
      <w:r w:rsidRPr="00B73D7E">
        <w:rPr>
          <w:lang w:val="bg-BG"/>
        </w:rPr>
        <w:t xml:space="preserve"> </w:t>
      </w:r>
      <w:r w:rsidR="00AA4661" w:rsidRPr="00B73D7E">
        <w:rPr>
          <w:lang w:val="bg-BG"/>
        </w:rPr>
        <w:t>на МРРБ</w:t>
      </w:r>
      <w:r w:rsidRPr="00F8728A">
        <w:rPr>
          <w:lang w:val="bg-BG"/>
        </w:rPr>
        <w:t>. Контролът при издаване на предварителни съгласия за осъществяване на геозащитни дейности и строителството в свлачищни райони се упражнява от министър</w:t>
      </w:r>
      <w:r w:rsidR="00EA7B76" w:rsidRPr="00F8728A">
        <w:rPr>
          <w:lang w:val="bg-BG"/>
        </w:rPr>
        <w:t>а</w:t>
      </w:r>
      <w:r w:rsidRPr="00F8728A">
        <w:rPr>
          <w:lang w:val="bg-BG"/>
        </w:rPr>
        <w:t xml:space="preserve"> на регионалното развитие и благоустройството. За изпълнението на функциите си министърът се подпомага от три </w:t>
      </w:r>
      <w:r w:rsidR="00AA4661" w:rsidRPr="00B73D7E">
        <w:rPr>
          <w:lang w:val="bg-BG"/>
        </w:rPr>
        <w:t xml:space="preserve"> специализирани</w:t>
      </w:r>
      <w:r w:rsidRPr="00F8728A">
        <w:rPr>
          <w:lang w:val="bg-BG"/>
        </w:rPr>
        <w:t xml:space="preserve"> геозащитни</w:t>
      </w:r>
      <w:r w:rsidR="00AA4661" w:rsidRPr="00B73D7E">
        <w:rPr>
          <w:lang w:val="bg-BG"/>
        </w:rPr>
        <w:t xml:space="preserve"> дружества във Варна, Плевен и Перник</w:t>
      </w:r>
      <w:r w:rsidRPr="00F8728A">
        <w:rPr>
          <w:lang w:val="bg-BG"/>
        </w:rPr>
        <w:t xml:space="preserve"> и дирекция „Геозащита и благоустройствени дейности“ в специализираната администрация на МРРБ</w:t>
      </w:r>
      <w:r w:rsidR="00AA4661" w:rsidRPr="00B73D7E">
        <w:rPr>
          <w:lang w:val="bg-BG"/>
        </w:rPr>
        <w:t xml:space="preserve">. </w:t>
      </w:r>
      <w:r w:rsidRPr="00F8728A">
        <w:rPr>
          <w:lang w:val="bg-BG"/>
        </w:rPr>
        <w:t>Щатният състав на експертите в дирекцията е недостатъчен, предвид нарастващия брой на свлачищата</w:t>
      </w:r>
      <w:r w:rsidR="00B638C6" w:rsidRPr="00F8728A">
        <w:rPr>
          <w:lang w:val="bg-BG"/>
        </w:rPr>
        <w:t xml:space="preserve"> и осъществяването на контрол по изпълнението на инвестиционните проекти за укрепването им. </w:t>
      </w:r>
      <w:r w:rsidR="00B638C6" w:rsidRPr="00B73D7E">
        <w:rPr>
          <w:lang w:val="bg-BG"/>
        </w:rPr>
        <w:t xml:space="preserve">Финансовите </w:t>
      </w:r>
      <w:r w:rsidR="00AA4661" w:rsidRPr="00B73D7E">
        <w:rPr>
          <w:lang w:val="bg-BG"/>
        </w:rPr>
        <w:t xml:space="preserve">ресурси </w:t>
      </w:r>
      <w:r w:rsidR="00B638C6" w:rsidRPr="00F8728A">
        <w:rPr>
          <w:lang w:val="bg-BG"/>
        </w:rPr>
        <w:t xml:space="preserve">за геозащитна дейност </w:t>
      </w:r>
      <w:r w:rsidR="00AA4661" w:rsidRPr="00B73D7E">
        <w:rPr>
          <w:lang w:val="bg-BG"/>
        </w:rPr>
        <w:t xml:space="preserve">са </w:t>
      </w:r>
      <w:r w:rsidR="00B638C6" w:rsidRPr="00F8728A">
        <w:rPr>
          <w:lang w:val="bg-BG"/>
        </w:rPr>
        <w:t xml:space="preserve">недостатъчни, а някои от обектите изискват значително финансиране, за да бъдат изпълнени всички </w:t>
      </w:r>
      <w:r w:rsidR="00DF676F" w:rsidRPr="00F8728A">
        <w:rPr>
          <w:lang w:val="bg-BG"/>
        </w:rPr>
        <w:t xml:space="preserve">предвидени </w:t>
      </w:r>
      <w:r w:rsidR="00B638C6" w:rsidRPr="00F8728A">
        <w:rPr>
          <w:lang w:val="bg-BG"/>
        </w:rPr>
        <w:t xml:space="preserve">дейности и да се ограничат свлачишните процеси. </w:t>
      </w:r>
      <w:r w:rsidR="00AA4661" w:rsidRPr="00B73D7E">
        <w:rPr>
          <w:lang w:val="bg-BG"/>
        </w:rPr>
        <w:t xml:space="preserve"> </w:t>
      </w:r>
    </w:p>
    <w:p w:rsidR="00AA4661" w:rsidRPr="00B73D7E" w:rsidRDefault="00AA4661" w:rsidP="00CF297A">
      <w:pPr>
        <w:pStyle w:val="BodyText"/>
        <w:numPr>
          <w:ilvl w:val="0"/>
          <w:numId w:val="41"/>
        </w:numPr>
        <w:ind w:left="0" w:firstLine="0"/>
        <w:rPr>
          <w:color w:val="FF0000"/>
          <w:lang w:val="bg-BG"/>
        </w:rPr>
      </w:pPr>
      <w:r w:rsidRPr="00B73D7E">
        <w:rPr>
          <w:lang w:val="bg-BG"/>
        </w:rPr>
        <w:t>Възможните варианти за справяне със свлачищата, които в повечето случаи се активизират след интензивни валежи и наводнения, включват главно национални, регионални и специфични за мястото мерки.</w:t>
      </w:r>
    </w:p>
    <w:p w:rsidR="00AA4661" w:rsidRPr="00F8728A" w:rsidRDefault="00AA4661" w:rsidP="00B73D7E">
      <w:pPr>
        <w:pStyle w:val="FiguresTablesCaption"/>
      </w:pPr>
      <w:bookmarkStart w:id="652" w:name="_Toc529286640"/>
      <w:r w:rsidRPr="00F8728A">
        <w:t xml:space="preserve">Таблица </w:t>
      </w:r>
      <w:r w:rsidRPr="00F8728A">
        <w:fldChar w:fldCharType="begin"/>
      </w:r>
      <w:r w:rsidRPr="00F8728A">
        <w:instrText xml:space="preserve"> SEQ Table \* ARABIC </w:instrText>
      </w:r>
      <w:r w:rsidRPr="00F8728A">
        <w:fldChar w:fldCharType="separate"/>
      </w:r>
      <w:r w:rsidRPr="00F8728A">
        <w:t>13</w:t>
      </w:r>
      <w:r w:rsidRPr="00F8728A">
        <w:fldChar w:fldCharType="end"/>
      </w:r>
      <w:r w:rsidRPr="00F8728A">
        <w:t>. Възможни варианти за адаптация, свързани със свлачищата</w:t>
      </w:r>
      <w:bookmarkEnd w:id="652"/>
    </w:p>
    <w:tbl>
      <w:tblPr>
        <w:tblW w:w="5000"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3259"/>
        <w:gridCol w:w="4023"/>
        <w:gridCol w:w="2018"/>
      </w:tblGrid>
      <w:tr w:rsidR="00AA4661" w:rsidRPr="00F8728A" w:rsidTr="00FC2D66">
        <w:trPr>
          <w:trHeight w:val="233"/>
          <w:tblHeader/>
          <w:jc w:val="center"/>
        </w:trPr>
        <w:tc>
          <w:tcPr>
            <w:tcW w:w="1752" w:type="pct"/>
            <w:shd w:val="clear" w:color="auto" w:fill="365F91"/>
            <w:vAlign w:val="center"/>
          </w:tcPr>
          <w:p w:rsidR="00AA4661" w:rsidRPr="00F8728A" w:rsidRDefault="00AA4661" w:rsidP="00E63622">
            <w:pPr>
              <w:spacing w:before="60" w:after="60"/>
              <w:jc w:val="center"/>
              <w:rPr>
                <w:rFonts w:ascii="Calibri" w:hAnsi="Calibri" w:cs="Calibri"/>
                <w:b/>
                <w:color w:val="FFFFFF"/>
                <w:sz w:val="24"/>
                <w:szCs w:val="24"/>
              </w:rPr>
            </w:pPr>
            <w:r w:rsidRPr="00F8728A">
              <w:rPr>
                <w:rFonts w:ascii="Calibri" w:hAnsi="Calibri" w:cs="Calibri"/>
                <w:b/>
                <w:color w:val="FFFFFF"/>
                <w:sz w:val="24"/>
                <w:szCs w:val="24"/>
              </w:rPr>
              <w:t>Специфични варианти за адаптация</w:t>
            </w:r>
          </w:p>
        </w:tc>
        <w:tc>
          <w:tcPr>
            <w:tcW w:w="2163" w:type="pct"/>
            <w:shd w:val="clear" w:color="auto" w:fill="365F91"/>
            <w:vAlign w:val="center"/>
          </w:tcPr>
          <w:p w:rsidR="00AA4661" w:rsidRPr="00F8728A" w:rsidRDefault="00AA4661" w:rsidP="00E63622">
            <w:pPr>
              <w:spacing w:before="60" w:after="60"/>
              <w:jc w:val="center"/>
              <w:rPr>
                <w:rFonts w:ascii="Calibri" w:hAnsi="Calibri" w:cs="Calibri"/>
                <w:b/>
                <w:color w:val="FFFFFF"/>
                <w:sz w:val="24"/>
                <w:szCs w:val="24"/>
              </w:rPr>
            </w:pPr>
            <w:r w:rsidRPr="00F8728A">
              <w:rPr>
                <w:rFonts w:ascii="Calibri" w:hAnsi="Calibri" w:cs="Calibri"/>
                <w:b/>
                <w:color w:val="FFFFFF"/>
                <w:sz w:val="24"/>
                <w:szCs w:val="24"/>
              </w:rPr>
              <w:t xml:space="preserve">Релевантност към градската среда </w:t>
            </w:r>
          </w:p>
        </w:tc>
        <w:tc>
          <w:tcPr>
            <w:tcW w:w="1085" w:type="pct"/>
            <w:shd w:val="clear" w:color="auto" w:fill="365F91"/>
            <w:vAlign w:val="center"/>
          </w:tcPr>
          <w:p w:rsidR="00AA4661" w:rsidRPr="00F8728A" w:rsidRDefault="00AA4661" w:rsidP="00E63622">
            <w:pPr>
              <w:spacing w:before="60" w:after="60"/>
              <w:jc w:val="center"/>
              <w:rPr>
                <w:rFonts w:ascii="Calibri" w:hAnsi="Calibri" w:cs="Calibri"/>
                <w:b/>
                <w:color w:val="FFFFFF"/>
                <w:sz w:val="24"/>
                <w:szCs w:val="24"/>
              </w:rPr>
            </w:pPr>
            <w:r w:rsidRPr="00F8728A">
              <w:rPr>
                <w:rFonts w:ascii="Calibri" w:hAnsi="Calibri" w:cs="Calibri"/>
                <w:b/>
                <w:color w:val="FFFFFF"/>
                <w:sz w:val="24"/>
                <w:szCs w:val="24"/>
              </w:rPr>
              <w:t>Участници</w:t>
            </w:r>
          </w:p>
        </w:tc>
      </w:tr>
      <w:tr w:rsidR="00AA4661" w:rsidRPr="00F8728A" w:rsidTr="00FC2D66">
        <w:trPr>
          <w:jc w:val="center"/>
        </w:trPr>
        <w:tc>
          <w:tcPr>
            <w:tcW w:w="5000" w:type="pct"/>
            <w:gridSpan w:val="3"/>
            <w:shd w:val="clear" w:color="auto" w:fill="A8D08D"/>
            <w:vAlign w:val="center"/>
          </w:tcPr>
          <w:p w:rsidR="00AA4661" w:rsidRPr="00F8728A" w:rsidRDefault="00AA4661" w:rsidP="00E63622">
            <w:pPr>
              <w:spacing w:before="20" w:after="20"/>
              <w:jc w:val="center"/>
              <w:rPr>
                <w:rFonts w:ascii="Calibri" w:hAnsi="Calibri" w:cs="Calibri"/>
                <w:b/>
                <w:sz w:val="24"/>
                <w:szCs w:val="24"/>
              </w:rPr>
            </w:pPr>
            <w:r w:rsidRPr="00F8728A">
              <w:rPr>
                <w:rFonts w:ascii="Calibri" w:hAnsi="Calibri" w:cs="Calibri"/>
                <w:b/>
                <w:sz w:val="24"/>
                <w:szCs w:val="24"/>
              </w:rPr>
              <w:t>Национално ниво</w:t>
            </w:r>
          </w:p>
        </w:tc>
      </w:tr>
      <w:tr w:rsidR="00AA4661" w:rsidRPr="00F8728A" w:rsidTr="00FC2D66">
        <w:trPr>
          <w:jc w:val="center"/>
        </w:trPr>
        <w:tc>
          <w:tcPr>
            <w:tcW w:w="1752" w:type="pct"/>
            <w:vAlign w:val="center"/>
          </w:tcPr>
          <w:p w:rsidR="00AA4661" w:rsidRPr="00F8728A" w:rsidRDefault="00AA4661" w:rsidP="00E63622">
            <w:pPr>
              <w:spacing w:before="20" w:after="20"/>
              <w:jc w:val="both"/>
              <w:rPr>
                <w:rFonts w:ascii="Calibri" w:hAnsi="Calibri" w:cs="Calibri"/>
                <w:sz w:val="22"/>
              </w:rPr>
            </w:pPr>
            <w:r w:rsidRPr="00F8728A">
              <w:rPr>
                <w:rFonts w:ascii="Calibri" w:hAnsi="Calibri" w:cs="Calibri"/>
                <w:sz w:val="22"/>
              </w:rPr>
              <w:t>Зоните на геоложки риск и регистрираните свлачища да се включат в синтезна схема към НКПР</w:t>
            </w:r>
          </w:p>
        </w:tc>
        <w:tc>
          <w:tcPr>
            <w:tcW w:w="2163" w:type="pct"/>
            <w:vAlign w:val="center"/>
          </w:tcPr>
          <w:p w:rsidR="00AA4661" w:rsidRPr="00F8728A" w:rsidRDefault="00AA4661" w:rsidP="00E63622">
            <w:pPr>
              <w:spacing w:before="20" w:after="20"/>
              <w:jc w:val="both"/>
              <w:rPr>
                <w:rFonts w:ascii="Calibri" w:hAnsi="Calibri" w:cs="Calibri"/>
                <w:sz w:val="22"/>
              </w:rPr>
            </w:pPr>
            <w:r w:rsidRPr="00F8728A">
              <w:rPr>
                <w:rFonts w:ascii="Calibri" w:hAnsi="Calibri" w:cs="Calibri"/>
                <w:sz w:val="22"/>
              </w:rPr>
              <w:t>Регистрираните свлачища и рисковите зони ще залегнат в изменените и обновени стратегически документи (НКПР 2013–2025).</w:t>
            </w:r>
          </w:p>
        </w:tc>
        <w:tc>
          <w:tcPr>
            <w:tcW w:w="1085" w:type="pct"/>
            <w:vAlign w:val="center"/>
          </w:tcPr>
          <w:p w:rsidR="00AA4661" w:rsidRPr="00F8728A" w:rsidRDefault="00AA4661" w:rsidP="00E63622">
            <w:pPr>
              <w:spacing w:before="60" w:after="60"/>
              <w:jc w:val="center"/>
              <w:rPr>
                <w:rFonts w:ascii="Calibri" w:hAnsi="Calibri" w:cs="Calibri"/>
                <w:sz w:val="22"/>
              </w:rPr>
            </w:pPr>
            <w:r w:rsidRPr="00F8728A">
              <w:rPr>
                <w:rFonts w:ascii="Calibri" w:hAnsi="Calibri" w:cs="Calibri"/>
                <w:sz w:val="22"/>
              </w:rPr>
              <w:t>МРРБ, ОПРР, държавни дружества за геозащита</w:t>
            </w:r>
          </w:p>
        </w:tc>
      </w:tr>
      <w:tr w:rsidR="00AA4661" w:rsidRPr="00F8728A" w:rsidTr="00FC2D66">
        <w:trPr>
          <w:jc w:val="center"/>
        </w:trPr>
        <w:tc>
          <w:tcPr>
            <w:tcW w:w="5000" w:type="pct"/>
            <w:gridSpan w:val="3"/>
            <w:shd w:val="clear" w:color="auto" w:fill="A8D08D"/>
            <w:vAlign w:val="center"/>
          </w:tcPr>
          <w:p w:rsidR="00AA4661" w:rsidRPr="00F8728A" w:rsidRDefault="00AA4661" w:rsidP="00E63622">
            <w:pPr>
              <w:spacing w:before="20" w:after="20"/>
              <w:jc w:val="center"/>
              <w:rPr>
                <w:rFonts w:ascii="Calibri" w:hAnsi="Calibri" w:cs="Calibri"/>
                <w:b/>
                <w:sz w:val="24"/>
                <w:szCs w:val="24"/>
              </w:rPr>
            </w:pPr>
            <w:r w:rsidRPr="00F8728A">
              <w:rPr>
                <w:rFonts w:ascii="Calibri" w:hAnsi="Calibri" w:cs="Calibri"/>
                <w:b/>
                <w:sz w:val="24"/>
                <w:szCs w:val="24"/>
              </w:rPr>
              <w:t>Регионално ниво</w:t>
            </w:r>
          </w:p>
        </w:tc>
      </w:tr>
      <w:tr w:rsidR="00AA4661" w:rsidRPr="00F8728A" w:rsidTr="00FC2D66">
        <w:trPr>
          <w:jc w:val="center"/>
        </w:trPr>
        <w:tc>
          <w:tcPr>
            <w:tcW w:w="1752" w:type="pct"/>
            <w:vAlign w:val="center"/>
          </w:tcPr>
          <w:p w:rsidR="00AA4661" w:rsidRPr="00F8728A" w:rsidRDefault="00AA4661" w:rsidP="00E63622">
            <w:pPr>
              <w:spacing w:before="20" w:after="20"/>
              <w:jc w:val="both"/>
              <w:rPr>
                <w:rFonts w:ascii="Calibri" w:hAnsi="Calibri" w:cs="Calibri"/>
                <w:sz w:val="22"/>
              </w:rPr>
            </w:pPr>
            <w:r w:rsidRPr="00F8728A">
              <w:rPr>
                <w:rFonts w:ascii="Calibri" w:hAnsi="Calibri" w:cs="Calibri"/>
                <w:sz w:val="22"/>
              </w:rPr>
              <w:t>Поддържане на добре организираната система за мониторинг на рисковите зони</w:t>
            </w:r>
          </w:p>
        </w:tc>
        <w:tc>
          <w:tcPr>
            <w:tcW w:w="2163" w:type="pct"/>
            <w:vAlign w:val="center"/>
          </w:tcPr>
          <w:p w:rsidR="00AA4661" w:rsidRPr="00F8728A" w:rsidRDefault="00AA4661" w:rsidP="00E63622">
            <w:pPr>
              <w:spacing w:before="20" w:after="20"/>
              <w:jc w:val="both"/>
              <w:rPr>
                <w:rFonts w:ascii="Calibri" w:hAnsi="Calibri" w:cs="Calibri"/>
                <w:sz w:val="22"/>
              </w:rPr>
            </w:pPr>
            <w:r w:rsidRPr="00F8728A">
              <w:rPr>
                <w:rFonts w:ascii="Calibri" w:hAnsi="Calibri" w:cs="Calibri"/>
                <w:sz w:val="22"/>
              </w:rPr>
              <w:t>Националната програма предлага различни системи за мониторинг в зависимост от степента на риска.</w:t>
            </w:r>
          </w:p>
        </w:tc>
        <w:tc>
          <w:tcPr>
            <w:tcW w:w="1085" w:type="pct"/>
            <w:vAlign w:val="center"/>
          </w:tcPr>
          <w:p w:rsidR="00AA4661" w:rsidRPr="00F8728A" w:rsidRDefault="00AA4661" w:rsidP="00E63622">
            <w:pPr>
              <w:spacing w:before="60" w:after="60"/>
              <w:jc w:val="center"/>
              <w:rPr>
                <w:rFonts w:ascii="Calibri" w:hAnsi="Calibri" w:cs="Calibri"/>
                <w:sz w:val="22"/>
              </w:rPr>
            </w:pPr>
            <w:r w:rsidRPr="00F8728A">
              <w:rPr>
                <w:rFonts w:ascii="Calibri" w:hAnsi="Calibri" w:cs="Calibri"/>
                <w:sz w:val="22"/>
              </w:rPr>
              <w:t>МРРБ, ОПРР, държавни дружества за геозащита</w:t>
            </w:r>
          </w:p>
        </w:tc>
      </w:tr>
      <w:tr w:rsidR="00AA4661" w:rsidRPr="00F8728A" w:rsidTr="00FC2D66">
        <w:trPr>
          <w:jc w:val="center"/>
        </w:trPr>
        <w:tc>
          <w:tcPr>
            <w:tcW w:w="5000" w:type="pct"/>
            <w:gridSpan w:val="3"/>
            <w:shd w:val="clear" w:color="auto" w:fill="A8D08D"/>
            <w:vAlign w:val="center"/>
          </w:tcPr>
          <w:p w:rsidR="00AA4661" w:rsidRPr="00F8728A" w:rsidRDefault="00AA4661" w:rsidP="00E63622">
            <w:pPr>
              <w:spacing w:before="20" w:after="20"/>
              <w:jc w:val="center"/>
              <w:rPr>
                <w:rFonts w:ascii="Calibri" w:hAnsi="Calibri" w:cs="Calibri"/>
                <w:b/>
                <w:sz w:val="24"/>
                <w:szCs w:val="24"/>
              </w:rPr>
            </w:pPr>
            <w:r w:rsidRPr="00F8728A">
              <w:rPr>
                <w:rFonts w:ascii="Calibri" w:hAnsi="Calibri" w:cs="Calibri"/>
                <w:b/>
                <w:sz w:val="24"/>
                <w:szCs w:val="24"/>
              </w:rPr>
              <w:t>Локално ниво</w:t>
            </w:r>
          </w:p>
        </w:tc>
      </w:tr>
      <w:tr w:rsidR="00AA4661" w:rsidRPr="00F8728A" w:rsidTr="00FC2D66">
        <w:trPr>
          <w:jc w:val="center"/>
        </w:trPr>
        <w:tc>
          <w:tcPr>
            <w:tcW w:w="1752" w:type="pct"/>
            <w:vAlign w:val="center"/>
          </w:tcPr>
          <w:p w:rsidR="00AA4661" w:rsidRPr="00F8728A" w:rsidRDefault="00AA4661" w:rsidP="00E63622">
            <w:pPr>
              <w:spacing w:before="20" w:after="20"/>
              <w:jc w:val="both"/>
              <w:rPr>
                <w:rFonts w:ascii="Calibri" w:hAnsi="Calibri" w:cs="Calibri"/>
                <w:sz w:val="22"/>
              </w:rPr>
            </w:pPr>
            <w:r w:rsidRPr="00F8728A">
              <w:rPr>
                <w:rFonts w:ascii="Calibri" w:hAnsi="Calibri" w:cs="Calibri"/>
                <w:sz w:val="22"/>
              </w:rPr>
              <w:t>Пълно ограничаване на строителството и по-добър контрол на рисковите зони и разрушаване на незаконните постройки</w:t>
            </w:r>
          </w:p>
        </w:tc>
        <w:tc>
          <w:tcPr>
            <w:tcW w:w="2163" w:type="pct"/>
            <w:vAlign w:val="center"/>
          </w:tcPr>
          <w:p w:rsidR="00AA4661" w:rsidRPr="00F8728A" w:rsidRDefault="00AA4661" w:rsidP="00E63622">
            <w:pPr>
              <w:spacing w:before="20" w:after="20"/>
              <w:jc w:val="both"/>
              <w:rPr>
                <w:rFonts w:ascii="Calibri" w:hAnsi="Calibri" w:cs="Calibri"/>
                <w:sz w:val="22"/>
              </w:rPr>
            </w:pPr>
            <w:r w:rsidRPr="00F8728A">
              <w:rPr>
                <w:rFonts w:ascii="Calibri" w:hAnsi="Calibri" w:cs="Calibri"/>
                <w:sz w:val="22"/>
              </w:rPr>
              <w:t>Най-конфликтни са териториите, където, в зони, застрашени от свлачища се заселват роми върху земя, представляваща публична собственост. Тук са нужни допълнителни мерки за пренастаняване.</w:t>
            </w:r>
          </w:p>
        </w:tc>
        <w:tc>
          <w:tcPr>
            <w:tcW w:w="1085" w:type="pct"/>
            <w:vAlign w:val="center"/>
          </w:tcPr>
          <w:p w:rsidR="00AA4661" w:rsidRPr="00F8728A" w:rsidRDefault="00AA4661" w:rsidP="00E63622">
            <w:pPr>
              <w:spacing w:before="60" w:after="60"/>
              <w:jc w:val="center"/>
              <w:rPr>
                <w:rFonts w:ascii="Calibri" w:hAnsi="Calibri" w:cs="Calibri"/>
                <w:sz w:val="22"/>
              </w:rPr>
            </w:pPr>
            <w:r w:rsidRPr="00F8728A">
              <w:rPr>
                <w:rFonts w:ascii="Calibri" w:hAnsi="Calibri" w:cs="Calibri"/>
                <w:sz w:val="22"/>
              </w:rPr>
              <w:t xml:space="preserve">МРРБ, ДНСК, местни власти </w:t>
            </w:r>
          </w:p>
        </w:tc>
      </w:tr>
      <w:tr w:rsidR="00AA4661" w:rsidRPr="00F8728A" w:rsidTr="00FC2D66">
        <w:trPr>
          <w:jc w:val="center"/>
        </w:trPr>
        <w:tc>
          <w:tcPr>
            <w:tcW w:w="1752" w:type="pct"/>
            <w:vAlign w:val="center"/>
          </w:tcPr>
          <w:p w:rsidR="00AA4661" w:rsidRPr="00F8728A" w:rsidRDefault="00AA4661" w:rsidP="00E63622">
            <w:pPr>
              <w:spacing w:before="20" w:after="20"/>
              <w:jc w:val="both"/>
              <w:rPr>
                <w:rFonts w:ascii="Calibri" w:hAnsi="Calibri" w:cs="Calibri"/>
                <w:sz w:val="22"/>
              </w:rPr>
            </w:pPr>
            <w:r w:rsidRPr="00F8728A">
              <w:rPr>
                <w:rFonts w:ascii="Calibri" w:hAnsi="Calibri" w:cs="Calibri"/>
                <w:sz w:val="22"/>
              </w:rPr>
              <w:t>. Подобряване на системата за подготовка и реагиране при бедствия на локално ниво и в градските зони</w:t>
            </w:r>
          </w:p>
          <w:p w:rsidR="00AA4661" w:rsidRPr="00F8728A" w:rsidRDefault="00AA4661" w:rsidP="00E63622">
            <w:pPr>
              <w:spacing w:before="20" w:after="20"/>
              <w:jc w:val="both"/>
              <w:rPr>
                <w:rFonts w:ascii="Calibri" w:hAnsi="Calibri" w:cs="Calibri"/>
                <w:sz w:val="22"/>
              </w:rPr>
            </w:pPr>
          </w:p>
        </w:tc>
        <w:tc>
          <w:tcPr>
            <w:tcW w:w="2163" w:type="pct"/>
            <w:vAlign w:val="center"/>
          </w:tcPr>
          <w:p w:rsidR="00AA4661" w:rsidRPr="00F8728A" w:rsidRDefault="00AA4661" w:rsidP="00E63622">
            <w:pPr>
              <w:spacing w:before="20" w:after="20"/>
              <w:jc w:val="both"/>
              <w:rPr>
                <w:rFonts w:ascii="Calibri" w:hAnsi="Calibri" w:cs="Calibri"/>
                <w:sz w:val="22"/>
              </w:rPr>
            </w:pPr>
            <w:r w:rsidRPr="00F8728A">
              <w:rPr>
                <w:rFonts w:ascii="Calibri" w:hAnsi="Calibri" w:cs="Calibri"/>
                <w:sz w:val="22"/>
              </w:rPr>
              <w:t xml:space="preserve">. Най-важни са звената за малките градове, особено тези, разположени в отдалечените райони и в близост до зони с риск от свлачища. </w:t>
            </w:r>
          </w:p>
        </w:tc>
        <w:tc>
          <w:tcPr>
            <w:tcW w:w="1085" w:type="pct"/>
            <w:vAlign w:val="center"/>
          </w:tcPr>
          <w:p w:rsidR="00AA4661" w:rsidRPr="00F8728A" w:rsidRDefault="00AA4661" w:rsidP="00E63622">
            <w:pPr>
              <w:spacing w:before="60" w:after="60"/>
              <w:jc w:val="center"/>
              <w:rPr>
                <w:rFonts w:ascii="Calibri" w:hAnsi="Calibri" w:cs="Calibri"/>
                <w:sz w:val="22"/>
              </w:rPr>
            </w:pPr>
            <w:r w:rsidRPr="00F8728A">
              <w:rPr>
                <w:rFonts w:ascii="Calibri" w:hAnsi="Calibri" w:cs="Calibri"/>
                <w:sz w:val="22"/>
              </w:rPr>
              <w:t xml:space="preserve">. Местни структури на МВР, </w:t>
            </w:r>
          </w:p>
          <w:p w:rsidR="00AA4661" w:rsidRPr="00F8728A" w:rsidRDefault="00AA4661" w:rsidP="00E63622">
            <w:pPr>
              <w:spacing w:before="60" w:after="60"/>
              <w:jc w:val="center"/>
              <w:rPr>
                <w:rFonts w:ascii="Calibri" w:hAnsi="Calibri" w:cs="Calibri"/>
                <w:sz w:val="22"/>
              </w:rPr>
            </w:pPr>
            <w:r w:rsidRPr="00F8728A">
              <w:rPr>
                <w:rFonts w:ascii="Calibri" w:hAnsi="Calibri" w:cs="Calibri"/>
                <w:sz w:val="22"/>
              </w:rPr>
              <w:t>местни власти,  неправителствени организации</w:t>
            </w:r>
          </w:p>
        </w:tc>
      </w:tr>
      <w:tr w:rsidR="00AA4661" w:rsidRPr="00F8728A" w:rsidTr="00FC2D66">
        <w:trPr>
          <w:jc w:val="center"/>
        </w:trPr>
        <w:tc>
          <w:tcPr>
            <w:tcW w:w="5000" w:type="pct"/>
            <w:gridSpan w:val="3"/>
            <w:shd w:val="clear" w:color="auto" w:fill="A8D08D"/>
            <w:vAlign w:val="center"/>
          </w:tcPr>
          <w:p w:rsidR="00AA4661" w:rsidRPr="00F8728A" w:rsidRDefault="00AA4661" w:rsidP="00E63622">
            <w:pPr>
              <w:spacing w:before="20" w:after="20"/>
              <w:jc w:val="center"/>
              <w:rPr>
                <w:rFonts w:ascii="Calibri" w:hAnsi="Calibri" w:cs="Calibri"/>
                <w:b/>
                <w:sz w:val="24"/>
                <w:szCs w:val="24"/>
              </w:rPr>
            </w:pPr>
            <w:r w:rsidRPr="00F8728A">
              <w:rPr>
                <w:rFonts w:ascii="Calibri" w:hAnsi="Calibri" w:cs="Calibri"/>
                <w:b/>
                <w:sz w:val="24"/>
                <w:szCs w:val="24"/>
              </w:rPr>
              <w:t>Градски зони</w:t>
            </w:r>
          </w:p>
        </w:tc>
      </w:tr>
      <w:tr w:rsidR="00AA4661" w:rsidRPr="00F8728A" w:rsidTr="00FC2D66">
        <w:trPr>
          <w:jc w:val="center"/>
        </w:trPr>
        <w:tc>
          <w:tcPr>
            <w:tcW w:w="1752" w:type="pct"/>
            <w:vAlign w:val="center"/>
          </w:tcPr>
          <w:p w:rsidR="00AA4661" w:rsidRPr="00F8728A" w:rsidRDefault="00AA4661" w:rsidP="00E63622">
            <w:pPr>
              <w:spacing w:before="20" w:after="20"/>
              <w:jc w:val="both"/>
              <w:rPr>
                <w:rFonts w:ascii="Calibri" w:hAnsi="Calibri" w:cs="Calibri"/>
                <w:sz w:val="22"/>
              </w:rPr>
            </w:pPr>
            <w:r w:rsidRPr="00F8728A">
              <w:rPr>
                <w:rFonts w:ascii="Calibri" w:hAnsi="Calibri" w:cs="Calibri"/>
                <w:sz w:val="22"/>
              </w:rPr>
              <w:t>Геозащитните съоръжения и конструкции да се интегрират в ландшафтните планове.</w:t>
            </w:r>
          </w:p>
        </w:tc>
        <w:tc>
          <w:tcPr>
            <w:tcW w:w="2163" w:type="pct"/>
            <w:vAlign w:val="center"/>
          </w:tcPr>
          <w:p w:rsidR="00AA4661" w:rsidRPr="00F8728A" w:rsidRDefault="00AA4661" w:rsidP="00E63622">
            <w:pPr>
              <w:spacing w:before="20" w:after="20"/>
              <w:jc w:val="both"/>
              <w:rPr>
                <w:rFonts w:ascii="Calibri" w:hAnsi="Calibri" w:cs="Calibri"/>
                <w:sz w:val="22"/>
              </w:rPr>
            </w:pPr>
            <w:r w:rsidRPr="00F8728A">
              <w:rPr>
                <w:rFonts w:ascii="Calibri" w:hAnsi="Calibri" w:cs="Calibri"/>
                <w:sz w:val="22"/>
              </w:rPr>
              <w:t>Въпреки по-високите разходи за такива проекти този вариант не бива да се подценява.</w:t>
            </w:r>
          </w:p>
        </w:tc>
        <w:tc>
          <w:tcPr>
            <w:tcW w:w="1085" w:type="pct"/>
            <w:vAlign w:val="center"/>
          </w:tcPr>
          <w:p w:rsidR="00AA4661" w:rsidRPr="00F8728A" w:rsidRDefault="00AA4661" w:rsidP="00E63622">
            <w:pPr>
              <w:spacing w:before="60" w:after="60"/>
              <w:jc w:val="center"/>
              <w:rPr>
                <w:rFonts w:ascii="Calibri" w:hAnsi="Calibri" w:cs="Calibri"/>
                <w:sz w:val="22"/>
              </w:rPr>
            </w:pPr>
            <w:r w:rsidRPr="00F8728A">
              <w:rPr>
                <w:rFonts w:ascii="Calibri" w:hAnsi="Calibri" w:cs="Calibri"/>
                <w:sz w:val="22"/>
              </w:rPr>
              <w:t>Местни власти, консултантски фирми</w:t>
            </w:r>
          </w:p>
        </w:tc>
      </w:tr>
    </w:tbl>
    <w:p w:rsidR="00AA4661" w:rsidRPr="00F8728A" w:rsidRDefault="00AA4661">
      <w:pPr>
        <w:widowControl w:val="0"/>
        <w:spacing w:after="0"/>
        <w:rPr>
          <w:rFonts w:ascii="Times New Roman" w:eastAsia="MS Mincho" w:hAnsi="Times New Roman"/>
          <w:sz w:val="24"/>
          <w:szCs w:val="24"/>
          <w:lang w:eastAsia="bg-BG"/>
        </w:rPr>
      </w:pPr>
    </w:p>
    <w:p w:rsidR="00FC2D66" w:rsidRPr="00B73D7E" w:rsidRDefault="00FC2D66">
      <w:pPr>
        <w:spacing w:after="0"/>
        <w:rPr>
          <w:rFonts w:ascii="Times New Roman" w:eastAsia="MS Mincho" w:hAnsi="Times New Roman"/>
          <w:sz w:val="24"/>
          <w:szCs w:val="24"/>
          <w:lang w:eastAsia="x-none"/>
        </w:rPr>
      </w:pPr>
      <w:r w:rsidRPr="00F8728A">
        <w:br w:type="page"/>
      </w:r>
    </w:p>
    <w:p w:rsidR="00AA4661" w:rsidRPr="00B73D7E" w:rsidRDefault="00AA4661" w:rsidP="00CF297A">
      <w:pPr>
        <w:pStyle w:val="BodyText"/>
        <w:numPr>
          <w:ilvl w:val="0"/>
          <w:numId w:val="41"/>
        </w:numPr>
        <w:spacing w:before="200" w:after="40"/>
        <w:ind w:left="0" w:firstLine="0"/>
        <w:rPr>
          <w:lang w:val="bg-BG"/>
        </w:rPr>
      </w:pPr>
      <w:r w:rsidRPr="00B73D7E">
        <w:rPr>
          <w:lang w:val="bg-BG"/>
        </w:rPr>
        <w:t>Повечето от приетите документи за АИК и УРБ в България се основават на стратегическия подход  определящ визия, стратегическа цел, приоритети, специфични задачи и мерки, последвани от План за действие.</w:t>
      </w:r>
      <w:r w:rsidRPr="00B73D7E">
        <w:rPr>
          <w:bCs/>
          <w:color w:val="000000"/>
          <w:lang w:val="bg-BG"/>
        </w:rPr>
        <w:t xml:space="preserve"> Националната стратегия за намаляване на риска от бедствия 2014–2020</w:t>
      </w:r>
      <w:r w:rsidRPr="00B73D7E">
        <w:rPr>
          <w:rFonts w:eastAsia="Times New Roman"/>
          <w:bCs/>
          <w:color w:val="000000"/>
          <w:sz w:val="18"/>
          <w:vertAlign w:val="superscript"/>
          <w:lang w:val="bg-BG"/>
        </w:rPr>
        <w:footnoteReference w:id="137"/>
      </w:r>
      <w:r w:rsidRPr="00B73D7E">
        <w:rPr>
          <w:bCs/>
          <w:color w:val="000000"/>
          <w:lang w:val="bg-BG"/>
        </w:rPr>
        <w:t xml:space="preserve"> </w:t>
      </w:r>
      <w:r w:rsidRPr="00B73D7E">
        <w:rPr>
          <w:lang w:val="bg-BG"/>
        </w:rPr>
        <w:t>задава рамката на вариантите за адаптация и се отнася до всички главни групи мерки и дейности:</w:t>
      </w:r>
    </w:p>
    <w:p w:rsidR="00AA4661" w:rsidRPr="00F8728A" w:rsidRDefault="00AA4661" w:rsidP="00E21095">
      <w:pPr>
        <w:numPr>
          <w:ilvl w:val="0"/>
          <w:numId w:val="37"/>
        </w:numPr>
        <w:spacing w:before="40" w:after="40" w:line="276" w:lineRule="auto"/>
        <w:ind w:left="360" w:firstLine="0"/>
        <w:jc w:val="both"/>
        <w:rPr>
          <w:rFonts w:ascii="Times New Roman" w:hAnsi="Times New Roman" w:cs="Arial"/>
          <w:sz w:val="24"/>
          <w:szCs w:val="20"/>
        </w:rPr>
      </w:pPr>
      <w:r w:rsidRPr="00F8728A">
        <w:rPr>
          <w:rFonts w:ascii="Times New Roman" w:hAnsi="Times New Roman"/>
          <w:sz w:val="24"/>
          <w:szCs w:val="20"/>
        </w:rPr>
        <w:t>устойчива национална политика;</w:t>
      </w:r>
    </w:p>
    <w:p w:rsidR="00AA4661" w:rsidRPr="00F8728A" w:rsidRDefault="00AA4661" w:rsidP="00E21095">
      <w:pPr>
        <w:numPr>
          <w:ilvl w:val="0"/>
          <w:numId w:val="37"/>
        </w:numPr>
        <w:spacing w:before="40" w:after="40" w:line="276" w:lineRule="auto"/>
        <w:ind w:left="360" w:firstLine="0"/>
        <w:jc w:val="both"/>
        <w:rPr>
          <w:rFonts w:ascii="Times New Roman" w:hAnsi="Times New Roman" w:cs="Arial"/>
          <w:sz w:val="24"/>
          <w:szCs w:val="20"/>
        </w:rPr>
      </w:pPr>
      <w:r w:rsidRPr="00F8728A">
        <w:rPr>
          <w:rFonts w:ascii="Times New Roman" w:hAnsi="Times New Roman"/>
          <w:sz w:val="24"/>
          <w:szCs w:val="20"/>
        </w:rPr>
        <w:t>законодателна рамка;</w:t>
      </w:r>
    </w:p>
    <w:p w:rsidR="00AA4661" w:rsidRPr="00F8728A" w:rsidRDefault="00AA4661" w:rsidP="00E21095">
      <w:pPr>
        <w:numPr>
          <w:ilvl w:val="0"/>
          <w:numId w:val="37"/>
        </w:numPr>
        <w:spacing w:before="40" w:after="40" w:line="276" w:lineRule="auto"/>
        <w:ind w:left="360" w:firstLine="0"/>
        <w:jc w:val="both"/>
        <w:rPr>
          <w:rFonts w:ascii="Times New Roman" w:hAnsi="Times New Roman" w:cs="Arial"/>
          <w:sz w:val="24"/>
          <w:szCs w:val="20"/>
        </w:rPr>
      </w:pPr>
      <w:r w:rsidRPr="00F8728A">
        <w:rPr>
          <w:rFonts w:ascii="Times New Roman" w:hAnsi="Times New Roman"/>
          <w:sz w:val="24"/>
          <w:szCs w:val="20"/>
        </w:rPr>
        <w:t>институционален капацитет;</w:t>
      </w:r>
    </w:p>
    <w:p w:rsidR="00AA4661" w:rsidRPr="00F8728A" w:rsidRDefault="00AA4661" w:rsidP="00E21095">
      <w:pPr>
        <w:numPr>
          <w:ilvl w:val="0"/>
          <w:numId w:val="37"/>
        </w:numPr>
        <w:spacing w:before="40" w:after="40" w:line="276" w:lineRule="auto"/>
        <w:ind w:left="360" w:firstLine="0"/>
        <w:jc w:val="both"/>
        <w:rPr>
          <w:rFonts w:ascii="Times New Roman" w:hAnsi="Times New Roman" w:cs="Arial"/>
          <w:sz w:val="24"/>
          <w:szCs w:val="20"/>
        </w:rPr>
      </w:pPr>
      <w:r w:rsidRPr="00F8728A">
        <w:rPr>
          <w:rFonts w:ascii="Times New Roman" w:hAnsi="Times New Roman"/>
          <w:sz w:val="24"/>
          <w:szCs w:val="20"/>
        </w:rPr>
        <w:t xml:space="preserve">анализ и оценка на риска; </w:t>
      </w:r>
    </w:p>
    <w:p w:rsidR="00AA4661" w:rsidRPr="00F8728A" w:rsidRDefault="00AA4661" w:rsidP="00E21095">
      <w:pPr>
        <w:numPr>
          <w:ilvl w:val="0"/>
          <w:numId w:val="37"/>
        </w:numPr>
        <w:spacing w:before="40" w:after="40" w:line="276" w:lineRule="auto"/>
        <w:ind w:left="360" w:firstLine="0"/>
        <w:jc w:val="both"/>
        <w:rPr>
          <w:rFonts w:ascii="Times New Roman" w:hAnsi="Times New Roman" w:cs="Arial"/>
          <w:sz w:val="24"/>
          <w:szCs w:val="20"/>
        </w:rPr>
      </w:pPr>
      <w:r w:rsidRPr="00F8728A">
        <w:rPr>
          <w:rFonts w:ascii="Times New Roman" w:hAnsi="Times New Roman"/>
          <w:sz w:val="24"/>
          <w:szCs w:val="20"/>
        </w:rPr>
        <w:t>системи за мониторинг и ранно предупреждение;</w:t>
      </w:r>
    </w:p>
    <w:p w:rsidR="00AA4661" w:rsidRPr="00F8728A" w:rsidRDefault="00AA4661" w:rsidP="00E21095">
      <w:pPr>
        <w:numPr>
          <w:ilvl w:val="0"/>
          <w:numId w:val="37"/>
        </w:numPr>
        <w:spacing w:before="40" w:after="40" w:line="276" w:lineRule="auto"/>
        <w:ind w:left="360" w:firstLine="0"/>
        <w:jc w:val="both"/>
        <w:rPr>
          <w:rFonts w:ascii="Times New Roman" w:hAnsi="Times New Roman" w:cs="Arial"/>
          <w:sz w:val="24"/>
          <w:szCs w:val="20"/>
        </w:rPr>
      </w:pPr>
      <w:r w:rsidRPr="00F8728A">
        <w:rPr>
          <w:rFonts w:ascii="Times New Roman" w:hAnsi="Times New Roman"/>
          <w:sz w:val="24"/>
          <w:szCs w:val="20"/>
        </w:rPr>
        <w:t>изследвания и иновации;</w:t>
      </w:r>
    </w:p>
    <w:p w:rsidR="00AA4661" w:rsidRPr="00F8728A" w:rsidRDefault="00AA4661" w:rsidP="00E21095">
      <w:pPr>
        <w:numPr>
          <w:ilvl w:val="0"/>
          <w:numId w:val="37"/>
        </w:numPr>
        <w:spacing w:before="40" w:after="40" w:line="276" w:lineRule="auto"/>
        <w:ind w:left="360" w:firstLine="0"/>
        <w:jc w:val="both"/>
        <w:rPr>
          <w:rFonts w:ascii="Times New Roman" w:hAnsi="Times New Roman" w:cs="Arial"/>
          <w:sz w:val="24"/>
          <w:szCs w:val="20"/>
        </w:rPr>
      </w:pPr>
      <w:r w:rsidRPr="00F8728A">
        <w:rPr>
          <w:rFonts w:ascii="Times New Roman" w:hAnsi="Times New Roman"/>
          <w:sz w:val="24"/>
          <w:szCs w:val="20"/>
        </w:rPr>
        <w:t>култура на ограничаване на бедствия;</w:t>
      </w:r>
    </w:p>
    <w:p w:rsidR="00AA4661" w:rsidRPr="00F8728A" w:rsidRDefault="00AA4661" w:rsidP="00E21095">
      <w:pPr>
        <w:numPr>
          <w:ilvl w:val="0"/>
          <w:numId w:val="37"/>
        </w:numPr>
        <w:spacing w:before="40" w:after="40" w:line="276" w:lineRule="auto"/>
        <w:ind w:left="360" w:firstLine="0"/>
        <w:jc w:val="both"/>
        <w:rPr>
          <w:rFonts w:ascii="Times New Roman" w:hAnsi="Times New Roman" w:cs="Arial"/>
          <w:sz w:val="24"/>
          <w:szCs w:val="20"/>
        </w:rPr>
      </w:pPr>
      <w:r w:rsidRPr="00F8728A">
        <w:rPr>
          <w:rFonts w:ascii="Times New Roman" w:hAnsi="Times New Roman"/>
          <w:sz w:val="24"/>
          <w:szCs w:val="20"/>
        </w:rPr>
        <w:t>публично участие и осведоменост;</w:t>
      </w:r>
    </w:p>
    <w:p w:rsidR="00AA4661" w:rsidRPr="00F8728A" w:rsidRDefault="00AA4661" w:rsidP="00E21095">
      <w:pPr>
        <w:numPr>
          <w:ilvl w:val="0"/>
          <w:numId w:val="37"/>
        </w:numPr>
        <w:spacing w:before="40" w:after="40" w:line="276" w:lineRule="auto"/>
        <w:ind w:left="360" w:firstLine="0"/>
        <w:jc w:val="both"/>
        <w:rPr>
          <w:rFonts w:ascii="Times New Roman" w:hAnsi="Times New Roman" w:cs="Arial"/>
          <w:sz w:val="24"/>
          <w:szCs w:val="20"/>
        </w:rPr>
      </w:pPr>
      <w:r w:rsidRPr="00F8728A">
        <w:rPr>
          <w:rFonts w:ascii="Times New Roman" w:hAnsi="Times New Roman"/>
          <w:sz w:val="24"/>
          <w:szCs w:val="20"/>
        </w:rPr>
        <w:t>ефективно управление;</w:t>
      </w:r>
    </w:p>
    <w:p w:rsidR="00AA4661" w:rsidRPr="00F8728A" w:rsidRDefault="00AA4661" w:rsidP="00E21095">
      <w:pPr>
        <w:numPr>
          <w:ilvl w:val="0"/>
          <w:numId w:val="37"/>
        </w:numPr>
        <w:spacing w:before="40" w:after="40" w:line="276" w:lineRule="auto"/>
        <w:ind w:left="360" w:firstLine="0"/>
        <w:jc w:val="both"/>
        <w:rPr>
          <w:rFonts w:ascii="Times New Roman" w:hAnsi="Times New Roman" w:cs="Arial"/>
          <w:sz w:val="24"/>
          <w:szCs w:val="20"/>
        </w:rPr>
      </w:pPr>
      <w:r w:rsidRPr="00F8728A">
        <w:rPr>
          <w:rFonts w:ascii="Times New Roman" w:hAnsi="Times New Roman"/>
          <w:sz w:val="24"/>
          <w:szCs w:val="20"/>
        </w:rPr>
        <w:t xml:space="preserve">опазване на критичната инфраструктура; </w:t>
      </w:r>
    </w:p>
    <w:p w:rsidR="00AA4661" w:rsidRPr="00F8728A" w:rsidRDefault="00AA4661" w:rsidP="00E21095">
      <w:pPr>
        <w:numPr>
          <w:ilvl w:val="0"/>
          <w:numId w:val="37"/>
        </w:numPr>
        <w:spacing w:before="40" w:after="40" w:line="276" w:lineRule="auto"/>
        <w:ind w:left="360" w:firstLine="0"/>
        <w:jc w:val="both"/>
        <w:rPr>
          <w:rFonts w:ascii="Times New Roman" w:hAnsi="Times New Roman" w:cs="Arial"/>
          <w:sz w:val="24"/>
          <w:szCs w:val="20"/>
        </w:rPr>
      </w:pPr>
      <w:r w:rsidRPr="00F8728A">
        <w:rPr>
          <w:rFonts w:ascii="Times New Roman" w:hAnsi="Times New Roman"/>
          <w:sz w:val="24"/>
          <w:szCs w:val="20"/>
        </w:rPr>
        <w:t>възстановяване при бедствия;</w:t>
      </w:r>
    </w:p>
    <w:p w:rsidR="00AA4661" w:rsidRPr="00F8728A" w:rsidRDefault="00AA4661" w:rsidP="00E21095">
      <w:pPr>
        <w:numPr>
          <w:ilvl w:val="0"/>
          <w:numId w:val="37"/>
        </w:numPr>
        <w:spacing w:before="40" w:after="120" w:line="276" w:lineRule="auto"/>
        <w:ind w:left="360" w:firstLine="0"/>
        <w:jc w:val="both"/>
        <w:rPr>
          <w:rFonts w:ascii="Times New Roman" w:hAnsi="Times New Roman" w:cs="Arial"/>
          <w:sz w:val="24"/>
          <w:szCs w:val="20"/>
        </w:rPr>
      </w:pPr>
      <w:r w:rsidRPr="00F8728A">
        <w:rPr>
          <w:rFonts w:ascii="Times New Roman" w:hAnsi="Times New Roman"/>
          <w:sz w:val="24"/>
          <w:szCs w:val="20"/>
        </w:rPr>
        <w:t>международно сътрудничество.</w:t>
      </w:r>
    </w:p>
    <w:p w:rsidR="00AA4661" w:rsidRPr="00B73D7E" w:rsidRDefault="00AA4661" w:rsidP="00CF297A">
      <w:pPr>
        <w:pStyle w:val="BodyText"/>
        <w:numPr>
          <w:ilvl w:val="0"/>
          <w:numId w:val="41"/>
        </w:numPr>
        <w:ind w:left="0" w:firstLine="0"/>
        <w:rPr>
          <w:lang w:val="bg-BG"/>
        </w:rPr>
      </w:pPr>
      <w:r w:rsidRPr="00B73D7E">
        <w:rPr>
          <w:lang w:val="bg-BG"/>
        </w:rPr>
        <w:t>Мерките са развити по-нататък в Националната програма за защита при бедствия 2014–2018 г.</w:t>
      </w:r>
      <w:r w:rsidRPr="00B73D7E">
        <w:rPr>
          <w:rFonts w:eastAsia="Times New Roman"/>
          <w:vertAlign w:val="superscript"/>
          <w:lang w:val="bg-BG"/>
        </w:rPr>
        <w:footnoteReference w:id="138"/>
      </w:r>
      <w:r w:rsidRPr="00B73D7E">
        <w:rPr>
          <w:lang w:val="bg-BG"/>
        </w:rPr>
        <w:t xml:space="preserve"> Вариантите за адаптация, предвидени за градската среда, обобщени и разпределени по нива – национално, регионално и местно – по цялата верига до отделните сгради, включват политически, законодателни, информационни, образователни, устройствени, конструктивни и контролни мерки (</w:t>
      </w:r>
      <w:r w:rsidR="008276B1" w:rsidRPr="00B73D7E">
        <w:rPr>
          <w:b/>
          <w:i/>
          <w:iCs/>
          <w:lang w:val="bg-BG"/>
        </w:rPr>
        <w:t>приложение 12</w:t>
      </w:r>
      <w:r w:rsidRPr="00B73D7E">
        <w:rPr>
          <w:lang w:val="bg-BG"/>
        </w:rPr>
        <w:t>).</w:t>
      </w:r>
    </w:p>
    <w:p w:rsidR="00AA4661" w:rsidRPr="00B73D7E" w:rsidRDefault="00AA4661" w:rsidP="00CF297A">
      <w:pPr>
        <w:pStyle w:val="BodyText"/>
        <w:numPr>
          <w:ilvl w:val="0"/>
          <w:numId w:val="41"/>
        </w:numPr>
        <w:spacing w:before="60" w:after="60"/>
        <w:ind w:left="0" w:firstLine="0"/>
        <w:rPr>
          <w:rFonts w:eastAsia="Times New Roman"/>
          <w:lang w:val="bg-BG"/>
        </w:rPr>
      </w:pPr>
      <w:r w:rsidRPr="00B73D7E">
        <w:rPr>
          <w:lang w:val="bg-BG"/>
        </w:rPr>
        <w:t>Варианти за адаптация за свлачища и предпазване от геоложки рискове са предложени в Националната програма за превенция и ограничаване на свлачищата на територията на Република България, ерозията и абразията по Дунавското и Черноморското крайбрежие 2015–2020 г.</w:t>
      </w:r>
      <w:r w:rsidRPr="00B73D7E">
        <w:rPr>
          <w:rFonts w:eastAsia="Times New Roman"/>
          <w:vertAlign w:val="superscript"/>
          <w:lang w:val="bg-BG"/>
        </w:rPr>
        <w:footnoteReference w:id="139"/>
      </w:r>
      <w:r w:rsidRPr="00B73D7E">
        <w:rPr>
          <w:lang w:val="bg-BG"/>
        </w:rPr>
        <w:t xml:space="preserve"> Тя предлага варианти за адаптация според времевия им обхват:</w:t>
      </w:r>
    </w:p>
    <w:p w:rsidR="00AA4661" w:rsidRPr="00F8728A" w:rsidRDefault="00AA4661" w:rsidP="00E21095">
      <w:pPr>
        <w:numPr>
          <w:ilvl w:val="0"/>
          <w:numId w:val="38"/>
        </w:numPr>
        <w:autoSpaceDE w:val="0"/>
        <w:autoSpaceDN w:val="0"/>
        <w:adjustRightInd w:val="0"/>
        <w:spacing w:before="60" w:after="60" w:line="276" w:lineRule="auto"/>
        <w:jc w:val="both"/>
        <w:rPr>
          <w:rFonts w:ascii="Times New Roman" w:hAnsi="Times New Roman" w:cs="Arial"/>
          <w:sz w:val="24"/>
          <w:szCs w:val="20"/>
        </w:rPr>
      </w:pPr>
      <w:r w:rsidRPr="00F8728A">
        <w:rPr>
          <w:rFonts w:ascii="Times New Roman" w:hAnsi="Times New Roman"/>
          <w:sz w:val="24"/>
          <w:szCs w:val="20"/>
        </w:rPr>
        <w:t>спешни действия – укрепване на свлачища (инженерно и технологично); превантивни мерки; инструментален мониторинг и периодично проследяване;</w:t>
      </w:r>
    </w:p>
    <w:p w:rsidR="00AA4661" w:rsidRPr="00F8728A" w:rsidRDefault="00AA4661" w:rsidP="00E21095">
      <w:pPr>
        <w:numPr>
          <w:ilvl w:val="0"/>
          <w:numId w:val="38"/>
        </w:numPr>
        <w:autoSpaceDE w:val="0"/>
        <w:autoSpaceDN w:val="0"/>
        <w:adjustRightInd w:val="0"/>
        <w:spacing w:before="60" w:after="60" w:line="276" w:lineRule="auto"/>
        <w:jc w:val="both"/>
        <w:rPr>
          <w:rFonts w:ascii="Times New Roman" w:hAnsi="Times New Roman" w:cs="Arial"/>
          <w:sz w:val="24"/>
          <w:szCs w:val="20"/>
        </w:rPr>
      </w:pPr>
      <w:r w:rsidRPr="00F8728A">
        <w:rPr>
          <w:rFonts w:ascii="Times New Roman" w:hAnsi="Times New Roman"/>
          <w:sz w:val="24"/>
          <w:szCs w:val="20"/>
        </w:rPr>
        <w:t>приоритетни действия – осигуряване, анализ и проучване на информация, наблюдения и мониторинг, превенция, образователна дейност, проектиране, строителни и възстановителни работи; и</w:t>
      </w:r>
    </w:p>
    <w:p w:rsidR="00AA4661" w:rsidRPr="00F8728A" w:rsidRDefault="00AA4661" w:rsidP="00E21095">
      <w:pPr>
        <w:numPr>
          <w:ilvl w:val="0"/>
          <w:numId w:val="38"/>
        </w:numPr>
        <w:autoSpaceDE w:val="0"/>
        <w:autoSpaceDN w:val="0"/>
        <w:adjustRightInd w:val="0"/>
        <w:spacing w:before="60" w:after="120" w:line="276" w:lineRule="auto"/>
        <w:jc w:val="both"/>
        <w:rPr>
          <w:rFonts w:ascii="Times New Roman" w:hAnsi="Times New Roman" w:cs="Arial"/>
          <w:sz w:val="24"/>
          <w:szCs w:val="20"/>
        </w:rPr>
      </w:pPr>
      <w:r w:rsidRPr="00F8728A">
        <w:rPr>
          <w:rFonts w:ascii="Times New Roman" w:hAnsi="Times New Roman"/>
          <w:sz w:val="24"/>
          <w:szCs w:val="20"/>
        </w:rPr>
        <w:t>действия за укрепени свлачища – мониторинг и контрол.</w:t>
      </w:r>
    </w:p>
    <w:p w:rsidR="00AA4661" w:rsidRPr="00B73D7E" w:rsidRDefault="00AA4661" w:rsidP="00CF297A">
      <w:pPr>
        <w:pStyle w:val="BodyText"/>
        <w:numPr>
          <w:ilvl w:val="0"/>
          <w:numId w:val="41"/>
        </w:numPr>
        <w:ind w:left="0" w:firstLine="0"/>
        <w:rPr>
          <w:lang w:val="bg-BG"/>
        </w:rPr>
      </w:pPr>
      <w:r w:rsidRPr="00B73D7E">
        <w:rPr>
          <w:lang w:val="bg-BG"/>
        </w:rPr>
        <w:t>Ограниченият експертен, административен и финансов капацитет на почти всички български институции изисква да се вземат предвид допълнителни варианти за адаптация от общ характер, обхващащи информацията и проучванията, професионалната практика и управлението, създаването на капацитет и повишаването на осведомеността. Повечето от тях се развиват успоредно с тези за градския транспорт, градската водо- и енергоснабдителна инфраструктура, градския туризъм и здравеопазването (</w:t>
      </w:r>
      <w:r w:rsidRPr="00B73D7E">
        <w:rPr>
          <w:b/>
          <w:i/>
          <w:iCs/>
          <w:lang w:val="bg-BG"/>
        </w:rPr>
        <w:t>приложение 1</w:t>
      </w:r>
      <w:r w:rsidR="00654EA7" w:rsidRPr="00B73D7E">
        <w:rPr>
          <w:b/>
          <w:i/>
          <w:iCs/>
          <w:lang w:val="bg-BG"/>
        </w:rPr>
        <w:t>2</w:t>
      </w:r>
      <w:r w:rsidRPr="00B73D7E">
        <w:rPr>
          <w:lang w:val="bg-BG"/>
        </w:rPr>
        <w:t xml:space="preserve">). Предложеният интегриран подход при овладяването на природните бедствия и планирането на адаптацията ще намали разходите и загубите и ще засили още повече синергетичния ефект. </w:t>
      </w:r>
    </w:p>
    <w:p w:rsidR="00AA4661" w:rsidRPr="00B73D7E" w:rsidRDefault="00AA4661" w:rsidP="00CF297A">
      <w:pPr>
        <w:pStyle w:val="BodyText"/>
        <w:numPr>
          <w:ilvl w:val="0"/>
          <w:numId w:val="41"/>
        </w:numPr>
        <w:ind w:left="0" w:firstLine="0"/>
        <w:rPr>
          <w:lang w:val="bg-BG"/>
        </w:rPr>
      </w:pPr>
      <w:r w:rsidRPr="00B73D7E">
        <w:rPr>
          <w:lang w:val="bg-BG"/>
        </w:rPr>
        <w:t>Подобен подход е приложен в „Насоки за интеграция на политиката по околна среда и политиката по изменение на климата във фондовете за Кохезионната политика, Общата селскостопанска политика, Общата политика за рибарство за периода 2014–2020 г.“, включени от българското правителство в „Програмиране на фондовете по общата стратегическа рамка“ (2013). Тази идея беше оценена като добра практика от ЕК</w:t>
      </w:r>
      <w:r w:rsidRPr="00B73D7E">
        <w:rPr>
          <w:rStyle w:val="FootnoteReference"/>
          <w:lang w:val="bg-BG"/>
        </w:rPr>
        <w:footnoteReference w:id="140"/>
      </w:r>
      <w:r w:rsidRPr="00B73D7E">
        <w:rPr>
          <w:lang w:val="bg-BG"/>
        </w:rPr>
        <w:t>. Насоките, разработени по инициатива на МОСВ, целят подобряване на последователността и ефективността на мерките по политиката на околната среда и климатичните промени както в рамките на Споразумението за партньорство, така и по индивидуално финансираните от ЕС програми. Всяка оперативна програма трябва „да определи подходящия брой цели, насочени към установяване на съответствие с изискванията за интегриране на политиките във връзка с промените в околната среда и климата във Фонда на общата стратегическа рамка“ (с. 22). Препоръките, отнасящи се до градската среда, които са включени за финансиране в ОПРР, засягат намаляването на риска от наводнения чрез пренасяне на регионалните прогнози в плановете за намаляване на риска от наводнения на ниво град, подобряване на енергийната ефективност и ефективно използване на водата в сгради, подлежащи на обновяване. Друга цел е въвеждането на интегриран градски транспорт за намаляване на замърсяването на въздуха и емисиите в градовете. Много от тези препоръки се позовават на ИПГВР и повечето от тях, особено тези за по-големите градове, бяха вече разработени към датата на изготвяне на документа. Исканите промени трябва да бъдат отразени или в индивидуалните проекти по време на приемането на предложения, или в процеса на актуализиране на плановете, предвиден за 2018 г.</w:t>
      </w:r>
    </w:p>
    <w:p w:rsidR="00AA4661" w:rsidRPr="00B73D7E" w:rsidRDefault="00AA4661" w:rsidP="00B73D7E">
      <w:pPr>
        <w:pStyle w:val="Heading3"/>
        <w:spacing w:before="160"/>
        <w:ind w:left="0" w:firstLine="0"/>
        <w:rPr>
          <w:b w:val="0"/>
          <w:i w:val="0"/>
        </w:rPr>
      </w:pPr>
      <w:bookmarkStart w:id="653" w:name="_Toc486513827"/>
      <w:bookmarkStart w:id="654" w:name="_Toc486942208"/>
      <w:bookmarkStart w:id="655" w:name="_Toc501454885"/>
      <w:bookmarkStart w:id="656" w:name="_Toc522030588"/>
      <w:bookmarkStart w:id="657" w:name="_Toc529285573"/>
      <w:r w:rsidRPr="00B73D7E">
        <w:rPr>
          <w:lang w:val="bg-BG"/>
        </w:rPr>
        <w:t>Варианти за адаптация за бедните и уязвими групи</w:t>
      </w:r>
      <w:bookmarkEnd w:id="653"/>
      <w:bookmarkEnd w:id="654"/>
      <w:bookmarkEnd w:id="655"/>
      <w:bookmarkEnd w:id="656"/>
      <w:bookmarkEnd w:id="657"/>
      <w:r w:rsidRPr="00B73D7E">
        <w:rPr>
          <w:lang w:val="bg-BG"/>
        </w:rPr>
        <w:t xml:space="preserve"> </w:t>
      </w:r>
    </w:p>
    <w:p w:rsidR="00AA4661" w:rsidRPr="00B73D7E" w:rsidRDefault="00AA4661" w:rsidP="00CF297A">
      <w:pPr>
        <w:pStyle w:val="BodyText"/>
        <w:numPr>
          <w:ilvl w:val="0"/>
          <w:numId w:val="41"/>
        </w:numPr>
        <w:ind w:left="0" w:firstLine="0"/>
        <w:rPr>
          <w:rFonts w:eastAsia="Times New Roman"/>
          <w:color w:val="000000"/>
          <w:lang w:val="bg-BG"/>
        </w:rPr>
      </w:pPr>
      <w:r w:rsidRPr="00B73D7E">
        <w:rPr>
          <w:lang w:val="bg-BG"/>
        </w:rPr>
        <w:t>Въпросите на социалното подпомагане на уязвими групи и групи в неравностойно социално положение в България се разглеждат в Закона за социално подпомагане</w:t>
      </w:r>
      <w:r w:rsidRPr="00B73D7E">
        <w:rPr>
          <w:vertAlign w:val="superscript"/>
          <w:lang w:val="bg-BG"/>
        </w:rPr>
        <w:footnoteReference w:id="141"/>
      </w:r>
      <w:r w:rsidRPr="00B73D7E">
        <w:rPr>
          <w:lang w:val="bg-BG"/>
        </w:rPr>
        <w:t>. Той гарантира правото на гражданите на социално подпомагане чрез помощи и услуги, без това да засяга човешкото им достойнство.</w:t>
      </w:r>
      <w:r w:rsidRPr="00B73D7E">
        <w:rPr>
          <w:color w:val="000000"/>
          <w:lang w:val="bg-BG"/>
        </w:rPr>
        <w:t xml:space="preserve"> Социалното подпомагане в България се извършва чрез подпомагане за удовлетворяване на жизнените нужди в пари и/или в натура или чрез социални услуги.</w:t>
      </w:r>
    </w:p>
    <w:p w:rsidR="00AA4661" w:rsidRPr="00B73D7E" w:rsidRDefault="00AA4661" w:rsidP="00CF297A">
      <w:pPr>
        <w:pStyle w:val="BodyText"/>
        <w:numPr>
          <w:ilvl w:val="0"/>
          <w:numId w:val="41"/>
        </w:numPr>
        <w:ind w:left="0" w:firstLine="0"/>
        <w:rPr>
          <w:rFonts w:eastAsia="Times New Roman"/>
          <w:color w:val="000000"/>
          <w:lang w:val="bg-BG"/>
        </w:rPr>
      </w:pPr>
      <w:r w:rsidRPr="00B73D7E">
        <w:rPr>
          <w:color w:val="000000"/>
          <w:lang w:val="bg-BG"/>
        </w:rPr>
        <w:t>Най-уязвимите хора в България, към които в случай на природно бедствие са насочени специални мерки и помощи, включват етническите малцинства и, по-специално ромите, бедните, хората в напреднала възраст, децата, хората с увреждания, изолираните групи и тези, които нямат достъп до услуги.  Последните две групи обхващат хората, които живеят в отдалечени, обезлюдени селища, където институциите за социални и здравни грижи са закрити и пътищата са зле поддържани. Това изисква планиране на бюджет за местни пътища в националната периферия, които са от решаващо значение за достъпа до тези места.</w:t>
      </w:r>
    </w:p>
    <w:p w:rsidR="004F27AD" w:rsidRPr="00B73D7E" w:rsidRDefault="00AA4661" w:rsidP="00CF297A">
      <w:pPr>
        <w:pStyle w:val="BodyText"/>
        <w:numPr>
          <w:ilvl w:val="0"/>
          <w:numId w:val="41"/>
        </w:numPr>
        <w:ind w:left="0" w:firstLine="0"/>
        <w:rPr>
          <w:rFonts w:eastAsia="Times New Roman"/>
          <w:color w:val="000000"/>
          <w:lang w:val="bg-BG"/>
        </w:rPr>
      </w:pPr>
      <w:r w:rsidRPr="00B73D7E">
        <w:rPr>
          <w:color w:val="000000"/>
          <w:lang w:val="bg-BG"/>
        </w:rPr>
        <w:t xml:space="preserve">Ромите са най-уязвими за екстремни температури и наводнения поради факта, че обитават зле построени жилища, често намиращи се в изложени на наводнения територии в покрайнините на градовете или просто извън границите им. Също така хората в напреднала възраст, особено тези с хронични заболявания и хората с увреждания са по-неспособни да се справят при природни бедствия. Повечето от тях живеят под границата на бедността, което означава, че ако изгубят подслон, губят почти всичко. При критични обстоятелства тези групи </w:t>
      </w:r>
      <w:r w:rsidRPr="00B73D7E">
        <w:rPr>
          <w:lang w:val="bg-BG"/>
        </w:rPr>
        <w:t>са затруднени да напуснат болниците</w:t>
      </w:r>
      <w:r w:rsidRPr="00B73D7E">
        <w:rPr>
          <w:color w:val="000000"/>
          <w:lang w:val="bg-BG"/>
        </w:rPr>
        <w:t xml:space="preserve"> и хосписите </w:t>
      </w:r>
      <w:r w:rsidRPr="00B73D7E">
        <w:rPr>
          <w:lang w:val="bg-BG"/>
        </w:rPr>
        <w:t xml:space="preserve">поради ограничените </w:t>
      </w:r>
      <w:r w:rsidRPr="00B73D7E">
        <w:rPr>
          <w:color w:val="000000"/>
          <w:lang w:val="bg-BG"/>
        </w:rPr>
        <w:t>възможности за евакуация на бедните и по-възрастните хора от изолирани територии. Липсват частни автомобили и спасителните екипи не са ориентирани приоритетно към отдалечени и обезлюдени територии. Освен това малките селища нямат системи за предупреждение. В територии с концентрация на хора на възраст и болни трябва да се предостави допълнителен транспорт, подобен на съществуващите „зелени линейки“.</w:t>
      </w:r>
    </w:p>
    <w:p w:rsidR="00AA4661" w:rsidRPr="00B73D7E" w:rsidRDefault="00AA4661" w:rsidP="00CF297A">
      <w:pPr>
        <w:pStyle w:val="BodyText"/>
        <w:numPr>
          <w:ilvl w:val="0"/>
          <w:numId w:val="41"/>
        </w:numPr>
        <w:ind w:left="0" w:firstLine="0"/>
        <w:rPr>
          <w:lang w:val="bg-BG"/>
        </w:rPr>
      </w:pPr>
      <w:r w:rsidRPr="00B73D7E">
        <w:rPr>
          <w:color w:val="000000"/>
          <w:lang w:val="bg-BG"/>
        </w:rPr>
        <w:t xml:space="preserve">От значение е формирането на политика, която да реши жилищните проблеми на ромите, </w:t>
      </w:r>
      <w:r w:rsidRPr="00B73D7E">
        <w:rPr>
          <w:lang w:val="bg-BG"/>
        </w:rPr>
        <w:t xml:space="preserve">адресирана към </w:t>
      </w:r>
      <w:r w:rsidRPr="00B73D7E">
        <w:rPr>
          <w:color w:val="000000"/>
          <w:lang w:val="bg-BG"/>
        </w:rPr>
        <w:t>незаконно построените ромски махали, за да се намалят рисковете, на които са изложени хората поради екстремните атмосферни явления</w:t>
      </w:r>
      <w:r w:rsidR="004F27AD" w:rsidRPr="00F8728A">
        <w:rPr>
          <w:color w:val="000000"/>
          <w:lang w:val="bg-BG"/>
        </w:rPr>
        <w:t xml:space="preserve"> и да се адаптират към променящите се климатични условия</w:t>
      </w:r>
      <w:r w:rsidRPr="00B73D7E">
        <w:rPr>
          <w:color w:val="000000"/>
          <w:lang w:val="bg-BG"/>
        </w:rPr>
        <w:t xml:space="preserve">. </w:t>
      </w:r>
      <w:r w:rsidR="004F27AD" w:rsidRPr="00F8728A">
        <w:rPr>
          <w:lang w:val="bg-BG"/>
        </w:rPr>
        <w:t xml:space="preserve">Досега една национална стратегия, както и множество стратегии за интеграция на ромите </w:t>
      </w:r>
      <w:r w:rsidR="005E7C01" w:rsidRPr="00F8728A">
        <w:rPr>
          <w:lang w:val="bg-BG"/>
        </w:rPr>
        <w:t xml:space="preserve">на регионално и общинско ниво са прилагани, а също и няколко програми и планове за действие. Възприетият подход предвижда мерки специално насочени към социално уязвимите групи, които да се включат в общата политика за интегрирано и устойчиво градско развитие. </w:t>
      </w:r>
      <w:r w:rsidR="004F27AD" w:rsidRPr="00B73D7E">
        <w:rPr>
          <w:lang w:val="bg-BG"/>
        </w:rPr>
        <w:t xml:space="preserve"> </w:t>
      </w:r>
      <w:r w:rsidR="005E7C01" w:rsidRPr="00F8728A">
        <w:rPr>
          <w:lang w:val="bg-BG"/>
        </w:rPr>
        <w:t xml:space="preserve">В рамките на Националната програма за подобряване на жилищните условия на ромите в Република България за периода </w:t>
      </w:r>
      <w:r w:rsidR="004F27AD" w:rsidRPr="00B73D7E">
        <w:rPr>
          <w:lang w:val="bg-BG"/>
        </w:rPr>
        <w:t xml:space="preserve">2005–2015, </w:t>
      </w:r>
      <w:r w:rsidR="005E7C01" w:rsidRPr="00F8728A">
        <w:rPr>
          <w:lang w:val="bg-BG"/>
        </w:rPr>
        <w:t xml:space="preserve">бяха изпълнени мерки и дейности за изграждане на социални жилища, за подобряване на техническата инфраструктура, за изработване на кадастрални карти и кадастрални регистри. Очаква се постигнатите резултати да бъдат надградени с изпълнението на новата Национална жилищна стратегия. </w:t>
      </w:r>
      <w:r w:rsidR="00BF794D" w:rsidRPr="00F8728A">
        <w:rPr>
          <w:lang w:val="bg-BG"/>
        </w:rPr>
        <w:t>В допълнение към съществуващите механизми и програми, материална помощ се осигурява чрез Червения кръст, донорски програми, доброволческа дейност и НПО.</w:t>
      </w:r>
    </w:p>
    <w:p w:rsidR="00AA4661" w:rsidRPr="00B73D7E" w:rsidRDefault="00AA4661" w:rsidP="00CF297A">
      <w:pPr>
        <w:pStyle w:val="BodyText"/>
        <w:numPr>
          <w:ilvl w:val="0"/>
          <w:numId w:val="41"/>
        </w:numPr>
        <w:spacing w:after="60"/>
        <w:ind w:left="0" w:firstLine="0"/>
        <w:rPr>
          <w:rFonts w:eastAsia="Times New Roman"/>
          <w:lang w:val="bg-BG"/>
        </w:rPr>
      </w:pPr>
      <w:r w:rsidRPr="00B73D7E">
        <w:rPr>
          <w:color w:val="000000"/>
          <w:lang w:val="bg-BG"/>
        </w:rPr>
        <w:t>Сложността на горепосочените обстоятелства</w:t>
      </w:r>
      <w:r w:rsidRPr="00B73D7E">
        <w:rPr>
          <w:lang w:val="bg-BG"/>
        </w:rPr>
        <w:t xml:space="preserve"> изисква интеграция на множество мерки:</w:t>
      </w:r>
    </w:p>
    <w:p w:rsidR="00AA4661" w:rsidRPr="00F8728A" w:rsidRDefault="00AA4661" w:rsidP="00CF297A">
      <w:pPr>
        <w:pStyle w:val="ListParagraph"/>
        <w:numPr>
          <w:ilvl w:val="0"/>
          <w:numId w:val="69"/>
        </w:numPr>
        <w:shd w:val="clear" w:color="auto" w:fill="FEFEFE"/>
        <w:spacing w:after="60" w:line="276" w:lineRule="auto"/>
        <w:contextualSpacing w:val="0"/>
        <w:jc w:val="both"/>
        <w:rPr>
          <w:rFonts w:ascii="Times New Roman" w:hAnsi="Times New Roman" w:cs="Arial"/>
          <w:sz w:val="24"/>
          <w:szCs w:val="24"/>
        </w:rPr>
      </w:pPr>
      <w:r w:rsidRPr="00F8728A">
        <w:rPr>
          <w:rFonts w:ascii="Times New Roman" w:hAnsi="Times New Roman"/>
          <w:sz w:val="24"/>
          <w:szCs w:val="24"/>
        </w:rPr>
        <w:t>прехвърляне на бюджет към такива общини за предотвратяване и овладяване на бедствия;</w:t>
      </w:r>
    </w:p>
    <w:p w:rsidR="00AA4661" w:rsidRPr="00F8728A" w:rsidRDefault="00AA4661" w:rsidP="00CF297A">
      <w:pPr>
        <w:pStyle w:val="ListParagraph"/>
        <w:numPr>
          <w:ilvl w:val="0"/>
          <w:numId w:val="69"/>
        </w:numPr>
        <w:shd w:val="clear" w:color="auto" w:fill="FEFEFE"/>
        <w:spacing w:after="60" w:line="276" w:lineRule="auto"/>
        <w:contextualSpacing w:val="0"/>
        <w:jc w:val="both"/>
        <w:rPr>
          <w:rFonts w:ascii="Times New Roman" w:hAnsi="Times New Roman" w:cs="Arial"/>
          <w:sz w:val="24"/>
          <w:szCs w:val="24"/>
        </w:rPr>
      </w:pPr>
      <w:r w:rsidRPr="00F8728A">
        <w:rPr>
          <w:rFonts w:ascii="Times New Roman" w:hAnsi="Times New Roman"/>
          <w:sz w:val="24"/>
          <w:szCs w:val="24"/>
        </w:rPr>
        <w:t>ремонт на местните пътища в отдалечени територии на националната периферия с концентрация на застаряло население с ограничена подвижност за по-лесен достъп при спешни случаи;</w:t>
      </w:r>
    </w:p>
    <w:p w:rsidR="00AA4661" w:rsidRPr="00F8728A" w:rsidRDefault="00AA4661" w:rsidP="00CF297A">
      <w:pPr>
        <w:pStyle w:val="ListParagraph"/>
        <w:numPr>
          <w:ilvl w:val="0"/>
          <w:numId w:val="69"/>
        </w:numPr>
        <w:shd w:val="clear" w:color="auto" w:fill="FEFEFE"/>
        <w:spacing w:after="60" w:line="276" w:lineRule="auto"/>
        <w:contextualSpacing w:val="0"/>
        <w:jc w:val="both"/>
        <w:rPr>
          <w:rFonts w:ascii="Times New Roman" w:hAnsi="Times New Roman" w:cs="Arial"/>
          <w:sz w:val="24"/>
          <w:szCs w:val="24"/>
        </w:rPr>
      </w:pPr>
      <w:r w:rsidRPr="00F8728A">
        <w:rPr>
          <w:rFonts w:ascii="Times New Roman" w:hAnsi="Times New Roman"/>
          <w:sz w:val="24"/>
          <w:szCs w:val="24"/>
        </w:rPr>
        <w:t>по-добра интеграция на такива територии в националната система за ранно предупреждение;</w:t>
      </w:r>
    </w:p>
    <w:p w:rsidR="00AA4661" w:rsidRPr="00F8728A" w:rsidRDefault="00AA4661" w:rsidP="00CF297A">
      <w:pPr>
        <w:pStyle w:val="ListParagraph"/>
        <w:numPr>
          <w:ilvl w:val="0"/>
          <w:numId w:val="69"/>
        </w:numPr>
        <w:shd w:val="clear" w:color="auto" w:fill="FEFEFE"/>
        <w:spacing w:after="60" w:line="276" w:lineRule="auto"/>
        <w:contextualSpacing w:val="0"/>
        <w:jc w:val="both"/>
        <w:rPr>
          <w:rFonts w:ascii="Times New Roman" w:hAnsi="Times New Roman" w:cs="Arial"/>
          <w:sz w:val="24"/>
          <w:szCs w:val="24"/>
        </w:rPr>
      </w:pPr>
      <w:r w:rsidRPr="00F8728A">
        <w:rPr>
          <w:rFonts w:ascii="Times New Roman" w:hAnsi="Times New Roman"/>
          <w:sz w:val="24"/>
          <w:szCs w:val="24"/>
        </w:rPr>
        <w:t>предоставяне на специализиран транспорт за евакуация;</w:t>
      </w:r>
    </w:p>
    <w:p w:rsidR="00AA4661" w:rsidRPr="00F8728A" w:rsidRDefault="00AA4661" w:rsidP="00CF297A">
      <w:pPr>
        <w:pStyle w:val="ListParagraph"/>
        <w:numPr>
          <w:ilvl w:val="0"/>
          <w:numId w:val="69"/>
        </w:numPr>
        <w:shd w:val="clear" w:color="auto" w:fill="FEFEFE"/>
        <w:spacing w:after="60" w:line="276" w:lineRule="auto"/>
        <w:contextualSpacing w:val="0"/>
        <w:jc w:val="both"/>
        <w:rPr>
          <w:rFonts w:ascii="Times New Roman" w:hAnsi="Times New Roman" w:cs="Arial"/>
          <w:sz w:val="24"/>
          <w:szCs w:val="24"/>
        </w:rPr>
      </w:pPr>
      <w:r w:rsidRPr="00F8728A">
        <w:rPr>
          <w:rFonts w:ascii="Times New Roman" w:hAnsi="Times New Roman" w:cs="Arial"/>
          <w:sz w:val="24"/>
          <w:szCs w:val="24"/>
        </w:rPr>
        <w:t>финансови мерки за по-добра социална интеграция чрез застраховане за рискове от бедствия и здравно осигуряване, социална защита и адаптивни предпазни мрежи, допълнителна финансова подкрепа от резервните фондове в случай на бедствие;</w:t>
      </w:r>
    </w:p>
    <w:p w:rsidR="00AA4661" w:rsidRPr="00F8728A" w:rsidRDefault="00AA4661" w:rsidP="00CF297A">
      <w:pPr>
        <w:pStyle w:val="ListParagraph"/>
        <w:numPr>
          <w:ilvl w:val="0"/>
          <w:numId w:val="69"/>
        </w:numPr>
        <w:shd w:val="clear" w:color="auto" w:fill="FEFEFE"/>
        <w:spacing w:after="60" w:line="276" w:lineRule="auto"/>
        <w:contextualSpacing w:val="0"/>
        <w:jc w:val="both"/>
        <w:rPr>
          <w:rFonts w:ascii="Times New Roman" w:hAnsi="Times New Roman" w:cs="Arial"/>
          <w:sz w:val="24"/>
          <w:szCs w:val="24"/>
        </w:rPr>
      </w:pPr>
      <w:r w:rsidRPr="00F8728A">
        <w:rPr>
          <w:rFonts w:ascii="Times New Roman" w:hAnsi="Times New Roman"/>
          <w:sz w:val="24"/>
          <w:szCs w:val="24"/>
        </w:rPr>
        <w:t>развиване на партньорство с НПО и бизнес общности;</w:t>
      </w:r>
    </w:p>
    <w:p w:rsidR="00AA4661" w:rsidRPr="00F8728A" w:rsidRDefault="00AA4661" w:rsidP="00CF297A">
      <w:pPr>
        <w:pStyle w:val="ListParagraph"/>
        <w:numPr>
          <w:ilvl w:val="0"/>
          <w:numId w:val="69"/>
        </w:numPr>
        <w:shd w:val="clear" w:color="auto" w:fill="FEFEFE"/>
        <w:spacing w:after="60" w:line="276" w:lineRule="auto"/>
        <w:contextualSpacing w:val="0"/>
        <w:jc w:val="both"/>
        <w:rPr>
          <w:rFonts w:ascii="Times New Roman" w:hAnsi="Times New Roman" w:cs="Arial"/>
          <w:color w:val="000000"/>
          <w:sz w:val="24"/>
          <w:szCs w:val="24"/>
        </w:rPr>
      </w:pPr>
      <w:r w:rsidRPr="00F8728A">
        <w:rPr>
          <w:rFonts w:ascii="Times New Roman" w:hAnsi="Times New Roman"/>
          <w:sz w:val="24"/>
          <w:szCs w:val="24"/>
        </w:rPr>
        <w:t>предоставяне на подслон и преместване на най-уязвимите; и</w:t>
      </w:r>
    </w:p>
    <w:p w:rsidR="00AA4661" w:rsidRPr="00F8728A" w:rsidRDefault="00AA4661" w:rsidP="00CF297A">
      <w:pPr>
        <w:pStyle w:val="ListParagraph"/>
        <w:numPr>
          <w:ilvl w:val="0"/>
          <w:numId w:val="69"/>
        </w:numPr>
        <w:shd w:val="clear" w:color="auto" w:fill="FEFEFE"/>
        <w:spacing w:after="120" w:line="276" w:lineRule="auto"/>
        <w:contextualSpacing w:val="0"/>
        <w:jc w:val="both"/>
        <w:rPr>
          <w:rFonts w:ascii="Times New Roman" w:hAnsi="Times New Roman" w:cs="Arial"/>
          <w:color w:val="000000"/>
          <w:sz w:val="24"/>
          <w:szCs w:val="24"/>
        </w:rPr>
      </w:pPr>
      <w:r w:rsidRPr="00F8728A">
        <w:rPr>
          <w:rFonts w:ascii="Times New Roman" w:hAnsi="Times New Roman"/>
          <w:color w:val="000000"/>
          <w:sz w:val="24"/>
          <w:szCs w:val="24"/>
        </w:rPr>
        <w:t xml:space="preserve">мерки за формиране на поведение, включително образоване и </w:t>
      </w:r>
      <w:r w:rsidRPr="00F8728A">
        <w:rPr>
          <w:rFonts w:ascii="Times New Roman" w:hAnsi="Times New Roman"/>
          <w:sz w:val="24"/>
          <w:szCs w:val="24"/>
        </w:rPr>
        <w:t>мотивиране на адекватно поведение преди, по време на и след природни бедствия.</w:t>
      </w:r>
    </w:p>
    <w:p w:rsidR="00AA4661" w:rsidRPr="00B73D7E" w:rsidRDefault="00AA4661" w:rsidP="00CF297A">
      <w:pPr>
        <w:pStyle w:val="BodyText"/>
        <w:numPr>
          <w:ilvl w:val="0"/>
          <w:numId w:val="41"/>
        </w:numPr>
        <w:ind w:left="0" w:firstLine="0"/>
        <w:rPr>
          <w:lang w:val="bg-BG"/>
        </w:rPr>
      </w:pPr>
      <w:r w:rsidRPr="00B73D7E">
        <w:rPr>
          <w:rStyle w:val="BodyTextChar"/>
          <w:lang w:val="bg-BG"/>
        </w:rPr>
        <w:t>Тъй като Законът за социално подпомагане също предлага други варианти, възстановяването и реконструкцията след бедствие могат да се извършат с помощта на бедните и безработните, като по този начин се създават работни места. Бързото възстановяване зависи от изградените мрежи за социална подкрепа, от организацията и готовността на местните власти за бърза реакция и от взаимоотношенията вътре в местните общности (Flanagan и колектив, 2011 г.). В случаи с природни бедствия помощ за превенция и ликвидиране на щетите се предоставя по Закона за защита при бедствия под ръководството на Междуведомствена комисия за възстановяване и подпомагане към Министерския съвет. Тази комисия се подпомага от ГРПБЗН към МВР. На пострадалите се предоставя спешна помощ и се възстановяват щетите, като се дава приоритет на главните пътища, електрическата и водопроводната мрежа. Кметовете на общини отговарят за доставянето на храна, облекло и</w:t>
      </w:r>
      <w:r w:rsidRPr="00B73D7E">
        <w:rPr>
          <w:lang w:val="bg-BG"/>
        </w:rPr>
        <w:t xml:space="preserve"> подслон. Помощ за възстановяване се предоставя приоритетно на най-уязвимите групи от населението.</w:t>
      </w:r>
    </w:p>
    <w:p w:rsidR="00AA4661" w:rsidRPr="00B73D7E" w:rsidRDefault="00AA4661" w:rsidP="00676435">
      <w:pPr>
        <w:pStyle w:val="Heading2"/>
        <w:ind w:left="0" w:firstLine="0"/>
        <w:rPr>
          <w:lang w:val="bg-BG"/>
        </w:rPr>
      </w:pPr>
      <w:bookmarkStart w:id="658" w:name="_Toc486513828"/>
      <w:bookmarkStart w:id="659" w:name="_Toc486942209"/>
      <w:bookmarkStart w:id="660" w:name="_Toc501454886"/>
      <w:bookmarkStart w:id="661" w:name="_Toc522030589"/>
      <w:bookmarkStart w:id="662" w:name="_Toc529285574"/>
      <w:r w:rsidRPr="00B73D7E">
        <w:rPr>
          <w:lang w:val="bg-BG"/>
        </w:rPr>
        <w:t>Опит с избора на варианти за адаптация на градската среда в други страни (от ЕС)</w:t>
      </w:r>
      <w:bookmarkEnd w:id="658"/>
      <w:bookmarkEnd w:id="659"/>
      <w:bookmarkEnd w:id="660"/>
      <w:bookmarkEnd w:id="661"/>
      <w:bookmarkEnd w:id="662"/>
    </w:p>
    <w:p w:rsidR="00AA4661" w:rsidRPr="00B73D7E" w:rsidRDefault="00AA4661" w:rsidP="00CF297A">
      <w:pPr>
        <w:pStyle w:val="BodyText"/>
        <w:numPr>
          <w:ilvl w:val="0"/>
          <w:numId w:val="41"/>
        </w:numPr>
        <w:ind w:left="0" w:firstLine="0"/>
        <w:rPr>
          <w:lang w:val="bg-BG"/>
        </w:rPr>
      </w:pPr>
      <w:r w:rsidRPr="00B73D7E">
        <w:rPr>
          <w:lang w:val="bg-BG"/>
        </w:rPr>
        <w:t xml:space="preserve">Съществуват множество изследвания и публикации върху вариантите за АИК, разработването на приоритети и селекция в зависимост от местните особености, уязвимостта, съществуващите капацитет и потребности. Прегледът и анализът разкриват разнообразни разбирания и подходи. Описаните мерки и действия, които съставляват вариантите за адаптация, често се основават на различни критерии, но на общи принципи. </w:t>
      </w:r>
    </w:p>
    <w:p w:rsidR="00AA4661" w:rsidRPr="00B73D7E" w:rsidRDefault="00AA4661" w:rsidP="004C2172">
      <w:pPr>
        <w:pStyle w:val="Heading3"/>
        <w:spacing w:before="160"/>
        <w:ind w:left="0" w:firstLine="0"/>
        <w:rPr>
          <w:lang w:val="bg-BG"/>
        </w:rPr>
      </w:pPr>
      <w:bookmarkStart w:id="663" w:name="_Toc486513829"/>
      <w:bookmarkStart w:id="664" w:name="_Toc486942210"/>
      <w:bookmarkStart w:id="665" w:name="_Toc501454887"/>
      <w:bookmarkStart w:id="666" w:name="_Toc522030590"/>
      <w:bookmarkStart w:id="667" w:name="_Toc529285575"/>
      <w:r w:rsidRPr="00B73D7E">
        <w:rPr>
          <w:lang w:val="bg-BG"/>
        </w:rPr>
        <w:t xml:space="preserve">Принципи за избора на варианти за </w:t>
      </w:r>
      <w:bookmarkEnd w:id="663"/>
      <w:bookmarkEnd w:id="664"/>
      <w:bookmarkEnd w:id="665"/>
      <w:r w:rsidRPr="00B73D7E">
        <w:rPr>
          <w:lang w:val="bg-BG"/>
        </w:rPr>
        <w:t>АИК</w:t>
      </w:r>
      <w:bookmarkEnd w:id="666"/>
      <w:bookmarkEnd w:id="667"/>
    </w:p>
    <w:p w:rsidR="00AA4661" w:rsidRPr="00B73D7E" w:rsidRDefault="00AA4661" w:rsidP="00CF297A">
      <w:pPr>
        <w:pStyle w:val="ListParagraph1"/>
        <w:numPr>
          <w:ilvl w:val="0"/>
          <w:numId w:val="41"/>
        </w:numPr>
        <w:ind w:left="0" w:firstLine="0"/>
        <w:contextualSpacing w:val="0"/>
        <w:jc w:val="both"/>
        <w:rPr>
          <w:rFonts w:ascii="Times New Roman" w:hAnsi="Times New Roman" w:cs="Arial"/>
          <w:sz w:val="24"/>
          <w:lang w:val="bg-BG"/>
        </w:rPr>
      </w:pPr>
      <w:r w:rsidRPr="00B73D7E">
        <w:rPr>
          <w:rFonts w:ascii="Times New Roman" w:hAnsi="Times New Roman"/>
          <w:sz w:val="24"/>
          <w:lang w:val="bg-BG"/>
        </w:rPr>
        <w:t>Изборът на варианти за АИК за градската среда се основава главно на общи принципи, препоръчани в насоките на ЕК и изследванията, анализите и докладите на някои страни членки на ЕС. Тук са включени ръководните принципи за добра АИК в Европа</w:t>
      </w:r>
      <w:r w:rsidRPr="00B73D7E">
        <w:rPr>
          <w:sz w:val="18"/>
          <w:vertAlign w:val="superscript"/>
          <w:lang w:val="bg-BG"/>
        </w:rPr>
        <w:footnoteReference w:id="142"/>
      </w:r>
      <w:r w:rsidRPr="00B73D7E">
        <w:rPr>
          <w:rFonts w:ascii="Times New Roman" w:hAnsi="Times New Roman"/>
          <w:sz w:val="24"/>
          <w:lang w:val="bg-BG"/>
        </w:rPr>
        <w:t>.</w:t>
      </w:r>
    </w:p>
    <w:p w:rsidR="00AA4661" w:rsidRPr="00B73D7E" w:rsidRDefault="00AA4661" w:rsidP="00CF297A">
      <w:pPr>
        <w:pStyle w:val="ListParagraph1"/>
        <w:numPr>
          <w:ilvl w:val="0"/>
          <w:numId w:val="41"/>
        </w:numPr>
        <w:ind w:left="0" w:firstLine="0"/>
        <w:contextualSpacing w:val="0"/>
        <w:jc w:val="both"/>
        <w:rPr>
          <w:rFonts w:ascii="Times New Roman" w:hAnsi="Times New Roman" w:cs="Arial"/>
          <w:sz w:val="24"/>
          <w:lang w:val="bg-BG"/>
        </w:rPr>
      </w:pPr>
      <w:r w:rsidRPr="00B73D7E">
        <w:rPr>
          <w:rFonts w:ascii="Times New Roman" w:hAnsi="Times New Roman"/>
          <w:sz w:val="24"/>
          <w:lang w:val="bg-BG"/>
        </w:rPr>
        <w:t>Предложените 10 принципа на адаптацията се основават на обхватен преглед на литературата</w:t>
      </w:r>
      <w:r w:rsidRPr="00B73D7E">
        <w:rPr>
          <w:rFonts w:ascii="Times New Roman" w:hAnsi="Times New Roman" w:cs="Arial"/>
          <w:sz w:val="18"/>
          <w:vertAlign w:val="superscript"/>
          <w:lang w:val="bg-BG"/>
        </w:rPr>
        <w:footnoteReference w:id="143"/>
      </w:r>
      <w:r w:rsidRPr="00B73D7E">
        <w:rPr>
          <w:rFonts w:ascii="Times New Roman" w:hAnsi="Times New Roman"/>
          <w:sz w:val="24"/>
          <w:lang w:val="bg-BG"/>
        </w:rPr>
        <w:t>. Подчертава се взаимната връзка между принципите и необходимостта от интегрираното им прилагане, като значението на всеки принцип зависи от стадия в процеса на адаптация, нивото на вземане на решение и специфичните условия на региона.</w:t>
      </w:r>
    </w:p>
    <w:p w:rsidR="00AA4661" w:rsidRPr="00B73D7E" w:rsidRDefault="00AA4661" w:rsidP="00CF297A">
      <w:pPr>
        <w:pStyle w:val="ListParagraph1"/>
        <w:numPr>
          <w:ilvl w:val="0"/>
          <w:numId w:val="41"/>
        </w:numPr>
        <w:spacing w:after="160"/>
        <w:ind w:left="0" w:firstLine="0"/>
        <w:contextualSpacing w:val="0"/>
        <w:jc w:val="both"/>
        <w:rPr>
          <w:rFonts w:ascii="Times New Roman" w:hAnsi="Times New Roman"/>
          <w:sz w:val="24"/>
          <w:lang w:val="bg-BG"/>
        </w:rPr>
      </w:pPr>
      <w:r w:rsidRPr="00B73D7E">
        <w:rPr>
          <w:rFonts w:ascii="Times New Roman" w:hAnsi="Times New Roman"/>
          <w:sz w:val="24"/>
          <w:lang w:val="bg-BG"/>
        </w:rPr>
        <w:t xml:space="preserve">Австрийската стратегия за адаптация към климатичните промени, приета през 2012 г. и актуализирана през </w:t>
      </w:r>
      <w:r w:rsidRPr="00B73D7E">
        <w:rPr>
          <w:rFonts w:ascii="Times New Roman" w:hAnsi="Times New Roman"/>
          <w:sz w:val="24"/>
          <w:szCs w:val="24"/>
          <w:lang w:val="bg-BG"/>
        </w:rPr>
        <w:t>2015 г.</w:t>
      </w:r>
      <w:r w:rsidRPr="00B73D7E">
        <w:rPr>
          <w:rFonts w:ascii="Times New Roman" w:hAnsi="Times New Roman" w:cs="Arial"/>
          <w:sz w:val="24"/>
          <w:szCs w:val="24"/>
          <w:vertAlign w:val="superscript"/>
          <w:lang w:val="bg-BG"/>
        </w:rPr>
        <w:footnoteReference w:id="144"/>
      </w:r>
      <w:r w:rsidRPr="00B73D7E">
        <w:rPr>
          <w:rFonts w:ascii="Times New Roman" w:hAnsi="Times New Roman"/>
          <w:sz w:val="24"/>
          <w:szCs w:val="24"/>
          <w:lang w:val="bg-BG"/>
        </w:rPr>
        <w:t>, полага о</w:t>
      </w:r>
      <w:r w:rsidRPr="00B73D7E">
        <w:rPr>
          <w:rFonts w:ascii="Times New Roman" w:hAnsi="Times New Roman"/>
          <w:sz w:val="24"/>
          <w:lang w:val="bg-BG"/>
        </w:rPr>
        <w:t xml:space="preserve">сновата за всички други документи в йерархичната система на планиране и определя поредица от принципи и ключови индикатори, предназначени да подпомогнат процеса на селекция на варианти за адаптация. Ръководните принципи в </w:t>
      </w:r>
      <w:r w:rsidRPr="00B73D7E">
        <w:rPr>
          <w:rFonts w:ascii="Times New Roman" w:hAnsi="Times New Roman"/>
          <w:b/>
          <w:i/>
          <w:sz w:val="24"/>
          <w:lang w:val="bg-BG"/>
        </w:rPr>
        <w:t>каре 3</w:t>
      </w:r>
      <w:r w:rsidRPr="00B73D7E">
        <w:rPr>
          <w:rFonts w:ascii="Times New Roman" w:hAnsi="Times New Roman"/>
          <w:sz w:val="24"/>
          <w:lang w:val="bg-BG"/>
        </w:rPr>
        <w:t xml:space="preserve"> могат да се вземат предвид, когато става въпрос за градската среда в България:</w:t>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AA4661" w:rsidRPr="00F8728A" w:rsidTr="00AD7B74">
        <w:tc>
          <w:tcPr>
            <w:tcW w:w="8545" w:type="dxa"/>
            <w:shd w:val="clear" w:color="auto" w:fill="B8CCE4"/>
          </w:tcPr>
          <w:p w:rsidR="00AA4661" w:rsidRPr="00F8728A" w:rsidRDefault="00AA4661" w:rsidP="00AD7B74">
            <w:pPr>
              <w:spacing w:before="60" w:after="60" w:line="252" w:lineRule="auto"/>
              <w:jc w:val="center"/>
              <w:rPr>
                <w:rFonts w:ascii="Calibri" w:hAnsi="Calibri" w:cs="Calibri"/>
                <w:b/>
                <w:i/>
                <w:sz w:val="22"/>
              </w:rPr>
            </w:pPr>
            <w:bookmarkStart w:id="668" w:name="_Toc522030704"/>
            <w:r w:rsidRPr="00F8728A">
              <w:rPr>
                <w:rFonts w:ascii="Calibri" w:hAnsi="Calibri" w:cs="Calibri"/>
                <w:b/>
                <w:i/>
                <w:sz w:val="22"/>
              </w:rPr>
              <w:t xml:space="preserve">Каре </w:t>
            </w:r>
            <w:r w:rsidRPr="00F8728A">
              <w:rPr>
                <w:rFonts w:ascii="Calibri" w:hAnsi="Calibri" w:cs="Calibri"/>
                <w:b/>
                <w:i/>
                <w:sz w:val="22"/>
              </w:rPr>
              <w:fldChar w:fldCharType="begin"/>
            </w:r>
            <w:r w:rsidRPr="00F8728A">
              <w:rPr>
                <w:rFonts w:ascii="Calibri" w:hAnsi="Calibri" w:cs="Calibri"/>
                <w:b/>
                <w:i/>
                <w:sz w:val="22"/>
              </w:rPr>
              <w:instrText xml:space="preserve"> SEQ Box \* ARABIC </w:instrText>
            </w:r>
            <w:r w:rsidRPr="00F8728A">
              <w:rPr>
                <w:rFonts w:ascii="Calibri" w:hAnsi="Calibri" w:cs="Calibri"/>
                <w:b/>
                <w:i/>
                <w:sz w:val="22"/>
              </w:rPr>
              <w:fldChar w:fldCharType="separate"/>
            </w:r>
            <w:r w:rsidRPr="00F8728A">
              <w:rPr>
                <w:rFonts w:ascii="Calibri" w:hAnsi="Calibri" w:cs="Calibri"/>
                <w:b/>
                <w:i/>
                <w:sz w:val="22"/>
              </w:rPr>
              <w:t>3</w:t>
            </w:r>
            <w:r w:rsidRPr="00F8728A">
              <w:rPr>
                <w:rFonts w:ascii="Calibri" w:hAnsi="Calibri" w:cs="Calibri"/>
                <w:b/>
                <w:i/>
                <w:sz w:val="22"/>
              </w:rPr>
              <w:fldChar w:fldCharType="end"/>
            </w:r>
            <w:r w:rsidRPr="00F8728A">
              <w:rPr>
                <w:rFonts w:ascii="Calibri" w:hAnsi="Calibri" w:cs="Calibri"/>
                <w:b/>
                <w:i/>
                <w:sz w:val="22"/>
              </w:rPr>
              <w:t>. Ръководни принципи за адаптация</w:t>
            </w:r>
            <w:bookmarkEnd w:id="668"/>
          </w:p>
          <w:p w:rsidR="00AA4661" w:rsidRPr="00F8728A" w:rsidRDefault="00AA4661" w:rsidP="00CF297A">
            <w:pPr>
              <w:numPr>
                <w:ilvl w:val="0"/>
                <w:numId w:val="45"/>
              </w:numPr>
              <w:shd w:val="clear" w:color="auto" w:fill="B8CCE4"/>
              <w:autoSpaceDE w:val="0"/>
              <w:autoSpaceDN w:val="0"/>
              <w:adjustRightInd w:val="0"/>
              <w:spacing w:before="40" w:after="40"/>
              <w:ind w:left="504"/>
              <w:jc w:val="both"/>
              <w:rPr>
                <w:rFonts w:ascii="Calibri" w:hAnsi="Calibri" w:cs="Calibri"/>
                <w:bCs/>
                <w:color w:val="000000"/>
                <w:sz w:val="22"/>
              </w:rPr>
            </w:pPr>
            <w:r w:rsidRPr="00F8728A">
              <w:rPr>
                <w:rFonts w:ascii="Calibri" w:hAnsi="Calibri" w:cs="Calibri"/>
                <w:b/>
                <w:bCs/>
                <w:color w:val="000000"/>
                <w:sz w:val="22"/>
              </w:rPr>
              <w:t>„Поемане на отговорност“</w:t>
            </w:r>
            <w:r w:rsidRPr="00F8728A">
              <w:rPr>
                <w:rFonts w:ascii="Calibri" w:hAnsi="Calibri" w:cs="Calibri"/>
                <w:bCs/>
                <w:color w:val="000000"/>
                <w:sz w:val="22"/>
              </w:rPr>
              <w:t xml:space="preserve"> – Прилагането на този принцип означава ангажиране и воля да се приеме предизвикателството на адаптацията към климатичните промени за да се развие липсващият институционален, административен и експертен капацитет в дългосрочен план.</w:t>
            </w:r>
          </w:p>
          <w:p w:rsidR="00AA4661" w:rsidRPr="00F8728A" w:rsidRDefault="00AA4661" w:rsidP="00CF297A">
            <w:pPr>
              <w:numPr>
                <w:ilvl w:val="0"/>
                <w:numId w:val="45"/>
              </w:numPr>
              <w:shd w:val="clear" w:color="auto" w:fill="B8CCE4"/>
              <w:autoSpaceDE w:val="0"/>
              <w:autoSpaceDN w:val="0"/>
              <w:adjustRightInd w:val="0"/>
              <w:spacing w:before="40" w:after="40"/>
              <w:ind w:left="504"/>
              <w:jc w:val="both"/>
              <w:rPr>
                <w:rFonts w:ascii="Calibri" w:hAnsi="Calibri" w:cs="Calibri"/>
                <w:bCs/>
                <w:color w:val="000000"/>
                <w:sz w:val="22"/>
              </w:rPr>
            </w:pPr>
            <w:r w:rsidRPr="00F8728A">
              <w:rPr>
                <w:rFonts w:ascii="Calibri" w:hAnsi="Calibri" w:cs="Calibri"/>
                <w:b/>
                <w:bCs/>
                <w:color w:val="000000"/>
                <w:sz w:val="22"/>
              </w:rPr>
              <w:t>„Споделяне на информация“</w:t>
            </w:r>
            <w:r w:rsidRPr="00F8728A">
              <w:rPr>
                <w:rFonts w:ascii="Calibri" w:hAnsi="Calibri" w:cs="Calibri"/>
                <w:bCs/>
                <w:color w:val="000000"/>
                <w:sz w:val="22"/>
              </w:rPr>
              <w:t xml:space="preserve"> – Това е свързано, на първо място, с обичайното разбиране на понятието, терминологията и методологията и, по-нататък, със съвместното учене, обмяната на информация и знания в среда без цялостно развита култура на комуникация.</w:t>
            </w:r>
          </w:p>
          <w:p w:rsidR="00AA4661" w:rsidRPr="00F8728A" w:rsidRDefault="00AA4661" w:rsidP="00CF297A">
            <w:pPr>
              <w:numPr>
                <w:ilvl w:val="0"/>
                <w:numId w:val="45"/>
              </w:numPr>
              <w:shd w:val="clear" w:color="auto" w:fill="B8CCE4"/>
              <w:autoSpaceDE w:val="0"/>
              <w:autoSpaceDN w:val="0"/>
              <w:adjustRightInd w:val="0"/>
              <w:spacing w:before="40" w:after="40"/>
              <w:ind w:left="504"/>
              <w:jc w:val="both"/>
              <w:rPr>
                <w:rFonts w:ascii="Calibri" w:hAnsi="Calibri" w:cs="Calibri"/>
                <w:bCs/>
                <w:color w:val="000000"/>
                <w:sz w:val="22"/>
              </w:rPr>
            </w:pPr>
            <w:r w:rsidRPr="00F8728A">
              <w:rPr>
                <w:rFonts w:ascii="Calibri" w:hAnsi="Calibri" w:cs="Calibri"/>
                <w:b/>
                <w:bCs/>
                <w:color w:val="000000"/>
                <w:sz w:val="22"/>
              </w:rPr>
              <w:t>„Подпомагане на сътрудничеството“</w:t>
            </w:r>
            <w:r w:rsidRPr="00F8728A">
              <w:rPr>
                <w:rFonts w:ascii="Calibri" w:hAnsi="Calibri" w:cs="Calibri"/>
                <w:bCs/>
                <w:color w:val="000000"/>
                <w:sz w:val="22"/>
              </w:rPr>
              <w:t xml:space="preserve"> – Правилата и предписанията за успешно партньорство и публично участие са добре развити в теорията на поведението, но в областта на пространственото/градското, както и на адаптационното планиране те трябва да започнат с идентифицирането на релевантните представители, които са засегнати и включени. </w:t>
            </w:r>
          </w:p>
          <w:p w:rsidR="00AA4661" w:rsidRPr="00F8728A" w:rsidRDefault="00AA4661" w:rsidP="00CF297A">
            <w:pPr>
              <w:numPr>
                <w:ilvl w:val="0"/>
                <w:numId w:val="45"/>
              </w:numPr>
              <w:shd w:val="clear" w:color="auto" w:fill="B8CCE4"/>
              <w:autoSpaceDE w:val="0"/>
              <w:autoSpaceDN w:val="0"/>
              <w:adjustRightInd w:val="0"/>
              <w:spacing w:before="40" w:after="40"/>
              <w:ind w:left="504"/>
              <w:jc w:val="both"/>
              <w:rPr>
                <w:rFonts w:ascii="Calibri" w:hAnsi="Calibri" w:cs="Calibri"/>
                <w:bCs/>
                <w:color w:val="000000"/>
                <w:sz w:val="22"/>
              </w:rPr>
            </w:pPr>
            <w:r w:rsidRPr="00F8728A">
              <w:rPr>
                <w:rFonts w:ascii="Calibri" w:hAnsi="Calibri" w:cs="Calibri"/>
                <w:b/>
                <w:bCs/>
                <w:color w:val="000000"/>
                <w:sz w:val="22"/>
              </w:rPr>
              <w:t>„Съобразяване с несигурността“</w:t>
            </w:r>
            <w:r w:rsidRPr="00F8728A">
              <w:rPr>
                <w:rFonts w:ascii="Calibri" w:hAnsi="Calibri" w:cs="Calibri"/>
                <w:bCs/>
                <w:color w:val="000000"/>
                <w:sz w:val="22"/>
              </w:rPr>
              <w:t xml:space="preserve"> – За справяне с несигурността, неразделна част от всеки процес на планиране, се изисква разработване и приложение на гъвкави мерки, които лесно могат да се променят и подобрят, когато е нужно да се увеличи устойчивостта на градската среда при разнообразни условия.</w:t>
            </w:r>
          </w:p>
          <w:p w:rsidR="00AA4661" w:rsidRPr="00F8728A" w:rsidRDefault="00AA4661" w:rsidP="00CF297A">
            <w:pPr>
              <w:numPr>
                <w:ilvl w:val="0"/>
                <w:numId w:val="45"/>
              </w:numPr>
              <w:shd w:val="clear" w:color="auto" w:fill="B8CCE4"/>
              <w:autoSpaceDE w:val="0"/>
              <w:autoSpaceDN w:val="0"/>
              <w:adjustRightInd w:val="0"/>
              <w:spacing w:before="40" w:after="40"/>
              <w:ind w:left="504"/>
              <w:jc w:val="both"/>
              <w:rPr>
                <w:rFonts w:ascii="Calibri" w:hAnsi="Calibri" w:cs="Calibri"/>
                <w:bCs/>
                <w:color w:val="000000"/>
                <w:sz w:val="22"/>
              </w:rPr>
            </w:pPr>
            <w:r w:rsidRPr="00F8728A">
              <w:rPr>
                <w:rFonts w:ascii="Calibri" w:hAnsi="Calibri" w:cs="Calibri"/>
                <w:b/>
                <w:bCs/>
                <w:color w:val="000000"/>
                <w:sz w:val="22"/>
              </w:rPr>
              <w:t>„Приоритизиране на последствията от климатичните промени“</w:t>
            </w:r>
            <w:r w:rsidRPr="00F8728A">
              <w:rPr>
                <w:rFonts w:ascii="Calibri" w:hAnsi="Calibri" w:cs="Calibri"/>
                <w:bCs/>
                <w:color w:val="000000"/>
                <w:sz w:val="22"/>
              </w:rPr>
              <w:t xml:space="preserve"> – Този принцип е свързан с предишния и за правилното му прилагане се нуждае от ясно определени цели и приоритети, надеждна база данни, анализ на текущото състояние и прогнози за климатичните промени.</w:t>
            </w:r>
          </w:p>
          <w:p w:rsidR="00AA4661" w:rsidRPr="00F8728A" w:rsidRDefault="00AA4661" w:rsidP="00CF297A">
            <w:pPr>
              <w:numPr>
                <w:ilvl w:val="0"/>
                <w:numId w:val="45"/>
              </w:numPr>
              <w:shd w:val="clear" w:color="auto" w:fill="B8CCE4"/>
              <w:autoSpaceDE w:val="0"/>
              <w:autoSpaceDN w:val="0"/>
              <w:adjustRightInd w:val="0"/>
              <w:spacing w:before="40" w:after="40"/>
              <w:ind w:left="504"/>
              <w:jc w:val="both"/>
              <w:rPr>
                <w:rFonts w:ascii="Calibri" w:hAnsi="Calibri" w:cs="Calibri"/>
                <w:bCs/>
                <w:color w:val="000000"/>
                <w:sz w:val="22"/>
              </w:rPr>
            </w:pPr>
            <w:r w:rsidRPr="00F8728A">
              <w:rPr>
                <w:rFonts w:ascii="Calibri" w:hAnsi="Calibri" w:cs="Calibri"/>
                <w:b/>
                <w:bCs/>
                <w:color w:val="000000"/>
                <w:sz w:val="22"/>
              </w:rPr>
              <w:t>„Използване широк спектър от варианти за адаптация“</w:t>
            </w:r>
            <w:r w:rsidRPr="00F8728A">
              <w:rPr>
                <w:rFonts w:ascii="Calibri" w:hAnsi="Calibri" w:cs="Calibri"/>
                <w:bCs/>
                <w:color w:val="000000"/>
                <w:sz w:val="22"/>
              </w:rPr>
              <w:t xml:space="preserve"> – Това е един от най-важните принципи при избора на варианти за адаптация. Препоръчаното портфолио на Австрийската стратегия за АИК включва „технически, поведенчески, информационни, организационни, екосистемни и социално-икономически мерки за адаптация, както секторно специфични, така и от по-общо значение“.</w:t>
            </w:r>
          </w:p>
          <w:p w:rsidR="00AA4661" w:rsidRPr="00F8728A" w:rsidRDefault="00AA4661" w:rsidP="00CF297A">
            <w:pPr>
              <w:numPr>
                <w:ilvl w:val="0"/>
                <w:numId w:val="45"/>
              </w:numPr>
              <w:shd w:val="clear" w:color="auto" w:fill="B8CCE4"/>
              <w:autoSpaceDE w:val="0"/>
              <w:autoSpaceDN w:val="0"/>
              <w:adjustRightInd w:val="0"/>
              <w:spacing w:before="40" w:after="40"/>
              <w:ind w:left="504"/>
              <w:jc w:val="both"/>
              <w:rPr>
                <w:rFonts w:ascii="Calibri" w:hAnsi="Calibri" w:cs="Calibri"/>
                <w:bCs/>
                <w:color w:val="000000"/>
                <w:sz w:val="22"/>
              </w:rPr>
            </w:pPr>
            <w:r w:rsidRPr="00F8728A">
              <w:rPr>
                <w:rFonts w:ascii="Calibri" w:hAnsi="Calibri" w:cs="Calibri"/>
                <w:b/>
                <w:bCs/>
                <w:color w:val="000000"/>
                <w:sz w:val="22"/>
              </w:rPr>
              <w:t>„Приоритизиране на мерките за адаптация“</w:t>
            </w:r>
            <w:r w:rsidRPr="00F8728A">
              <w:rPr>
                <w:rFonts w:ascii="Calibri" w:hAnsi="Calibri" w:cs="Calibri"/>
                <w:bCs/>
                <w:color w:val="000000"/>
                <w:sz w:val="22"/>
              </w:rPr>
              <w:t xml:space="preserve"> – Предложените критерии за оценка и приоритетно третиране на мерките за адаптация включват „ефикасност, ефективност, спешност, гъвкавост, странични ефекти“ и т.н. Главна роля се отрежда на мерките със синергетичен ефект и добавена стойност и на следването на сценарий, при който всички печелят. </w:t>
            </w:r>
          </w:p>
          <w:p w:rsidR="00AA4661" w:rsidRPr="00F8728A" w:rsidRDefault="00AA4661" w:rsidP="00CF297A">
            <w:pPr>
              <w:numPr>
                <w:ilvl w:val="0"/>
                <w:numId w:val="45"/>
              </w:numPr>
              <w:shd w:val="clear" w:color="auto" w:fill="B8CCE4"/>
              <w:autoSpaceDE w:val="0"/>
              <w:autoSpaceDN w:val="0"/>
              <w:adjustRightInd w:val="0"/>
              <w:spacing w:before="40" w:after="40"/>
              <w:ind w:left="504"/>
              <w:jc w:val="both"/>
              <w:rPr>
                <w:rFonts w:ascii="Calibri" w:hAnsi="Calibri" w:cs="Calibri"/>
                <w:bCs/>
                <w:color w:val="000000"/>
                <w:sz w:val="22"/>
              </w:rPr>
            </w:pPr>
            <w:r w:rsidRPr="00F8728A">
              <w:rPr>
                <w:rFonts w:ascii="Calibri" w:hAnsi="Calibri" w:cs="Calibri"/>
                <w:b/>
                <w:bCs/>
                <w:color w:val="000000"/>
                <w:sz w:val="22"/>
              </w:rPr>
              <w:t xml:space="preserve">„Интегриране в съществуващите инструменти и структури“ </w:t>
            </w:r>
            <w:r w:rsidRPr="00F8728A">
              <w:rPr>
                <w:rFonts w:ascii="Calibri" w:hAnsi="Calibri" w:cs="Calibri"/>
                <w:bCs/>
                <w:color w:val="000000"/>
                <w:sz w:val="22"/>
              </w:rPr>
              <w:t>– Още един принцип, важен за практиката на пространственото/градското планиране, ако се изисква успешна политика за АИК, а не формално упражнение в разработването на поредната стратегия. Препоръчва се, където е подходящо, да се разглеждат нови инструменти за решаване на проблемите на АИК.</w:t>
            </w:r>
          </w:p>
          <w:p w:rsidR="00AA4661" w:rsidRPr="00F8728A" w:rsidRDefault="00AA4661" w:rsidP="00CF297A">
            <w:pPr>
              <w:numPr>
                <w:ilvl w:val="0"/>
                <w:numId w:val="45"/>
              </w:numPr>
              <w:shd w:val="clear" w:color="auto" w:fill="B8CCE4"/>
              <w:autoSpaceDE w:val="0"/>
              <w:autoSpaceDN w:val="0"/>
              <w:adjustRightInd w:val="0"/>
              <w:spacing w:before="40" w:after="40"/>
              <w:ind w:left="504"/>
              <w:jc w:val="both"/>
              <w:rPr>
                <w:rFonts w:ascii="Calibri" w:hAnsi="Calibri" w:cs="Calibri"/>
                <w:bCs/>
                <w:color w:val="000000"/>
                <w:sz w:val="22"/>
              </w:rPr>
            </w:pPr>
            <w:r w:rsidRPr="00F8728A">
              <w:rPr>
                <w:rFonts w:ascii="Calibri" w:hAnsi="Calibri" w:cs="Calibri"/>
                <w:b/>
                <w:bCs/>
                <w:color w:val="000000"/>
                <w:sz w:val="22"/>
              </w:rPr>
              <w:t>„Избягване на конфликти на цели и интереси“</w:t>
            </w:r>
            <w:r w:rsidRPr="00F8728A">
              <w:rPr>
                <w:rFonts w:ascii="Calibri" w:hAnsi="Calibri" w:cs="Calibri"/>
                <w:bCs/>
                <w:color w:val="000000"/>
                <w:sz w:val="22"/>
              </w:rPr>
              <w:t xml:space="preserve"> – Много важна подробност в приложението на този принцип е да се избягват конфликти между мерките в различни сектори, както и да се избягва противоречието между целите и мерките за превенция, адаптация, намаляване на вредните последствия и устойчивост. Той е приложим също към процеса на участие, където си дават среща всички заинтересовани страни с конфликтни интереси.</w:t>
            </w:r>
          </w:p>
          <w:p w:rsidR="00AA4661" w:rsidRPr="00F8728A" w:rsidRDefault="00AA4661" w:rsidP="00CF297A">
            <w:pPr>
              <w:numPr>
                <w:ilvl w:val="0"/>
                <w:numId w:val="45"/>
              </w:numPr>
              <w:shd w:val="clear" w:color="auto" w:fill="B8CCE4"/>
              <w:autoSpaceDE w:val="0"/>
              <w:autoSpaceDN w:val="0"/>
              <w:adjustRightInd w:val="0"/>
              <w:spacing w:before="40" w:after="40"/>
              <w:ind w:left="504"/>
              <w:jc w:val="both"/>
              <w:rPr>
                <w:rFonts w:ascii="Calibri" w:hAnsi="Calibri" w:cs="Calibri"/>
                <w:b/>
                <w:bCs/>
                <w:color w:val="000000"/>
                <w:sz w:val="22"/>
              </w:rPr>
            </w:pPr>
            <w:r w:rsidRPr="00F8728A">
              <w:rPr>
                <w:rFonts w:ascii="Calibri" w:hAnsi="Calibri" w:cs="Calibri"/>
                <w:b/>
                <w:bCs/>
                <w:color w:val="000000"/>
                <w:sz w:val="22"/>
              </w:rPr>
              <w:t>„Създаване на система за мониторинг и оценка“</w:t>
            </w:r>
            <w:r w:rsidRPr="00F8728A">
              <w:rPr>
                <w:rFonts w:ascii="Calibri" w:hAnsi="Calibri" w:cs="Calibri"/>
                <w:bCs/>
                <w:color w:val="000000"/>
                <w:sz w:val="22"/>
              </w:rPr>
              <w:t xml:space="preserve"> – Този съществен елемент на цялостния процес на АИК е задължителен и трябва да се има предвид отрано.</w:t>
            </w:r>
          </w:p>
          <w:p w:rsidR="00AA4661" w:rsidRPr="00F8728A" w:rsidRDefault="00AA4661" w:rsidP="009A56A9">
            <w:pPr>
              <w:shd w:val="clear" w:color="auto" w:fill="B8CCE4"/>
              <w:autoSpaceDE w:val="0"/>
              <w:autoSpaceDN w:val="0"/>
              <w:adjustRightInd w:val="0"/>
              <w:spacing w:before="40" w:after="40"/>
              <w:jc w:val="center"/>
              <w:rPr>
                <w:rFonts w:ascii="Calibri" w:hAnsi="Calibri" w:cs="Calibri"/>
                <w:b/>
                <w:bCs/>
                <w:color w:val="000000"/>
                <w:sz w:val="22"/>
              </w:rPr>
            </w:pPr>
            <w:r w:rsidRPr="00F8728A">
              <w:rPr>
                <w:rFonts w:ascii="Calibri" w:hAnsi="Calibri" w:cs="Calibri"/>
                <w:i/>
                <w:iCs/>
                <w:szCs w:val="20"/>
              </w:rPr>
              <w:t>Източник:</w:t>
            </w:r>
            <w:r w:rsidRPr="00F8728A">
              <w:rPr>
                <w:rFonts w:ascii="Calibri" w:hAnsi="Calibri" w:cs="Calibri"/>
                <w:i/>
                <w:szCs w:val="20"/>
              </w:rPr>
              <w:t xml:space="preserve"> UK-CIP, 2013 г.</w:t>
            </w:r>
          </w:p>
        </w:tc>
      </w:tr>
    </w:tbl>
    <w:p w:rsidR="00AA4661" w:rsidRPr="00B73D7E" w:rsidRDefault="00AA4661" w:rsidP="00CF297A">
      <w:pPr>
        <w:pStyle w:val="BodyText"/>
        <w:numPr>
          <w:ilvl w:val="0"/>
          <w:numId w:val="41"/>
        </w:numPr>
        <w:spacing w:before="200"/>
        <w:ind w:left="0" w:firstLine="0"/>
        <w:rPr>
          <w:color w:val="000000"/>
          <w:lang w:val="bg-BG"/>
        </w:rPr>
      </w:pPr>
      <w:r w:rsidRPr="00B73D7E">
        <w:rPr>
          <w:color w:val="000000"/>
          <w:lang w:val="bg-BG"/>
        </w:rPr>
        <w:t>Програмата за въздействията на климата на Обединеното кралство се основава на подобни принципи</w:t>
      </w:r>
      <w:r w:rsidRPr="00B73D7E">
        <w:rPr>
          <w:color w:val="000000"/>
          <w:vertAlign w:val="superscript"/>
          <w:lang w:val="bg-BG"/>
        </w:rPr>
        <w:footnoteReference w:id="145"/>
      </w:r>
      <w:r w:rsidRPr="00B73D7E">
        <w:rPr>
          <w:color w:val="000000"/>
          <w:lang w:val="bg-BG"/>
        </w:rPr>
        <w:t xml:space="preserve">. В допълнение към обсъдените по-горе принципи </w:t>
      </w:r>
      <w:r w:rsidRPr="00B73D7E">
        <w:rPr>
          <w:lang w:val="bg-BG"/>
        </w:rPr>
        <w:t>документът поставя ударение върху балансирания подход към овладяването на климатичните и неклиматичните рискове. Препоръчан е поетапен подход за справяне с един от най-</w:t>
      </w:r>
      <w:r w:rsidRPr="00B73D7E">
        <w:rPr>
          <w:color w:val="000000"/>
          <w:lang w:val="bg-BG"/>
        </w:rPr>
        <w:t>важните проблеми – несигурността. Комплексът от ръководни принципи се основава на признаване на важността на ефективността на разходите и множеството ползи в процеса на селекция на варианти за адаптация към климатичните изменения. Никое действие при избрания вариант не трябва да „блокира или ограничава бъдещи адаптации или да ограничава адаптивните действия на други“.</w:t>
      </w:r>
    </w:p>
    <w:p w:rsidR="00AA4661" w:rsidRPr="00B73D7E" w:rsidRDefault="00AA4661" w:rsidP="00CF297A">
      <w:pPr>
        <w:pStyle w:val="BodyText"/>
        <w:numPr>
          <w:ilvl w:val="0"/>
          <w:numId w:val="41"/>
        </w:numPr>
        <w:ind w:left="0" w:firstLine="0"/>
        <w:rPr>
          <w:color w:val="000000"/>
          <w:lang w:val="bg-BG"/>
        </w:rPr>
      </w:pPr>
      <w:r w:rsidRPr="00B73D7E">
        <w:rPr>
          <w:color w:val="000000"/>
          <w:lang w:val="bg-BG"/>
        </w:rPr>
        <w:t xml:space="preserve">Тези принципи, прилагани в повечето от националните документи по адаптацията на различни страни в ЕС, са подходящи за прилагане на местно ниво за различни български градове. </w:t>
      </w:r>
    </w:p>
    <w:p w:rsidR="00AA4661" w:rsidRPr="00B73D7E" w:rsidRDefault="00AA4661" w:rsidP="004C2172">
      <w:pPr>
        <w:pStyle w:val="Heading3"/>
        <w:spacing w:before="160"/>
        <w:ind w:left="0" w:firstLine="0"/>
        <w:rPr>
          <w:lang w:val="bg-BG"/>
        </w:rPr>
      </w:pPr>
      <w:bookmarkStart w:id="669" w:name="_Toc486513830"/>
      <w:bookmarkStart w:id="670" w:name="_Toc486942211"/>
      <w:bookmarkStart w:id="671" w:name="_Toc501454888"/>
      <w:bookmarkStart w:id="672" w:name="_Toc522030591"/>
      <w:bookmarkStart w:id="673" w:name="_Toc529285576"/>
      <w:r w:rsidRPr="00B73D7E">
        <w:rPr>
          <w:lang w:val="bg-BG"/>
        </w:rPr>
        <w:t>Критерии за избора на варианти за АИК</w:t>
      </w:r>
      <w:bookmarkEnd w:id="669"/>
      <w:bookmarkEnd w:id="670"/>
      <w:bookmarkEnd w:id="671"/>
      <w:bookmarkEnd w:id="672"/>
      <w:bookmarkEnd w:id="673"/>
      <w:r w:rsidRPr="00B73D7E">
        <w:rPr>
          <w:lang w:val="bg-BG"/>
        </w:rPr>
        <w:t xml:space="preserve"> </w:t>
      </w:r>
    </w:p>
    <w:p w:rsidR="00AA4661" w:rsidRPr="00B73D7E" w:rsidRDefault="00AA4661" w:rsidP="00CF297A">
      <w:pPr>
        <w:pStyle w:val="BodyText"/>
        <w:numPr>
          <w:ilvl w:val="0"/>
          <w:numId w:val="41"/>
        </w:numPr>
        <w:spacing w:after="60"/>
        <w:ind w:left="0" w:firstLine="0"/>
        <w:rPr>
          <w:lang w:val="bg-BG"/>
        </w:rPr>
      </w:pPr>
      <w:r w:rsidRPr="00B73D7E">
        <w:rPr>
          <w:lang w:val="bg-BG"/>
        </w:rPr>
        <w:t>Насоките за развитие на стратегии на адаптация (Brussels, 2013 г.)</w:t>
      </w:r>
      <w:r w:rsidRPr="00B73D7E">
        <w:rPr>
          <w:vertAlign w:val="superscript"/>
          <w:lang w:val="bg-BG"/>
        </w:rPr>
        <w:footnoteReference w:id="146"/>
      </w:r>
      <w:r w:rsidRPr="00B73D7E">
        <w:rPr>
          <w:lang w:val="bg-BG"/>
        </w:rPr>
        <w:t xml:space="preserve"> на ЕК оказват методологическа подкрепа на държавите членки за идентифициране на пречките и пропуските, за оценка на текущите рискове и избор на подходящите варианти за АИК в националните им стратегии. Насоките предлагат комплекс от критерии за класиране и избор на предпочитани варианти, включително следните:</w:t>
      </w:r>
    </w:p>
    <w:p w:rsidR="00AA4661" w:rsidRPr="00F8728A" w:rsidRDefault="00AA4661" w:rsidP="00E21095">
      <w:pPr>
        <w:numPr>
          <w:ilvl w:val="0"/>
          <w:numId w:val="35"/>
        </w:numPr>
        <w:autoSpaceDE w:val="0"/>
        <w:autoSpaceDN w:val="0"/>
        <w:adjustRightInd w:val="0"/>
        <w:spacing w:after="60" w:line="276" w:lineRule="auto"/>
        <w:jc w:val="both"/>
        <w:rPr>
          <w:rFonts w:ascii="Times New Roman" w:hAnsi="Times New Roman"/>
          <w:sz w:val="24"/>
        </w:rPr>
      </w:pPr>
      <w:r w:rsidRPr="00F8728A">
        <w:rPr>
          <w:rFonts w:ascii="Times New Roman" w:hAnsi="Times New Roman"/>
          <w:sz w:val="24"/>
        </w:rPr>
        <w:t>спешност с оглед на вече съществуващи заплахи;</w:t>
      </w:r>
    </w:p>
    <w:p w:rsidR="00AA4661" w:rsidRPr="00F8728A" w:rsidRDefault="00AA4661" w:rsidP="00E21095">
      <w:pPr>
        <w:numPr>
          <w:ilvl w:val="0"/>
          <w:numId w:val="35"/>
        </w:numPr>
        <w:autoSpaceDE w:val="0"/>
        <w:autoSpaceDN w:val="0"/>
        <w:adjustRightInd w:val="0"/>
        <w:spacing w:after="60" w:line="276" w:lineRule="auto"/>
        <w:jc w:val="both"/>
        <w:rPr>
          <w:rFonts w:ascii="Times New Roman" w:hAnsi="Times New Roman"/>
          <w:sz w:val="24"/>
        </w:rPr>
      </w:pPr>
      <w:r w:rsidRPr="00F8728A">
        <w:rPr>
          <w:rFonts w:ascii="Times New Roman" w:hAnsi="Times New Roman"/>
          <w:sz w:val="24"/>
        </w:rPr>
        <w:t>ранни подготвителни действия (за предотвратяване на бъдещи разходи по щети);</w:t>
      </w:r>
    </w:p>
    <w:p w:rsidR="00AA4661" w:rsidRPr="00F8728A" w:rsidRDefault="00AA4661" w:rsidP="00E21095">
      <w:pPr>
        <w:numPr>
          <w:ilvl w:val="0"/>
          <w:numId w:val="35"/>
        </w:numPr>
        <w:autoSpaceDE w:val="0"/>
        <w:autoSpaceDN w:val="0"/>
        <w:adjustRightInd w:val="0"/>
        <w:spacing w:after="60" w:line="276" w:lineRule="auto"/>
        <w:jc w:val="both"/>
        <w:rPr>
          <w:rFonts w:ascii="Times New Roman" w:hAnsi="Times New Roman"/>
          <w:sz w:val="24"/>
        </w:rPr>
      </w:pPr>
      <w:r w:rsidRPr="00F8728A">
        <w:rPr>
          <w:rFonts w:ascii="Times New Roman" w:hAnsi="Times New Roman"/>
          <w:sz w:val="24"/>
        </w:rPr>
        <w:t>обхват на ефектите (могат да бъдат предпочетени варианти, покриващи множество рискове);</w:t>
      </w:r>
    </w:p>
    <w:p w:rsidR="00AA4661" w:rsidRPr="00F8728A" w:rsidRDefault="00AA4661" w:rsidP="00E21095">
      <w:pPr>
        <w:numPr>
          <w:ilvl w:val="0"/>
          <w:numId w:val="35"/>
        </w:numPr>
        <w:autoSpaceDE w:val="0"/>
        <w:autoSpaceDN w:val="0"/>
        <w:adjustRightInd w:val="0"/>
        <w:spacing w:after="60" w:line="276" w:lineRule="auto"/>
        <w:jc w:val="both"/>
        <w:rPr>
          <w:rFonts w:ascii="Times New Roman" w:hAnsi="Times New Roman"/>
          <w:sz w:val="24"/>
        </w:rPr>
      </w:pPr>
      <w:r w:rsidRPr="00F8728A">
        <w:rPr>
          <w:rFonts w:ascii="Times New Roman" w:hAnsi="Times New Roman"/>
          <w:sz w:val="24"/>
        </w:rPr>
        <w:t xml:space="preserve">съотношение разходи/ползи; </w:t>
      </w:r>
    </w:p>
    <w:p w:rsidR="00AA4661" w:rsidRPr="00F8728A" w:rsidRDefault="00AA4661" w:rsidP="00E21095">
      <w:pPr>
        <w:numPr>
          <w:ilvl w:val="0"/>
          <w:numId w:val="35"/>
        </w:numPr>
        <w:autoSpaceDE w:val="0"/>
        <w:autoSpaceDN w:val="0"/>
        <w:adjustRightInd w:val="0"/>
        <w:spacing w:after="60" w:line="276" w:lineRule="auto"/>
        <w:jc w:val="both"/>
        <w:rPr>
          <w:rFonts w:ascii="Times New Roman" w:hAnsi="Times New Roman"/>
          <w:sz w:val="24"/>
        </w:rPr>
      </w:pPr>
      <w:r w:rsidRPr="00F8728A">
        <w:rPr>
          <w:rFonts w:ascii="Times New Roman" w:hAnsi="Times New Roman"/>
          <w:sz w:val="24"/>
        </w:rPr>
        <w:t>ефективно използване на времето;</w:t>
      </w:r>
    </w:p>
    <w:p w:rsidR="00AA4661" w:rsidRPr="00F8728A" w:rsidRDefault="00AA4661" w:rsidP="00E21095">
      <w:pPr>
        <w:numPr>
          <w:ilvl w:val="0"/>
          <w:numId w:val="35"/>
        </w:numPr>
        <w:autoSpaceDE w:val="0"/>
        <w:autoSpaceDN w:val="0"/>
        <w:adjustRightInd w:val="0"/>
        <w:spacing w:after="60" w:line="276" w:lineRule="auto"/>
        <w:jc w:val="both"/>
        <w:rPr>
          <w:rFonts w:ascii="Times New Roman" w:hAnsi="Times New Roman"/>
          <w:sz w:val="24"/>
        </w:rPr>
      </w:pPr>
      <w:r w:rsidRPr="00F8728A">
        <w:rPr>
          <w:rFonts w:ascii="Times New Roman" w:hAnsi="Times New Roman"/>
          <w:sz w:val="24"/>
        </w:rPr>
        <w:t xml:space="preserve">запазване на ефективността при голям брой вероятни бъдещи въздействия </w:t>
      </w:r>
    </w:p>
    <w:p w:rsidR="00AA4661" w:rsidRPr="00F8728A" w:rsidRDefault="00AA4661" w:rsidP="00E21095">
      <w:pPr>
        <w:numPr>
          <w:ilvl w:val="0"/>
          <w:numId w:val="35"/>
        </w:numPr>
        <w:autoSpaceDE w:val="0"/>
        <w:autoSpaceDN w:val="0"/>
        <w:adjustRightInd w:val="0"/>
        <w:spacing w:after="60" w:line="276" w:lineRule="auto"/>
        <w:jc w:val="both"/>
        <w:rPr>
          <w:rFonts w:ascii="Times New Roman" w:hAnsi="Times New Roman"/>
          <w:sz w:val="24"/>
        </w:rPr>
      </w:pPr>
      <w:r w:rsidRPr="00F8728A">
        <w:rPr>
          <w:rFonts w:ascii="Times New Roman" w:hAnsi="Times New Roman"/>
          <w:sz w:val="24"/>
        </w:rPr>
        <w:t>гъвкавост на приспособяване или обратимост в случай на отклоняващо се развитие на събитията; и</w:t>
      </w:r>
    </w:p>
    <w:p w:rsidR="00AA4661" w:rsidRPr="00F8728A" w:rsidRDefault="00AA4661" w:rsidP="00E21095">
      <w:pPr>
        <w:numPr>
          <w:ilvl w:val="0"/>
          <w:numId w:val="35"/>
        </w:numPr>
        <w:autoSpaceDE w:val="0"/>
        <w:autoSpaceDN w:val="0"/>
        <w:adjustRightInd w:val="0"/>
        <w:spacing w:after="120" w:line="276" w:lineRule="auto"/>
        <w:jc w:val="both"/>
        <w:rPr>
          <w:rFonts w:ascii="Times New Roman" w:hAnsi="Times New Roman"/>
          <w:sz w:val="24"/>
        </w:rPr>
      </w:pPr>
      <w:r w:rsidRPr="00F8728A">
        <w:rPr>
          <w:rFonts w:ascii="Times New Roman" w:hAnsi="Times New Roman"/>
          <w:sz w:val="24"/>
        </w:rPr>
        <w:t>политическа и културна приемливост.</w:t>
      </w:r>
      <w:r w:rsidRPr="00F8728A">
        <w:rPr>
          <w:rFonts w:ascii="Times New Roman" w:hAnsi="Times New Roman"/>
          <w:sz w:val="24"/>
          <w:vertAlign w:val="superscript"/>
        </w:rPr>
        <w:footnoteReference w:id="147"/>
      </w:r>
    </w:p>
    <w:p w:rsidR="00AA4661" w:rsidRPr="00B73D7E" w:rsidRDefault="00AA4661" w:rsidP="00CF297A">
      <w:pPr>
        <w:pStyle w:val="BodyText"/>
        <w:numPr>
          <w:ilvl w:val="0"/>
          <w:numId w:val="41"/>
        </w:numPr>
        <w:ind w:left="0" w:firstLine="0"/>
        <w:rPr>
          <w:lang w:val="bg-BG"/>
        </w:rPr>
      </w:pPr>
      <w:r w:rsidRPr="00B73D7E">
        <w:rPr>
          <w:lang w:val="bg-BG"/>
        </w:rPr>
        <w:t xml:space="preserve">Австрийската стратегия за АИК дава комплекс от критерии за селекция на варианти на адаптация, който включва подобни критерии – значимост/релевантност, спешност, стабилност, ефективност, ефикасност, справедливост, гъвкавост и обратимост, устойчивост, практичност, законност, съотношение разходи/ползи и последователност. </w:t>
      </w:r>
    </w:p>
    <w:p w:rsidR="00AA4661" w:rsidRPr="00B73D7E" w:rsidRDefault="00AA4661" w:rsidP="00CF297A">
      <w:pPr>
        <w:pStyle w:val="BodyText"/>
        <w:numPr>
          <w:ilvl w:val="0"/>
          <w:numId w:val="41"/>
        </w:numPr>
        <w:ind w:left="0" w:firstLine="0"/>
        <w:rPr>
          <w:lang w:val="bg-BG"/>
        </w:rPr>
      </w:pPr>
      <w:r w:rsidRPr="00B73D7E">
        <w:rPr>
          <w:lang w:val="bg-BG"/>
        </w:rPr>
        <w:t xml:space="preserve">Холандският опит предлага по-сложна система при оценката на вариантите за адаптация. Приложеният многокритериален подход се основава на следните критерии:  значимост, спешност, характеристики „няма да съжаляваш“, множество ползи,  намаляване на вредните последствия. По-нататък им се придава тежест според друг комплекс от критерии за изпълнимост (техническа, социална и институционална сложност) за подреждане по приоритет на предложените варианти и мерки за адаптация за всички релевантни сектори (De Bruin и колектив, 2009 г.) Ранжирането и приоритизирането на вариантите за адаптация са обсъдени с изследователи от различни университети и с главните заинтересовани страни. Всички подходящи количествени и качествени методи на оценка, заедно с анализа на разходите и ползите (АРП), са приложени за осигуряване на интегрирано управление „на природата и водите“. </w:t>
      </w:r>
    </w:p>
    <w:p w:rsidR="00AA4661" w:rsidRPr="00B73D7E" w:rsidRDefault="00AA4661" w:rsidP="00CF297A">
      <w:pPr>
        <w:pStyle w:val="BodyText"/>
        <w:numPr>
          <w:ilvl w:val="0"/>
          <w:numId w:val="41"/>
        </w:numPr>
        <w:ind w:left="0" w:firstLine="0"/>
        <w:rPr>
          <w:lang w:val="bg-BG"/>
        </w:rPr>
      </w:pPr>
      <w:r w:rsidRPr="00B73D7E">
        <w:rPr>
          <w:lang w:val="bg-BG"/>
        </w:rPr>
        <w:t xml:space="preserve">Изброените по-горе принципи и критерии, подбрани от различни документи на ЕС и държавите членки, биха могли да се използват от българския сектор на градската среда, ако има надеждна информационна система с точни данни, свързани с климата, на градско ниво. Едно от главните ограничения е фактът, че всеки град е уникална симбиоза на хора (с различен социален статус, възраст, пол, убеждения, ценности, стил на живот и поведение), природа, съоръжения и антропогенни дейности, културно многообразие и атмосфера. Към всеобхватния характер на процеса на изменение на климата трябва да се добави разбирането за комплексния характер на градовете. Заедно с прилагането на холистичен подход към градската среда и с принципите на интегрирано планиране всеки град се нуждае от индивидуален подход и познаване на местните особености. В този контекст участието и комуникацията, както и използването на местно знание са решаващи елементи при адаптацията на градската среда към </w:t>
      </w:r>
      <w:r w:rsidR="00FC2D66" w:rsidRPr="00F8728A">
        <w:rPr>
          <w:lang w:val="bg-BG"/>
        </w:rPr>
        <w:t>промените в климата</w:t>
      </w:r>
      <w:r w:rsidRPr="00B73D7E">
        <w:rPr>
          <w:lang w:val="bg-BG"/>
        </w:rPr>
        <w:t>.</w:t>
      </w:r>
      <w:bookmarkStart w:id="674" w:name="_Toc486512720"/>
      <w:bookmarkStart w:id="675" w:name="_Toc486512721"/>
      <w:bookmarkEnd w:id="674"/>
      <w:bookmarkEnd w:id="675"/>
    </w:p>
    <w:p w:rsidR="00AA4661" w:rsidRPr="00B73D7E" w:rsidRDefault="00AA4661" w:rsidP="004C2172">
      <w:pPr>
        <w:pStyle w:val="Heading3"/>
        <w:spacing w:before="160"/>
        <w:ind w:left="0" w:firstLine="0"/>
        <w:rPr>
          <w:lang w:val="bg-BG"/>
        </w:rPr>
      </w:pPr>
      <w:bookmarkStart w:id="676" w:name="_Toc486513831"/>
      <w:bookmarkStart w:id="677" w:name="_Toc486942212"/>
      <w:bookmarkStart w:id="678" w:name="_Toc501454889"/>
      <w:bookmarkStart w:id="679" w:name="_Toc522030592"/>
      <w:bookmarkStart w:id="680" w:name="_Toc529285577"/>
      <w:r w:rsidRPr="00B73D7E">
        <w:rPr>
          <w:lang w:val="bg-BG"/>
        </w:rPr>
        <w:t>Ограничения и възможности за приложение</w:t>
      </w:r>
      <w:bookmarkEnd w:id="676"/>
      <w:bookmarkEnd w:id="677"/>
      <w:bookmarkEnd w:id="678"/>
      <w:bookmarkEnd w:id="679"/>
      <w:bookmarkEnd w:id="680"/>
    </w:p>
    <w:p w:rsidR="00AA4661" w:rsidRPr="00B73D7E" w:rsidRDefault="00AA4661" w:rsidP="00CF297A">
      <w:pPr>
        <w:pStyle w:val="BodyText"/>
        <w:numPr>
          <w:ilvl w:val="0"/>
          <w:numId w:val="41"/>
        </w:numPr>
        <w:spacing w:after="0"/>
        <w:ind w:left="0" w:firstLine="0"/>
        <w:rPr>
          <w:lang w:val="bg-BG"/>
        </w:rPr>
      </w:pPr>
      <w:r w:rsidRPr="00B73D7E">
        <w:rPr>
          <w:lang w:val="bg-BG"/>
        </w:rPr>
        <w:t>Въз основа на анализа и оценката на съществуващото състояние, българския опит и този на държавите членки, препоръчаните варианти за адаптация на градската среда прилагат подход, подобен на използвания в множество изследвания от края на 90-те години насам (Basher, 1999 г., Burton, 1997 г., Klein и колектив, 1999 г., Pittock,1999 г., Rayner и Malone, 1998 г., Smit и колектив, 1999 г., Smit, 2000 г., 2015 г., Tol и колектив, 1998 г.). Изборът е в съответствие с институционалния и експертния капацитет, политическата и законодателната рамка и със системата за пространствено/градско планиране в България. Предложените варианти за адаптация за българската градска среда и строителния сектор с предписания им обхват и съдържание отчитат основните елементи и мерки в системата за АИК (</w:t>
      </w:r>
      <w:r w:rsidRPr="00B73D7E">
        <w:rPr>
          <w:b/>
          <w:i/>
          <w:iCs/>
          <w:lang w:val="bg-BG"/>
        </w:rPr>
        <w:t>приложение</w:t>
      </w:r>
      <w:r w:rsidRPr="00B73D7E">
        <w:rPr>
          <w:i/>
          <w:iCs/>
          <w:lang w:val="bg-BG"/>
        </w:rPr>
        <w:t xml:space="preserve"> </w:t>
      </w:r>
      <w:r w:rsidR="00654EA7" w:rsidRPr="00B73D7E">
        <w:rPr>
          <w:b/>
          <w:i/>
          <w:iCs/>
          <w:lang w:val="bg-BG"/>
        </w:rPr>
        <w:t>12</w:t>
      </w:r>
      <w:r w:rsidRPr="00B73D7E">
        <w:rPr>
          <w:i/>
          <w:iCs/>
          <w:lang w:val="bg-BG"/>
        </w:rPr>
        <w:t>)</w:t>
      </w:r>
      <w:r w:rsidRPr="00B73D7E">
        <w:rPr>
          <w:lang w:val="bg-BG"/>
        </w:rPr>
        <w:t>.</w:t>
      </w:r>
    </w:p>
    <w:p w:rsidR="00491557" w:rsidRPr="00B73D7E" w:rsidRDefault="00491557">
      <w:pPr>
        <w:spacing w:after="0"/>
        <w:rPr>
          <w:rFonts w:ascii="Calibri" w:eastAsia="MS Mincho" w:hAnsi="Calibri"/>
          <w:b/>
          <w:i/>
          <w:iCs/>
          <w:color w:val="44546A"/>
          <w:sz w:val="22"/>
          <w:szCs w:val="18"/>
          <w:lang w:eastAsia="x-none"/>
        </w:rPr>
      </w:pPr>
      <w:r w:rsidRPr="00F8728A">
        <w:rPr>
          <w:rFonts w:ascii="Calibri" w:hAnsi="Calibri"/>
          <w:b/>
          <w:i/>
          <w:iCs/>
          <w:color w:val="44546A"/>
          <w:sz w:val="22"/>
          <w:szCs w:val="18"/>
        </w:rPr>
        <w:br w:type="page"/>
      </w:r>
    </w:p>
    <w:p w:rsidR="00AA4661" w:rsidRPr="00F8728A" w:rsidRDefault="00AA4661" w:rsidP="00B73D7E">
      <w:pPr>
        <w:pStyle w:val="FiguresTablesCaption"/>
      </w:pPr>
      <w:bookmarkStart w:id="681" w:name="_Toc529286641"/>
      <w:r w:rsidRPr="00F8728A">
        <w:t xml:space="preserve">Таблица </w:t>
      </w:r>
      <w:r w:rsidRPr="00F8728A">
        <w:fldChar w:fldCharType="begin"/>
      </w:r>
      <w:r w:rsidRPr="00F8728A">
        <w:instrText xml:space="preserve"> SEQ Table \* ARABIC </w:instrText>
      </w:r>
      <w:r w:rsidRPr="00F8728A">
        <w:fldChar w:fldCharType="separate"/>
      </w:r>
      <w:r w:rsidRPr="00F8728A">
        <w:t>14</w:t>
      </w:r>
      <w:r w:rsidRPr="00F8728A">
        <w:fldChar w:fldCharType="end"/>
      </w:r>
      <w:r w:rsidRPr="00F8728A">
        <w:t>. Възможни варианти за адаптация - ограничения и възможности</w:t>
      </w:r>
      <w:bookmarkEnd w:id="681"/>
      <w:r w:rsidRPr="00F8728A" w:rsidDel="0084319A">
        <w:t xml:space="preserve"> </w:t>
      </w:r>
    </w:p>
    <w:tbl>
      <w:tblPr>
        <w:tblW w:w="5013"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0A0" w:firstRow="1" w:lastRow="0" w:firstColumn="1" w:lastColumn="0" w:noHBand="0" w:noVBand="0"/>
      </w:tblPr>
      <w:tblGrid>
        <w:gridCol w:w="1656"/>
        <w:gridCol w:w="3873"/>
        <w:gridCol w:w="3795"/>
      </w:tblGrid>
      <w:tr w:rsidR="00AA4661" w:rsidRPr="00F8728A" w:rsidTr="007B4265">
        <w:trPr>
          <w:trHeight w:val="583"/>
          <w:tblHeader/>
          <w:jc w:val="center"/>
        </w:trPr>
        <w:tc>
          <w:tcPr>
            <w:tcW w:w="888" w:type="pct"/>
            <w:shd w:val="clear" w:color="auto" w:fill="365F91"/>
          </w:tcPr>
          <w:p w:rsidR="00AA4661" w:rsidRPr="00F8728A" w:rsidRDefault="00AA4661" w:rsidP="007B4265">
            <w:pPr>
              <w:spacing w:before="20" w:after="20"/>
              <w:jc w:val="center"/>
              <w:rPr>
                <w:rFonts w:ascii="Calibri" w:hAnsi="Calibri" w:cs="Calibri"/>
                <w:b/>
                <w:color w:val="FFFFFF"/>
                <w:sz w:val="22"/>
              </w:rPr>
            </w:pPr>
            <w:r w:rsidRPr="00F8728A">
              <w:rPr>
                <w:rFonts w:ascii="Calibri" w:hAnsi="Calibri" w:cs="Calibri"/>
                <w:b/>
                <w:color w:val="FFFFFF"/>
                <w:sz w:val="22"/>
              </w:rPr>
              <w:t>Категории варианти за адаптация</w:t>
            </w:r>
          </w:p>
        </w:tc>
        <w:tc>
          <w:tcPr>
            <w:tcW w:w="2077" w:type="pct"/>
            <w:shd w:val="clear" w:color="auto" w:fill="365F91"/>
            <w:vAlign w:val="center"/>
          </w:tcPr>
          <w:p w:rsidR="00AA4661" w:rsidRPr="00F8728A" w:rsidRDefault="00AA4661" w:rsidP="007B4265">
            <w:pPr>
              <w:spacing w:before="20" w:after="20"/>
              <w:jc w:val="center"/>
              <w:rPr>
                <w:rFonts w:ascii="Calibri" w:hAnsi="Calibri" w:cs="Calibri"/>
                <w:b/>
                <w:color w:val="FFFFFF"/>
                <w:sz w:val="22"/>
              </w:rPr>
            </w:pPr>
            <w:r w:rsidRPr="00F8728A">
              <w:rPr>
                <w:rFonts w:ascii="Calibri" w:hAnsi="Calibri" w:cs="Calibri"/>
                <w:b/>
                <w:color w:val="FFFFFF"/>
                <w:sz w:val="22"/>
              </w:rPr>
              <w:t>Ограничения</w:t>
            </w:r>
          </w:p>
        </w:tc>
        <w:tc>
          <w:tcPr>
            <w:tcW w:w="2035" w:type="pct"/>
            <w:shd w:val="clear" w:color="auto" w:fill="365F91"/>
            <w:vAlign w:val="center"/>
          </w:tcPr>
          <w:p w:rsidR="00AA4661" w:rsidRPr="00F8728A" w:rsidRDefault="00AA4661" w:rsidP="007B4265">
            <w:pPr>
              <w:spacing w:before="20" w:after="20"/>
              <w:jc w:val="center"/>
              <w:rPr>
                <w:rFonts w:ascii="Calibri" w:hAnsi="Calibri" w:cs="Calibri"/>
                <w:b/>
                <w:color w:val="FFFFFF"/>
                <w:sz w:val="22"/>
              </w:rPr>
            </w:pPr>
            <w:r w:rsidRPr="00F8728A">
              <w:rPr>
                <w:rFonts w:ascii="Calibri" w:hAnsi="Calibri" w:cs="Calibri"/>
                <w:b/>
                <w:color w:val="FFFFFF"/>
                <w:sz w:val="22"/>
              </w:rPr>
              <w:t>Възможности</w:t>
            </w:r>
          </w:p>
        </w:tc>
      </w:tr>
      <w:tr w:rsidR="00AA4661" w:rsidRPr="00F8728A" w:rsidTr="007B4265">
        <w:trPr>
          <w:trHeight w:val="579"/>
          <w:jc w:val="center"/>
        </w:trPr>
        <w:tc>
          <w:tcPr>
            <w:tcW w:w="888" w:type="pct"/>
            <w:shd w:val="clear" w:color="auto" w:fill="B8CCE4"/>
            <w:vAlign w:val="center"/>
          </w:tcPr>
          <w:p w:rsidR="00AA4661" w:rsidRPr="00F8728A" w:rsidRDefault="00AA4661" w:rsidP="007B4265">
            <w:pPr>
              <w:spacing w:before="20" w:after="20"/>
              <w:jc w:val="center"/>
              <w:rPr>
                <w:rFonts w:ascii="Calibri" w:hAnsi="Calibri" w:cs="Calibri"/>
                <w:b/>
                <w:sz w:val="22"/>
              </w:rPr>
            </w:pPr>
            <w:r w:rsidRPr="00F8728A">
              <w:rPr>
                <w:rFonts w:ascii="Calibri" w:hAnsi="Calibri" w:cs="Calibri"/>
                <w:b/>
                <w:sz w:val="22"/>
              </w:rPr>
              <w:t>Политика</w:t>
            </w:r>
          </w:p>
        </w:tc>
        <w:tc>
          <w:tcPr>
            <w:tcW w:w="2077" w:type="pct"/>
            <w:vAlign w:val="center"/>
          </w:tcPr>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АИК не е включена в политическия дневен ред и няма политическа воля</w:t>
            </w:r>
          </w:p>
        </w:tc>
        <w:tc>
          <w:tcPr>
            <w:tcW w:w="2035" w:type="pct"/>
            <w:vAlign w:val="center"/>
          </w:tcPr>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Стимул за прогресивна реформа на регионалната политика</w:t>
            </w:r>
          </w:p>
        </w:tc>
      </w:tr>
      <w:tr w:rsidR="00AA4661" w:rsidRPr="00F8728A" w:rsidTr="007B4265">
        <w:trPr>
          <w:trHeight w:val="808"/>
          <w:jc w:val="center"/>
        </w:trPr>
        <w:tc>
          <w:tcPr>
            <w:tcW w:w="888" w:type="pct"/>
            <w:shd w:val="clear" w:color="auto" w:fill="B8CCE4"/>
            <w:vAlign w:val="center"/>
          </w:tcPr>
          <w:p w:rsidR="00AA4661" w:rsidRPr="00F8728A" w:rsidRDefault="00AA4661" w:rsidP="007B4265">
            <w:pPr>
              <w:spacing w:before="20" w:after="20"/>
              <w:jc w:val="center"/>
              <w:rPr>
                <w:rFonts w:ascii="Calibri" w:hAnsi="Calibri" w:cs="Calibri"/>
                <w:b/>
                <w:sz w:val="22"/>
              </w:rPr>
            </w:pPr>
            <w:r w:rsidRPr="00F8728A">
              <w:rPr>
                <w:rFonts w:ascii="Calibri" w:hAnsi="Calibri" w:cs="Calibri"/>
                <w:b/>
                <w:sz w:val="22"/>
              </w:rPr>
              <w:t>Информация</w:t>
            </w:r>
          </w:p>
        </w:tc>
        <w:tc>
          <w:tcPr>
            <w:tcW w:w="2077" w:type="pct"/>
            <w:vAlign w:val="center"/>
          </w:tcPr>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Професионална конкуренция и етика</w:t>
            </w:r>
          </w:p>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Липса на достатъчно ресурси</w:t>
            </w:r>
          </w:p>
        </w:tc>
        <w:tc>
          <w:tcPr>
            <w:tcW w:w="2035" w:type="pct"/>
            <w:vAlign w:val="center"/>
          </w:tcPr>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Подпомагане на изследванията, образованието, планирането и строителството</w:t>
            </w:r>
          </w:p>
        </w:tc>
      </w:tr>
      <w:tr w:rsidR="00AA4661" w:rsidRPr="00F8728A" w:rsidTr="007B4265">
        <w:trPr>
          <w:trHeight w:val="693"/>
          <w:jc w:val="center"/>
        </w:trPr>
        <w:tc>
          <w:tcPr>
            <w:tcW w:w="888" w:type="pct"/>
            <w:shd w:val="clear" w:color="auto" w:fill="B8CCE4"/>
            <w:vAlign w:val="center"/>
          </w:tcPr>
          <w:p w:rsidR="00AA4661" w:rsidRPr="00F8728A" w:rsidRDefault="00AA4661" w:rsidP="007B4265">
            <w:pPr>
              <w:spacing w:before="20" w:after="20"/>
              <w:jc w:val="center"/>
              <w:rPr>
                <w:rFonts w:ascii="Calibri" w:hAnsi="Calibri" w:cs="Calibri"/>
                <w:b/>
                <w:sz w:val="22"/>
              </w:rPr>
            </w:pPr>
            <w:r w:rsidRPr="00F8728A">
              <w:rPr>
                <w:rFonts w:ascii="Calibri" w:hAnsi="Calibri" w:cs="Calibri"/>
                <w:b/>
                <w:sz w:val="22"/>
              </w:rPr>
              <w:t>Изследвания</w:t>
            </w:r>
          </w:p>
        </w:tc>
        <w:tc>
          <w:tcPr>
            <w:tcW w:w="2077" w:type="pct"/>
            <w:vAlign w:val="center"/>
          </w:tcPr>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Липса на достатъчно знания и общо разбиране на ядрото от цели, методологията и понятията на АИК</w:t>
            </w:r>
          </w:p>
        </w:tc>
        <w:tc>
          <w:tcPr>
            <w:tcW w:w="2035" w:type="pct"/>
            <w:vAlign w:val="center"/>
          </w:tcPr>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Ценна теоретична, емпирично обоснована подкрепа за професио-налната практика и образованието</w:t>
            </w:r>
          </w:p>
        </w:tc>
      </w:tr>
      <w:tr w:rsidR="00AA4661" w:rsidRPr="00F8728A" w:rsidTr="007B4265">
        <w:trPr>
          <w:trHeight w:val="163"/>
          <w:jc w:val="center"/>
        </w:trPr>
        <w:tc>
          <w:tcPr>
            <w:tcW w:w="888" w:type="pct"/>
            <w:shd w:val="clear" w:color="auto" w:fill="B8CCE4"/>
            <w:vAlign w:val="center"/>
          </w:tcPr>
          <w:p w:rsidR="00AA4661" w:rsidRPr="00F8728A" w:rsidRDefault="00AA4661" w:rsidP="007B4265">
            <w:pPr>
              <w:spacing w:before="20" w:after="20"/>
              <w:jc w:val="center"/>
              <w:rPr>
                <w:rFonts w:ascii="Calibri" w:hAnsi="Calibri" w:cs="Calibri"/>
                <w:b/>
                <w:sz w:val="22"/>
              </w:rPr>
            </w:pPr>
            <w:r w:rsidRPr="00F8728A">
              <w:rPr>
                <w:rFonts w:ascii="Calibri" w:hAnsi="Calibri" w:cs="Calibri"/>
                <w:b/>
                <w:sz w:val="22"/>
              </w:rPr>
              <w:t>Институции</w:t>
            </w:r>
          </w:p>
        </w:tc>
        <w:tc>
          <w:tcPr>
            <w:tcW w:w="2077" w:type="pct"/>
            <w:vAlign w:val="center"/>
          </w:tcPr>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Управленските и комуникационните практики в страната</w:t>
            </w:r>
          </w:p>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 xml:space="preserve">Съпротива срещу промяната </w:t>
            </w:r>
          </w:p>
        </w:tc>
        <w:tc>
          <w:tcPr>
            <w:tcW w:w="2035" w:type="pct"/>
            <w:vAlign w:val="center"/>
          </w:tcPr>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Подобряване на експертния капацитет и ефективността на властите</w:t>
            </w:r>
          </w:p>
        </w:tc>
      </w:tr>
      <w:tr w:rsidR="00AA4661" w:rsidRPr="00F8728A" w:rsidTr="007B4265">
        <w:trPr>
          <w:trHeight w:val="613"/>
          <w:jc w:val="center"/>
        </w:trPr>
        <w:tc>
          <w:tcPr>
            <w:tcW w:w="888" w:type="pct"/>
            <w:shd w:val="clear" w:color="auto" w:fill="B8CCE4"/>
            <w:vAlign w:val="center"/>
          </w:tcPr>
          <w:p w:rsidR="00AA4661" w:rsidRPr="00F8728A" w:rsidRDefault="00AA4661" w:rsidP="007B4265">
            <w:pPr>
              <w:spacing w:before="20" w:after="20"/>
              <w:jc w:val="center"/>
              <w:rPr>
                <w:rFonts w:ascii="Calibri" w:hAnsi="Calibri" w:cs="Calibri"/>
                <w:b/>
                <w:sz w:val="22"/>
              </w:rPr>
            </w:pPr>
            <w:r w:rsidRPr="00F8728A">
              <w:rPr>
                <w:rFonts w:ascii="Calibri" w:hAnsi="Calibri" w:cs="Calibri"/>
                <w:b/>
                <w:sz w:val="22"/>
              </w:rPr>
              <w:t>Законодател-ство</w:t>
            </w:r>
          </w:p>
        </w:tc>
        <w:tc>
          <w:tcPr>
            <w:tcW w:w="2077" w:type="pct"/>
            <w:vAlign w:val="center"/>
          </w:tcPr>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Бавни процедури в цялостния процес на преразглеждане, допълване и приемане на законите</w:t>
            </w:r>
          </w:p>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Опасения от допълнително административно бреме</w:t>
            </w:r>
          </w:p>
        </w:tc>
        <w:tc>
          <w:tcPr>
            <w:tcW w:w="2035" w:type="pct"/>
            <w:vAlign w:val="center"/>
          </w:tcPr>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Шанс да се обмислят по-ефективни система на планиране и планови инструменти</w:t>
            </w:r>
          </w:p>
        </w:tc>
      </w:tr>
      <w:tr w:rsidR="00AA4661" w:rsidRPr="00F8728A" w:rsidTr="007B4265">
        <w:trPr>
          <w:trHeight w:val="163"/>
          <w:jc w:val="center"/>
        </w:trPr>
        <w:tc>
          <w:tcPr>
            <w:tcW w:w="888" w:type="pct"/>
            <w:shd w:val="clear" w:color="auto" w:fill="B8CCE4"/>
            <w:vAlign w:val="center"/>
          </w:tcPr>
          <w:p w:rsidR="00AA4661" w:rsidRPr="00F8728A" w:rsidRDefault="00AA4661" w:rsidP="007B4265">
            <w:pPr>
              <w:spacing w:before="20" w:after="20"/>
              <w:jc w:val="center"/>
              <w:rPr>
                <w:rFonts w:ascii="Calibri" w:hAnsi="Calibri" w:cs="Calibri"/>
                <w:b/>
                <w:sz w:val="22"/>
              </w:rPr>
            </w:pPr>
            <w:r w:rsidRPr="00F8728A">
              <w:rPr>
                <w:rFonts w:ascii="Calibri" w:hAnsi="Calibri" w:cs="Calibri"/>
                <w:b/>
                <w:sz w:val="22"/>
              </w:rPr>
              <w:t>Финанси</w:t>
            </w:r>
          </w:p>
        </w:tc>
        <w:tc>
          <w:tcPr>
            <w:tcW w:w="2077" w:type="pct"/>
            <w:vAlign w:val="center"/>
          </w:tcPr>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Финансови и икономически кризи и липса на финансова подкрепа</w:t>
            </w:r>
          </w:p>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 xml:space="preserve">Социално напрежение </w:t>
            </w:r>
          </w:p>
        </w:tc>
        <w:tc>
          <w:tcPr>
            <w:tcW w:w="2035" w:type="pct"/>
            <w:vAlign w:val="center"/>
          </w:tcPr>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Шансове за по-добро използване на финансирането от ЕС</w:t>
            </w:r>
          </w:p>
        </w:tc>
      </w:tr>
      <w:tr w:rsidR="00AA4661" w:rsidRPr="00F8728A" w:rsidTr="007B4265">
        <w:trPr>
          <w:trHeight w:val="1134"/>
          <w:jc w:val="center"/>
        </w:trPr>
        <w:tc>
          <w:tcPr>
            <w:tcW w:w="888" w:type="pct"/>
            <w:shd w:val="clear" w:color="auto" w:fill="B8CCE4"/>
            <w:vAlign w:val="center"/>
          </w:tcPr>
          <w:p w:rsidR="00AA4661" w:rsidRPr="00F8728A" w:rsidRDefault="00AA4661" w:rsidP="007B4265">
            <w:pPr>
              <w:spacing w:before="20" w:after="20"/>
              <w:jc w:val="center"/>
              <w:rPr>
                <w:rFonts w:ascii="Calibri" w:hAnsi="Calibri" w:cs="Calibri"/>
                <w:b/>
                <w:sz w:val="22"/>
              </w:rPr>
            </w:pPr>
            <w:r w:rsidRPr="00F8728A">
              <w:rPr>
                <w:rFonts w:ascii="Calibri" w:hAnsi="Calibri" w:cs="Calibri"/>
                <w:b/>
                <w:sz w:val="22"/>
              </w:rPr>
              <w:t>Образование</w:t>
            </w:r>
          </w:p>
        </w:tc>
        <w:tc>
          <w:tcPr>
            <w:tcW w:w="2077" w:type="pct"/>
            <w:vAlign w:val="center"/>
          </w:tcPr>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Липса на интерес от страна на академичните институции</w:t>
            </w:r>
          </w:p>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Силна конкуренция за студенти в настоящата демографска криза</w:t>
            </w:r>
          </w:p>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Неподходяща политика на преквалификация</w:t>
            </w:r>
          </w:p>
        </w:tc>
        <w:tc>
          <w:tcPr>
            <w:tcW w:w="2035" w:type="pct"/>
            <w:vAlign w:val="center"/>
          </w:tcPr>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Нови хоризонти за академичното професионално развитие</w:t>
            </w:r>
          </w:p>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 xml:space="preserve">Подобрение на знанията и уменията </w:t>
            </w:r>
          </w:p>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 xml:space="preserve">Стимули за творчество </w:t>
            </w:r>
          </w:p>
        </w:tc>
      </w:tr>
      <w:tr w:rsidR="00AA4661" w:rsidRPr="00F8728A" w:rsidTr="007B4265">
        <w:trPr>
          <w:trHeight w:val="1134"/>
          <w:jc w:val="center"/>
        </w:trPr>
        <w:tc>
          <w:tcPr>
            <w:tcW w:w="888" w:type="pct"/>
            <w:shd w:val="clear" w:color="auto" w:fill="B8CCE4"/>
            <w:vAlign w:val="center"/>
          </w:tcPr>
          <w:p w:rsidR="00AA4661" w:rsidRPr="00F8728A" w:rsidRDefault="00AA4661" w:rsidP="007B4265">
            <w:pPr>
              <w:spacing w:before="20" w:after="20"/>
              <w:jc w:val="center"/>
              <w:rPr>
                <w:rFonts w:ascii="Calibri" w:hAnsi="Calibri" w:cs="Calibri"/>
                <w:b/>
                <w:sz w:val="22"/>
              </w:rPr>
            </w:pPr>
            <w:r w:rsidRPr="00F8728A">
              <w:rPr>
                <w:rFonts w:ascii="Calibri" w:hAnsi="Calibri" w:cs="Calibri"/>
                <w:b/>
                <w:sz w:val="22"/>
              </w:rPr>
              <w:t>Технологии/</w:t>
            </w:r>
          </w:p>
          <w:p w:rsidR="00AA4661" w:rsidRPr="00F8728A" w:rsidRDefault="00AA4661" w:rsidP="007B4265">
            <w:pPr>
              <w:spacing w:before="20" w:after="20"/>
              <w:jc w:val="center"/>
              <w:rPr>
                <w:rFonts w:ascii="Calibri" w:hAnsi="Calibri" w:cs="Calibri"/>
                <w:b/>
                <w:sz w:val="22"/>
              </w:rPr>
            </w:pPr>
            <w:r w:rsidRPr="00F8728A">
              <w:rPr>
                <w:rFonts w:ascii="Calibri" w:hAnsi="Calibri" w:cs="Calibri"/>
                <w:b/>
                <w:sz w:val="22"/>
              </w:rPr>
              <w:t>Строителство</w:t>
            </w:r>
          </w:p>
        </w:tc>
        <w:tc>
          <w:tcPr>
            <w:tcW w:w="2077" w:type="pct"/>
            <w:vAlign w:val="center"/>
          </w:tcPr>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Съпротива срещу промяната от страна на професионалистите</w:t>
            </w:r>
          </w:p>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Малък брой силни строителни компании способни да инвестират в научноизследователска и развойна дейност, инициативи за интелигент-ни градове и сертифицирани сгради по LEED</w:t>
            </w:r>
          </w:p>
        </w:tc>
        <w:tc>
          <w:tcPr>
            <w:tcW w:w="2035" w:type="pct"/>
            <w:vAlign w:val="center"/>
          </w:tcPr>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По-съвместими инструменти за планиране и конструиране</w:t>
            </w:r>
          </w:p>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По-здравословна и безопасна среда</w:t>
            </w:r>
          </w:p>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 xml:space="preserve">По-добро качество на живота  </w:t>
            </w:r>
          </w:p>
        </w:tc>
      </w:tr>
      <w:tr w:rsidR="00AA4661" w:rsidRPr="00F8728A" w:rsidTr="007B4265">
        <w:trPr>
          <w:trHeight w:val="339"/>
          <w:jc w:val="center"/>
        </w:trPr>
        <w:tc>
          <w:tcPr>
            <w:tcW w:w="888" w:type="pct"/>
            <w:shd w:val="clear" w:color="auto" w:fill="B8CCE4"/>
            <w:vAlign w:val="center"/>
          </w:tcPr>
          <w:p w:rsidR="00AA4661" w:rsidRPr="00F8728A" w:rsidRDefault="00AA4661" w:rsidP="007B4265">
            <w:pPr>
              <w:spacing w:before="20" w:after="20"/>
              <w:jc w:val="center"/>
              <w:rPr>
                <w:rFonts w:ascii="Calibri" w:hAnsi="Calibri" w:cs="Calibri"/>
                <w:b/>
                <w:sz w:val="22"/>
              </w:rPr>
            </w:pPr>
            <w:r w:rsidRPr="00F8728A">
              <w:rPr>
                <w:rFonts w:ascii="Calibri" w:hAnsi="Calibri" w:cs="Calibri"/>
                <w:b/>
                <w:sz w:val="22"/>
              </w:rPr>
              <w:t>Капацитет</w:t>
            </w:r>
          </w:p>
        </w:tc>
        <w:tc>
          <w:tcPr>
            <w:tcW w:w="2077" w:type="pct"/>
            <w:vAlign w:val="center"/>
          </w:tcPr>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Държавна политика за оптимизация на администрацията</w:t>
            </w:r>
          </w:p>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 xml:space="preserve">Липса на финанси </w:t>
            </w:r>
          </w:p>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 xml:space="preserve">Липса на достатъчно персонал </w:t>
            </w:r>
          </w:p>
        </w:tc>
        <w:tc>
          <w:tcPr>
            <w:tcW w:w="2035" w:type="pct"/>
            <w:vAlign w:val="center"/>
          </w:tcPr>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Подобрена система за овладяване на риска от бедствия</w:t>
            </w:r>
          </w:p>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По-безопасна градска среда</w:t>
            </w:r>
          </w:p>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Развито съзнание, ангажираност и подходящо социално поведение</w:t>
            </w:r>
          </w:p>
        </w:tc>
      </w:tr>
      <w:tr w:rsidR="00AA4661" w:rsidRPr="00F8728A" w:rsidTr="007B4265">
        <w:trPr>
          <w:trHeight w:val="615"/>
          <w:jc w:val="center"/>
        </w:trPr>
        <w:tc>
          <w:tcPr>
            <w:tcW w:w="888" w:type="pct"/>
            <w:shd w:val="clear" w:color="auto" w:fill="B8CCE4"/>
            <w:vAlign w:val="center"/>
          </w:tcPr>
          <w:p w:rsidR="00AA4661" w:rsidRPr="00F8728A" w:rsidRDefault="00AA4661" w:rsidP="007B4265">
            <w:pPr>
              <w:spacing w:before="20" w:after="20"/>
              <w:jc w:val="center"/>
              <w:rPr>
                <w:rFonts w:ascii="Calibri" w:hAnsi="Calibri" w:cs="Calibri"/>
                <w:b/>
                <w:sz w:val="22"/>
              </w:rPr>
            </w:pPr>
            <w:r w:rsidRPr="00F8728A">
              <w:rPr>
                <w:rFonts w:ascii="Calibri" w:hAnsi="Calibri" w:cs="Calibri"/>
                <w:b/>
                <w:sz w:val="22"/>
              </w:rPr>
              <w:t>Партньорство</w:t>
            </w:r>
          </w:p>
        </w:tc>
        <w:tc>
          <w:tcPr>
            <w:tcW w:w="2077" w:type="pct"/>
            <w:vAlign w:val="center"/>
          </w:tcPr>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Недостатъчно развито публично-частно партньорство</w:t>
            </w:r>
          </w:p>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 xml:space="preserve">Съпротива срещу социалната политика в подкрепа на ромите и имигрантите </w:t>
            </w:r>
          </w:p>
        </w:tc>
        <w:tc>
          <w:tcPr>
            <w:tcW w:w="2035" w:type="pct"/>
            <w:vAlign w:val="center"/>
          </w:tcPr>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Разширен капацитет</w:t>
            </w:r>
          </w:p>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Обмен на знания</w:t>
            </w:r>
          </w:p>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Поощряване на нови типове общностни нагласи и ценности</w:t>
            </w:r>
          </w:p>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По-добро социално включване в дългосрочен план</w:t>
            </w:r>
          </w:p>
        </w:tc>
      </w:tr>
    </w:tbl>
    <w:p w:rsidR="00AA4661" w:rsidRPr="00B73D7E" w:rsidRDefault="00AA4661" w:rsidP="00CF297A">
      <w:pPr>
        <w:pStyle w:val="BodyText"/>
        <w:numPr>
          <w:ilvl w:val="0"/>
          <w:numId w:val="41"/>
        </w:numPr>
        <w:spacing w:before="60"/>
        <w:ind w:left="0" w:firstLine="0"/>
        <w:rPr>
          <w:lang w:val="bg-BG"/>
        </w:rPr>
      </w:pPr>
      <w:r w:rsidRPr="00B73D7E">
        <w:rPr>
          <w:lang w:val="bg-BG"/>
        </w:rPr>
        <w:t>Всички тези 10 типа/категории АИК са взаимно свързани. Те нямат тежестни коефициенти според тяхната важност и спешност, тъй като повечето от тях трябва да се осъществяват успоредно. Списъкът на варианти за адаптация от опита на България и страните от ЕС (</w:t>
      </w:r>
      <w:r w:rsidRPr="00B73D7E">
        <w:rPr>
          <w:b/>
          <w:i/>
          <w:iCs/>
          <w:lang w:val="bg-BG"/>
        </w:rPr>
        <w:t xml:space="preserve">таблици 10 </w:t>
      </w:r>
      <w:r w:rsidRPr="00B73D7E">
        <w:rPr>
          <w:iCs/>
          <w:lang w:val="bg-BG"/>
        </w:rPr>
        <w:t>до</w:t>
      </w:r>
      <w:r w:rsidRPr="00B73D7E">
        <w:rPr>
          <w:b/>
          <w:i/>
          <w:iCs/>
          <w:lang w:val="bg-BG"/>
        </w:rPr>
        <w:t xml:space="preserve"> 13</w:t>
      </w:r>
      <w:r w:rsidRPr="00B73D7E">
        <w:rPr>
          <w:lang w:val="bg-BG"/>
        </w:rPr>
        <w:t xml:space="preserve">, първа колона) следва типичната логика на действия и мерки. Така най-важен за успешното прилагане на всеки предложен вариант е капацитетът. Информацията е важна за почти всички варианти на адаптация, но е от жизнено значение за научните и приложните изследвания и развитието на база от знания. Самите изследвания ще окажат подкрепа на всички други варианти и действия и са важни за образованието и професионалната практика. </w:t>
      </w:r>
    </w:p>
    <w:p w:rsidR="00AA4661" w:rsidRPr="00B73D7E" w:rsidRDefault="00AA4661" w:rsidP="00CF297A">
      <w:pPr>
        <w:pStyle w:val="BodyText"/>
        <w:numPr>
          <w:ilvl w:val="0"/>
          <w:numId w:val="41"/>
        </w:numPr>
        <w:ind w:left="0" w:firstLine="0"/>
        <w:rPr>
          <w:rFonts w:eastAsia="Times New Roman"/>
          <w:lang w:val="bg-BG"/>
        </w:rPr>
      </w:pPr>
      <w:r w:rsidRPr="00B73D7E">
        <w:rPr>
          <w:lang w:val="bg-BG"/>
        </w:rPr>
        <w:t>Предложените варианти за адаптация на градската среда са формулирани широко, за да остане възможност за по-нататъшното им развитие с времето и приспособяване според местните характеристики на климата и градската среда. Те имат различна тежест на териториално и административно ниво поради различния капацитет и опит на местните власти. Последните трябва да решават как да поместят вариантите във времева рамка.</w:t>
      </w:r>
    </w:p>
    <w:p w:rsidR="00AA4661" w:rsidRPr="00B73D7E" w:rsidRDefault="00AA4661" w:rsidP="00676435">
      <w:pPr>
        <w:pStyle w:val="Heading2"/>
        <w:ind w:left="0" w:firstLine="0"/>
        <w:rPr>
          <w:lang w:val="bg-BG"/>
        </w:rPr>
      </w:pPr>
      <w:bookmarkStart w:id="682" w:name="_Toc486513832"/>
      <w:bookmarkStart w:id="683" w:name="_Toc486942213"/>
      <w:bookmarkStart w:id="684" w:name="_Toc501454890"/>
      <w:bookmarkStart w:id="685" w:name="_Toc522030593"/>
      <w:bookmarkStart w:id="686" w:name="_Toc529285578"/>
      <w:r w:rsidRPr="00B73D7E">
        <w:rPr>
          <w:lang w:val="bg-BG"/>
        </w:rPr>
        <w:t>Оценка на вариантите за адаптация</w:t>
      </w:r>
      <w:bookmarkEnd w:id="682"/>
      <w:bookmarkEnd w:id="683"/>
      <w:bookmarkEnd w:id="684"/>
      <w:bookmarkEnd w:id="685"/>
      <w:bookmarkEnd w:id="686"/>
    </w:p>
    <w:p w:rsidR="00AA4661" w:rsidRPr="00B73D7E" w:rsidRDefault="00AA4661" w:rsidP="00676435">
      <w:pPr>
        <w:pStyle w:val="Heading3"/>
        <w:ind w:left="0" w:firstLine="0"/>
        <w:rPr>
          <w:lang w:val="bg-BG"/>
        </w:rPr>
      </w:pPr>
      <w:bookmarkStart w:id="687" w:name="_Toc486513833"/>
      <w:bookmarkStart w:id="688" w:name="_Toc486942214"/>
      <w:bookmarkStart w:id="689" w:name="_Toc501454891"/>
      <w:bookmarkStart w:id="690" w:name="_Toc522030594"/>
      <w:bookmarkStart w:id="691" w:name="_Toc529285579"/>
      <w:r w:rsidRPr="00B73D7E">
        <w:rPr>
          <w:lang w:val="bg-BG"/>
        </w:rPr>
        <w:t>Предварителна оценка на времето, усилията, институционалната уредба</w:t>
      </w:r>
      <w:bookmarkEnd w:id="687"/>
      <w:bookmarkEnd w:id="688"/>
      <w:bookmarkEnd w:id="689"/>
      <w:bookmarkEnd w:id="690"/>
      <w:bookmarkEnd w:id="691"/>
    </w:p>
    <w:p w:rsidR="00AA4661" w:rsidRPr="00F8728A" w:rsidRDefault="00AA4661" w:rsidP="001451FC">
      <w:pPr>
        <w:keepNext/>
        <w:keepLines/>
        <w:spacing w:before="60" w:after="60" w:line="264" w:lineRule="auto"/>
        <w:jc w:val="both"/>
        <w:outlineLvl w:val="3"/>
        <w:rPr>
          <w:rFonts w:ascii="Calibri" w:hAnsi="Calibri"/>
          <w:i/>
          <w:iCs/>
          <w:color w:val="365F91"/>
          <w:sz w:val="24"/>
          <w:szCs w:val="24"/>
        </w:rPr>
      </w:pPr>
      <w:bookmarkStart w:id="692" w:name="_Toc486513834"/>
      <w:r w:rsidRPr="00F8728A">
        <w:rPr>
          <w:rFonts w:ascii="Calibri" w:hAnsi="Calibri"/>
          <w:i/>
          <w:iCs/>
          <w:color w:val="365F91"/>
          <w:sz w:val="24"/>
          <w:szCs w:val="24"/>
        </w:rPr>
        <w:t>Времето</w:t>
      </w:r>
      <w:bookmarkEnd w:id="692"/>
    </w:p>
    <w:p w:rsidR="00AA4661" w:rsidRPr="00B73D7E" w:rsidRDefault="00AA4661" w:rsidP="00CF297A">
      <w:pPr>
        <w:pStyle w:val="BodyText"/>
        <w:numPr>
          <w:ilvl w:val="0"/>
          <w:numId w:val="41"/>
        </w:numPr>
        <w:ind w:left="0" w:firstLine="0"/>
        <w:rPr>
          <w:lang w:val="bg-BG"/>
        </w:rPr>
      </w:pPr>
      <w:r w:rsidRPr="00B73D7E">
        <w:rPr>
          <w:lang w:val="bg-BG"/>
        </w:rPr>
        <w:t>Прилагането на мерки, които водят до АИК в градската среда в България, в съответствие с препоръчаните варианти за адаптация трябва да се разглежда като част от общата политика на страната за устойчиво и интегрирано градско развитие. То попада в обхвата на Приоритетна ос 1 на ОПРР (2014–2020). Програмата предвижда ревизия на проектите през 2018 г. и инвестиционните програми на общините, които са одобрили ИПГВР. Общинските инвестиционни програми, ревизирани през 2016 г., включват мерки за въвеждане на интегриран градски транспорт и за обновяване на жилищните и обществените сгради с мерки за енергийна ефективност. Одобрените проекти трябва да бъдат завършени до края на програмния период с възможност за възстановяване на средствата до 2022 г.</w:t>
      </w:r>
    </w:p>
    <w:p w:rsidR="00AA4661" w:rsidRPr="00B73D7E" w:rsidRDefault="00AA4661" w:rsidP="00CF297A">
      <w:pPr>
        <w:pStyle w:val="BodyText"/>
        <w:numPr>
          <w:ilvl w:val="0"/>
          <w:numId w:val="41"/>
        </w:numPr>
        <w:ind w:left="0" w:firstLine="0"/>
        <w:rPr>
          <w:lang w:val="bg-BG"/>
        </w:rPr>
      </w:pPr>
      <w:r w:rsidRPr="00B73D7E">
        <w:rPr>
          <w:lang w:val="bg-BG"/>
        </w:rPr>
        <w:t>В зависимост от програмирането на стратегическото планиране трябва да се извърши междинна оценка на всички стратегически документи. Тъй като актуализацията на НКПР 2013–2015 г. още не е възложена, тя трябва да се синхронизира с работата на МОСВ върху оценката на риска от природни бедствия и с последните данни за зоните, изложени на опасност. МРРБ понастоящем се нуждае от междинна оценка на Регионалните планове за развитие за всичките шест района от ниво 2, които формулират профили на съответните области и насоки за развитие, като приоритет се дава на важни инфраструктурни проекти. Очакваното преразглеждане на регионалната политика най-вероятно ще изисква разработването на нов вид документи за регионално и пространствено развитие за по-ограничен брой райони, където възможностите за адаптация към изменението на климата биха могли да бъдат правилно включени.</w:t>
      </w:r>
    </w:p>
    <w:p w:rsidR="00AA4661" w:rsidRPr="00F8728A" w:rsidRDefault="00AA4661">
      <w:pPr>
        <w:widowControl w:val="0"/>
        <w:spacing w:after="0"/>
        <w:rPr>
          <w:rFonts w:ascii="Times New Roman" w:eastAsia="MS Mincho" w:hAnsi="Times New Roman"/>
          <w:sz w:val="24"/>
          <w:szCs w:val="24"/>
          <w:lang w:eastAsia="bg-BG"/>
        </w:rPr>
      </w:pPr>
    </w:p>
    <w:p w:rsidR="00AA4661" w:rsidRPr="00B73D7E" w:rsidRDefault="00AA4661" w:rsidP="00CF297A">
      <w:pPr>
        <w:pStyle w:val="BodyText"/>
        <w:numPr>
          <w:ilvl w:val="0"/>
          <w:numId w:val="41"/>
        </w:numPr>
        <w:ind w:left="0" w:firstLine="0"/>
        <w:rPr>
          <w:lang w:val="bg-BG"/>
        </w:rPr>
      </w:pPr>
      <w:r w:rsidRPr="00B73D7E">
        <w:rPr>
          <w:lang w:val="bg-BG"/>
        </w:rPr>
        <w:t xml:space="preserve">Общините също започнаха да възлагат междинни оценки на Общинските планове за развитие   (2014–2020).  Междинни оценки на Областните стратегии за регионално развитие за 28-те области трябва да бъдат направени до края на 2018 г. Общите устройствени планове, разработвани от 2014 г. насам и съфинансирани от държавния бюджет по програма на МРРБ, се очаква да бъдат одобрени до края на 2018 г. </w:t>
      </w:r>
    </w:p>
    <w:p w:rsidR="00AA4661" w:rsidRPr="00B73D7E" w:rsidRDefault="00AA4661" w:rsidP="00CF297A">
      <w:pPr>
        <w:pStyle w:val="BodyText"/>
        <w:numPr>
          <w:ilvl w:val="0"/>
          <w:numId w:val="41"/>
        </w:numPr>
        <w:ind w:left="0" w:firstLine="0"/>
        <w:rPr>
          <w:lang w:val="bg-BG"/>
        </w:rPr>
      </w:pPr>
      <w:r w:rsidRPr="00B73D7E">
        <w:rPr>
          <w:lang w:val="bg-BG"/>
        </w:rPr>
        <w:t xml:space="preserve">Предложените варианти за адаптация ще бъдат сърцевина на Националната стратегия за климатична адаптация и на НПА, които трябва да бъдат завършени до средата на 2018 г. Успоредно с тяхното разработване би могло да започне осъществяване на някои от вариантите за адаптация, например актуализиране на учебните програми, създаване на капацитет и полагане начало на законодателните промени с оценки за въздействието на нормативната уредба, които са от съществено значение за реализацията на всички други варианти за адаптация. </w:t>
      </w:r>
    </w:p>
    <w:p w:rsidR="00AA4661" w:rsidRPr="00B73D7E" w:rsidRDefault="00AA4661" w:rsidP="00CF297A">
      <w:pPr>
        <w:pStyle w:val="BodyText"/>
        <w:numPr>
          <w:ilvl w:val="0"/>
          <w:numId w:val="41"/>
        </w:numPr>
        <w:ind w:left="0" w:firstLine="0"/>
        <w:rPr>
          <w:lang w:val="bg-BG"/>
        </w:rPr>
      </w:pPr>
      <w:r w:rsidRPr="00B73D7E">
        <w:rPr>
          <w:lang w:val="bg-BG"/>
        </w:rPr>
        <w:t>Реалистично ще бъде да се дадат на страната минимум 20 години за успешен отговор на климатичните предизвикателства за градовете, така че този период трябва да обхване всички дейности, от предварителни проучвания и обследване на сгради и съоръжения до извършване на строителни, монтажни и обновителни работи. Прецизиране на тази времева рамка може да се извърши след подробно описание на мерките, които трябва да се разбият на няколко групи в зависимост от времевия хоризонт – спешни, краткосрочни, средносрочни и дългосрочни. За най-важните и мащабни проекти, особено свързаните с техническата инфраструктура, този период може да бъде разширен до 30 години.</w:t>
      </w:r>
    </w:p>
    <w:p w:rsidR="00AA4661" w:rsidRPr="00F8728A" w:rsidRDefault="00AA4661" w:rsidP="00676435">
      <w:pPr>
        <w:keepNext/>
        <w:keepLines/>
        <w:spacing w:before="60" w:after="0" w:line="264" w:lineRule="auto"/>
        <w:jc w:val="both"/>
        <w:outlineLvl w:val="3"/>
        <w:rPr>
          <w:rFonts w:ascii="Calibri" w:hAnsi="Calibri"/>
          <w:i/>
          <w:iCs/>
          <w:color w:val="365F91"/>
          <w:sz w:val="24"/>
          <w:szCs w:val="24"/>
        </w:rPr>
      </w:pPr>
      <w:bookmarkStart w:id="693" w:name="_Toc486513835"/>
      <w:r w:rsidRPr="00F8728A">
        <w:rPr>
          <w:rFonts w:ascii="Calibri" w:hAnsi="Calibri"/>
          <w:i/>
          <w:iCs/>
          <w:color w:val="365F91"/>
          <w:sz w:val="24"/>
          <w:szCs w:val="24"/>
        </w:rPr>
        <w:t>Усилията</w:t>
      </w:r>
      <w:bookmarkEnd w:id="693"/>
    </w:p>
    <w:p w:rsidR="00AA4661" w:rsidRPr="00B73D7E" w:rsidRDefault="00AA4661" w:rsidP="00CF297A">
      <w:pPr>
        <w:pStyle w:val="BodyText"/>
        <w:numPr>
          <w:ilvl w:val="0"/>
          <w:numId w:val="41"/>
        </w:numPr>
        <w:ind w:left="0" w:firstLine="0"/>
        <w:rPr>
          <w:lang w:val="bg-BG"/>
        </w:rPr>
      </w:pPr>
      <w:r w:rsidRPr="00B73D7E">
        <w:rPr>
          <w:lang w:val="bg-BG"/>
        </w:rPr>
        <w:t>Осъществяването на предложените варианти за адаптация в градската среда и строителния сектор ще изисква значителни усилия, време и ресурси поради тяхната сложност и необходимостта повечето от тези варианти да се осъществяват едновременно и в кратък срок. Това още повече увеличава натиска върху участниците в този процес, като се имат предвид ограниченията на България що се отнася до експертен потенциал и информационна база.</w:t>
      </w:r>
    </w:p>
    <w:p w:rsidR="00AA4661" w:rsidRPr="00B73D7E" w:rsidRDefault="00AA4661" w:rsidP="00CF297A">
      <w:pPr>
        <w:pStyle w:val="BodyText"/>
        <w:numPr>
          <w:ilvl w:val="0"/>
          <w:numId w:val="41"/>
        </w:numPr>
        <w:ind w:left="0" w:firstLine="0"/>
        <w:rPr>
          <w:lang w:val="bg-BG"/>
        </w:rPr>
      </w:pPr>
      <w:r w:rsidRPr="00B73D7E">
        <w:rPr>
          <w:lang w:val="bg-BG"/>
        </w:rPr>
        <w:t>Надлежното осъществяване на плановете за адаптация и проектите в градския сектор ще изисква повишени усилия и отчетност от образователните институции за обучението на персонал, от страна на професионалните органи, отговорни за признаването на компетентностите и от всеки отделен професионалист. Значително усилие ще бъде необходимо за промяната на общата концепция в строителния сектор за намиране на по-интелигентни решения за устойчивост и здравина на сградите и съоръженията, спестяващо ресурси производство на строителни материали и по-ефикасно оползотворяване на строителните отпадъци. Голяма част от тези усилия ще се паднат на хората, заети с изследователска работа, обучение на персонал и надзор върху строителството. Тежестта ще се прехвърли както върху строителни, така и върху фирми за недвижими имоти и ще достигне до всеки собственик, наемател или потенциален клиент на имоти.</w:t>
      </w:r>
    </w:p>
    <w:p w:rsidR="00491557" w:rsidRPr="00F8728A" w:rsidRDefault="00491557">
      <w:pPr>
        <w:spacing w:after="0"/>
        <w:rPr>
          <w:rFonts w:ascii="Calibri" w:hAnsi="Calibri"/>
          <w:i/>
          <w:iCs/>
          <w:color w:val="365F91"/>
          <w:sz w:val="24"/>
          <w:szCs w:val="24"/>
        </w:rPr>
      </w:pPr>
      <w:bookmarkStart w:id="694" w:name="_Toc486513836"/>
    </w:p>
    <w:p w:rsidR="00AA4661" w:rsidRPr="00B73D7E" w:rsidRDefault="00AA4661" w:rsidP="00485D6A">
      <w:pPr>
        <w:pStyle w:val="Heading4"/>
        <w:rPr>
          <w:lang w:val="bg-BG"/>
        </w:rPr>
      </w:pPr>
      <w:r w:rsidRPr="00B73D7E">
        <w:rPr>
          <w:lang w:val="bg-BG"/>
        </w:rPr>
        <w:t>Институционалната уредба</w:t>
      </w:r>
      <w:bookmarkEnd w:id="694"/>
    </w:p>
    <w:p w:rsidR="00AA4661" w:rsidRPr="00B73D7E" w:rsidRDefault="00AA4661" w:rsidP="00CF297A">
      <w:pPr>
        <w:pStyle w:val="BodyText"/>
        <w:numPr>
          <w:ilvl w:val="0"/>
          <w:numId w:val="41"/>
        </w:numPr>
        <w:ind w:left="0" w:firstLine="0"/>
        <w:rPr>
          <w:lang w:val="bg-BG"/>
        </w:rPr>
      </w:pPr>
      <w:r w:rsidRPr="00B73D7E">
        <w:rPr>
          <w:lang w:val="bg-BG"/>
        </w:rPr>
        <w:t>Институциите и участниците, заети с АИК, са описани подробно в раздел 2.5 и са предмет на закона за природните бедствия. Този закон представя детайлно ангажиментите на Министерския съвет, отделните министерства и техните регионални структури, регионалните и общинските власти, изследователските организации, НПО и доброволците за защита на природната и архитектурната среда и човешкото здраве и живот. Главните ангажименти, свързани с адаптацията на градската среда, попадат в компетенциите на МРРБ със съответните му дирекции и на общинските власти, които трябва да направят АИК неразделна част от политиката на регионално и градско развитие. В това отношение МОСВ и неговите регионални структури – речните басейнови дирекции и РИОСВ, както и МЗ и Регионалните здравни инспекции имат важна роля за създаване на здравословна градска среда и за надзора върху прилагането на одобрените планове и проекти заедно с техните ЕО и ОС.</w:t>
      </w:r>
    </w:p>
    <w:p w:rsidR="00AA4661" w:rsidRPr="00B73D7E" w:rsidRDefault="00AA4661" w:rsidP="00CF297A">
      <w:pPr>
        <w:pStyle w:val="BodyText"/>
        <w:numPr>
          <w:ilvl w:val="0"/>
          <w:numId w:val="41"/>
        </w:numPr>
        <w:ind w:left="0" w:firstLine="0"/>
        <w:rPr>
          <w:rFonts w:cs="Arial"/>
          <w:szCs w:val="20"/>
          <w:lang w:val="bg-BG"/>
        </w:rPr>
      </w:pPr>
      <w:r w:rsidRPr="00B73D7E">
        <w:rPr>
          <w:lang w:val="bg-BG"/>
        </w:rPr>
        <w:t>На местно равнище общините трябва да реорганизират работата си така, че да създадат капацитет за разработване и изпълнение на градските планове за АИК с оглед на опазването на околната среда, устройството на територията, развитието и поддържането на зелените системи. Това включва повишени отговорности не само за кметовете, а също и за главните архитекти при одобряването и изпълнението на устройствените планове, тъй като техните предложения определят качеството на живота в градовете.</w:t>
      </w:r>
    </w:p>
    <w:p w:rsidR="00AA4661" w:rsidRPr="00B73D7E" w:rsidRDefault="00AA4661" w:rsidP="00CF297A">
      <w:pPr>
        <w:pStyle w:val="BodyText"/>
        <w:numPr>
          <w:ilvl w:val="0"/>
          <w:numId w:val="41"/>
        </w:numPr>
        <w:ind w:left="0" w:firstLine="0"/>
        <w:rPr>
          <w:rFonts w:cs="Arial"/>
          <w:szCs w:val="20"/>
          <w:lang w:val="bg-BG"/>
        </w:rPr>
      </w:pPr>
      <w:r w:rsidRPr="00B73D7E">
        <w:rPr>
          <w:lang w:val="bg-BG"/>
        </w:rPr>
        <w:t>АИК не би трябвало да изисква създаване на нови структури, а само подобряване на координацията между съществуващите, както и увеличаване на капацитета и промяна на нагласите, включително преодоляване на скептицизма. Промените в институционалната уредба и въвеждането на нови функции и задължения, като всяка значителна промяна, ще срещнат съпротива, особено ако не са подкрепени от осигуряването на необходимите човешки и финансови ресурси. Най-засегнати от тези промени ще бъдат регионалните и общинските власти, особено тези в територии, изостанали поради сериозни социални, демографски и финансови проблеми. Тук се включват малките и обезлюдени населени места с висок относителен дял на бедно, застаряло и въобще уязвимо население.</w:t>
      </w:r>
    </w:p>
    <w:p w:rsidR="00AA4661" w:rsidRPr="00B73D7E" w:rsidRDefault="00D17385" w:rsidP="001451FC">
      <w:pPr>
        <w:pStyle w:val="Heading3"/>
        <w:spacing w:before="160"/>
        <w:ind w:left="0" w:firstLine="0"/>
        <w:rPr>
          <w:lang w:val="bg-BG"/>
        </w:rPr>
      </w:pPr>
      <w:bookmarkStart w:id="695" w:name="_Toc522030595"/>
      <w:bookmarkStart w:id="696" w:name="_Toc529285580"/>
      <w:r w:rsidRPr="00B73D7E">
        <w:rPr>
          <w:lang w:val="bg-BG"/>
        </w:rPr>
        <w:t>Анализ на р</w:t>
      </w:r>
      <w:r w:rsidR="00AA4661" w:rsidRPr="00B73D7E">
        <w:rPr>
          <w:lang w:val="bg-BG"/>
        </w:rPr>
        <w:t>азходи</w:t>
      </w:r>
      <w:r w:rsidRPr="00B73D7E">
        <w:rPr>
          <w:lang w:val="bg-BG"/>
        </w:rPr>
        <w:t xml:space="preserve"> и ползи</w:t>
      </w:r>
      <w:bookmarkEnd w:id="695"/>
      <w:bookmarkEnd w:id="696"/>
    </w:p>
    <w:p w:rsidR="00AA4661" w:rsidRPr="00B73D7E" w:rsidRDefault="00AA4661" w:rsidP="00CF297A">
      <w:pPr>
        <w:pStyle w:val="BodyText"/>
        <w:numPr>
          <w:ilvl w:val="0"/>
          <w:numId w:val="41"/>
        </w:numPr>
        <w:ind w:left="0" w:firstLine="0"/>
        <w:rPr>
          <w:lang w:val="bg-BG"/>
        </w:rPr>
      </w:pPr>
      <w:r w:rsidRPr="00B73D7E">
        <w:rPr>
          <w:lang w:val="bg-BG"/>
        </w:rPr>
        <w:t>Разходите за адаптиране са ключов елемент при избора и изпълнението на мерките по АИК. Трудно е да се оценят разходите за разнообразни адаптационни дейности в България, и е още по-трудно в сектора на градската среда. Сложността на оценката произтича от факта, че в допълнение към разходите за въвеждане на варианти за обща адаптация, разходите за прилагането на специфичните варианти за адаптиране, свързани с градския транспорт и инфраструктурата, съществуващия сграден фонд, публичните открити пространства, градските услуги и населението трябва да се разглеждат както във връзка с преките, така и с непреките въздействия.</w:t>
      </w:r>
    </w:p>
    <w:p w:rsidR="00AA4661" w:rsidRPr="00B73D7E" w:rsidRDefault="00AA4661" w:rsidP="00CF297A">
      <w:pPr>
        <w:pStyle w:val="BodyText"/>
        <w:numPr>
          <w:ilvl w:val="0"/>
          <w:numId w:val="41"/>
        </w:numPr>
        <w:ind w:left="0" w:firstLine="0"/>
        <w:rPr>
          <w:lang w:val="bg-BG"/>
        </w:rPr>
      </w:pPr>
      <w:r w:rsidRPr="00B73D7E">
        <w:rPr>
          <w:lang w:val="bg-BG"/>
        </w:rPr>
        <w:t>Най-спешните варианти за адаптиране, определени за градския сектор, включват разработването на политики, законодателство и институционално развитие, съчетани с научни изследвания, обмен на информация и изграждане на капацитет.</w:t>
      </w:r>
    </w:p>
    <w:p w:rsidR="00AA4661" w:rsidRPr="00B73D7E" w:rsidRDefault="00AA4661" w:rsidP="00CF297A">
      <w:pPr>
        <w:pStyle w:val="BodyText"/>
        <w:numPr>
          <w:ilvl w:val="0"/>
          <w:numId w:val="41"/>
        </w:numPr>
        <w:ind w:left="0" w:firstLine="0"/>
        <w:rPr>
          <w:lang w:val="bg-BG"/>
        </w:rPr>
      </w:pPr>
      <w:r w:rsidRPr="00B73D7E">
        <w:rPr>
          <w:lang w:val="bg-BG"/>
        </w:rPr>
        <w:t xml:space="preserve">Националните и местните институции с тяхната инфраструктура, персонал и ресурси са налице. Поради това разработването на стратегии, политики и законодателство, като основни институционални дейности, няма да изисква допълнителен бюджет. Може да се твърди обаче, че подобрените материални, финансови и управленски условия в публичния сектор ще привлекат повече професионалисти, заинтересовани да работят и да продължат да работят в публичния сектор. Това би било форма на вътрешно укрепване, което постепенно ще намали разходите за повишаване на обществената информираност и изграждане на капацитет. Освен това ще се повиши привлекателността на научноизследователския сектор. За равнището на образование и обучение на граждани и представители на частния сектор ще са необходими средни по размер инвестиции. Когато обаче политиките и законодателството водят до промени в инфраструктурата, разходите може рязко да се увеличат. Въпреки че и без политики и законодателство за адаптиране, такива разходи вероятно ще трябва да бъдат направени, за да обслужват интересите на други области на политиката. В този случай АИК може да доведе до допълнителни разходи. В същото време интелигентните решения могат да осигурят икономии на разходи, подобряване на благосъстоянието на гражданите и (бизнес) възможности. </w:t>
      </w:r>
    </w:p>
    <w:p w:rsidR="00AA4661" w:rsidRPr="00B73D7E" w:rsidRDefault="00AA4661" w:rsidP="00CF297A">
      <w:pPr>
        <w:pStyle w:val="BodyText"/>
        <w:numPr>
          <w:ilvl w:val="0"/>
          <w:numId w:val="41"/>
        </w:numPr>
        <w:ind w:left="0" w:firstLine="0"/>
        <w:rPr>
          <w:lang w:val="bg-BG"/>
        </w:rPr>
      </w:pPr>
      <w:r w:rsidRPr="00B73D7E">
        <w:rPr>
          <w:lang w:val="bg-BG"/>
        </w:rPr>
        <w:t>В повечето случаи бюджетите покриват само преките разходи за услуги, необходими за планиране и подготовка на изпълнението на вариантите за адаптиране. Например, в случай на предложено стимулиране на креативния градски дизайн, са посочени само разходите за стимулиращи действия. Точните разходи за реализацията на проекта зависят от много външни фактори и поради това са изключително трудни за определяне. Такъв е случаят с много от вариантите за адаптиране, чиито разходи се дължат на дълги периоди от време и са свързани с голяма несигурност, като например обновяване на сградния фонд, социална подкрепа за уязвими групи, за живеещи в жилища с ниски стандарти, пренастаняване, информационни и комуникационни технологии и други.</w:t>
      </w:r>
    </w:p>
    <w:p w:rsidR="00AA4661" w:rsidRPr="00B73D7E" w:rsidRDefault="00AA4661" w:rsidP="00CF297A">
      <w:pPr>
        <w:pStyle w:val="BodyText"/>
        <w:numPr>
          <w:ilvl w:val="0"/>
          <w:numId w:val="41"/>
        </w:numPr>
        <w:ind w:left="0" w:firstLine="0"/>
        <w:rPr>
          <w:lang w:val="bg-BG"/>
        </w:rPr>
      </w:pPr>
      <w:r w:rsidRPr="00B73D7E">
        <w:rPr>
          <w:lang w:val="bg-BG"/>
        </w:rPr>
        <w:t>Разпределението на финансовите ресурси между приоритетните действия следва да се основава на оценка на нуждите и на икономически и финансови анализи. За много действия за адаптиране могат да се използват съществуващи ресурси. Необходимостта от адаптиране на политиките и бюджетите към приоритетите винаги е съществувала. Това е въпрос на разпределение и преразпределение на съществуващите финансови и човешки ресурси. Основните източници за финансиране на вариантите и действията за адаптиране са национален (държавен бюджет), местни (общински бюджети), ЕС (безвъзмездна финансова помощ, субсидии на настоящи и бъдещи инструменти) и частно финансиране от финансови институции.</w:t>
      </w:r>
    </w:p>
    <w:p w:rsidR="00D11E4B" w:rsidRPr="00B73D7E" w:rsidRDefault="00854512" w:rsidP="00CF297A">
      <w:pPr>
        <w:pStyle w:val="BodyText"/>
        <w:numPr>
          <w:ilvl w:val="0"/>
          <w:numId w:val="41"/>
        </w:numPr>
        <w:ind w:left="0" w:firstLine="0"/>
        <w:rPr>
          <w:lang w:val="bg-BG"/>
        </w:rPr>
      </w:pPr>
      <w:bookmarkStart w:id="697" w:name="_Hlk517264598"/>
      <w:r w:rsidRPr="00B73D7E">
        <w:rPr>
          <w:lang w:val="bg-BG"/>
        </w:rPr>
        <w:t xml:space="preserve">Изчепателен и точен АРП в сектора на градската среда е трудно да се направи поради специфичните характеристики и различните мащаби и нужди на градските райони. Следователно, АРП за сектора (допълнително обяснен в </w:t>
      </w:r>
      <w:r w:rsidRPr="00B73D7E">
        <w:rPr>
          <w:b/>
          <w:i/>
          <w:lang w:val="bg-BG"/>
        </w:rPr>
        <w:t>приложение 3</w:t>
      </w:r>
      <w:r w:rsidRPr="00B73D7E">
        <w:rPr>
          <w:lang w:val="bg-BG"/>
        </w:rPr>
        <w:t xml:space="preserve">) се фокусира основно върху оценката на меките мерки за адаптация и само върху тези инвестиционни мерки за енергийно обновяване на жилищния фонд и инфраструктурата, за които е налична информацията от мониторинга и прогнозите. Ползите, получени в резултат на тяхното прилагане, са най-добре илюстрирани чрез количествено определяне на спестените разходи в основните показатели за ефективност (потребление на електроенергия и на топлинна енергия в домакинствата и др.). Като се има предвид сложното въздействие на вариантите за адаптиране върху градското развитие, те не бяха отделно количествено определени в </w:t>
      </w:r>
      <w:r w:rsidR="00867098" w:rsidRPr="00B73D7E">
        <w:rPr>
          <w:lang w:val="bg-BG"/>
        </w:rPr>
        <w:t>съществуващия АРП</w:t>
      </w:r>
      <w:r w:rsidRPr="00B73D7E">
        <w:rPr>
          <w:lang w:val="bg-BG"/>
        </w:rPr>
        <w:t>. Нетната настояща стойност (ННС)</w:t>
      </w:r>
      <w:r w:rsidR="00867098" w:rsidRPr="00B73D7E">
        <w:rPr>
          <w:rFonts w:eastAsia="Times New Roman" w:cs="Arial"/>
          <w:szCs w:val="22"/>
          <w:vertAlign w:val="superscript"/>
          <w:lang w:val="bg-BG" w:eastAsia="en-US"/>
        </w:rPr>
        <w:footnoteReference w:id="148"/>
      </w:r>
      <w:r w:rsidR="00FC2D66" w:rsidRPr="00B73D7E">
        <w:rPr>
          <w:lang w:val="bg-BG"/>
        </w:rPr>
        <w:t xml:space="preserve"> в </w:t>
      </w:r>
      <w:r w:rsidR="00FC2D66" w:rsidRPr="00B73D7E">
        <w:rPr>
          <w:b/>
          <w:i/>
          <w:lang w:val="bg-BG"/>
        </w:rPr>
        <w:t>т</w:t>
      </w:r>
      <w:r w:rsidRPr="00B73D7E">
        <w:rPr>
          <w:b/>
          <w:i/>
          <w:lang w:val="bg-BG"/>
        </w:rPr>
        <w:t>аблица 15</w:t>
      </w:r>
      <w:r w:rsidRPr="00B73D7E">
        <w:rPr>
          <w:lang w:val="bg-BG"/>
        </w:rPr>
        <w:t xml:space="preserve"> илюстрира паричната стойност на изб</w:t>
      </w:r>
      <w:r w:rsidR="00867098" w:rsidRPr="00B73D7E">
        <w:rPr>
          <w:lang w:val="bg-BG"/>
        </w:rPr>
        <w:t xml:space="preserve">егнатите </w:t>
      </w:r>
      <w:r w:rsidRPr="00B73D7E">
        <w:rPr>
          <w:lang w:val="bg-BG"/>
        </w:rPr>
        <w:t xml:space="preserve">загуби в резултат на реализираните мерки за адаптиране, докато </w:t>
      </w:r>
      <w:r w:rsidR="00867098" w:rsidRPr="00B73D7E">
        <w:rPr>
          <w:lang w:val="bg-BG"/>
        </w:rPr>
        <w:t xml:space="preserve">икономичестата </w:t>
      </w:r>
      <w:r w:rsidRPr="00B73D7E">
        <w:rPr>
          <w:lang w:val="bg-BG"/>
        </w:rPr>
        <w:t xml:space="preserve">ефективност </w:t>
      </w:r>
      <w:r w:rsidR="00867098" w:rsidRPr="00B73D7E">
        <w:rPr>
          <w:lang w:val="bg-BG"/>
        </w:rPr>
        <w:t xml:space="preserve">определя количествено </w:t>
      </w:r>
      <w:r w:rsidRPr="00B73D7E">
        <w:rPr>
          <w:lang w:val="bg-BG"/>
        </w:rPr>
        <w:t>ползите, постигнати във връзка с необходимите инвестиции/разходи</w:t>
      </w:r>
      <w:r w:rsidR="00D11E4B" w:rsidRPr="00B73D7E">
        <w:rPr>
          <w:lang w:val="bg-BG"/>
        </w:rPr>
        <w:t>.</w:t>
      </w:r>
      <w:bookmarkStart w:id="698" w:name="_Hlk517356334"/>
    </w:p>
    <w:p w:rsidR="00D11E4B" w:rsidRPr="00F8728A" w:rsidRDefault="0043327C" w:rsidP="00B73D7E">
      <w:pPr>
        <w:pStyle w:val="FiguresTablesCaption"/>
      </w:pPr>
      <w:bookmarkStart w:id="699" w:name="_Toc517709516"/>
      <w:bookmarkStart w:id="700" w:name="_Toc529286642"/>
      <w:bookmarkStart w:id="701" w:name="_Hlk517356538"/>
      <w:bookmarkEnd w:id="697"/>
      <w:bookmarkEnd w:id="698"/>
      <w:r w:rsidRPr="00F8728A">
        <w:t xml:space="preserve">Таблица </w:t>
      </w:r>
      <w:r w:rsidR="00D11E4B" w:rsidRPr="00F8728A">
        <w:fldChar w:fldCharType="begin"/>
      </w:r>
      <w:r w:rsidR="00D11E4B" w:rsidRPr="00F8728A">
        <w:instrText xml:space="preserve"> SEQ Table \* ARABIC </w:instrText>
      </w:r>
      <w:r w:rsidR="00D11E4B" w:rsidRPr="00F8728A">
        <w:fldChar w:fldCharType="separate"/>
      </w:r>
      <w:r w:rsidR="00D11E4B" w:rsidRPr="00F8728A">
        <w:t>15</w:t>
      </w:r>
      <w:r w:rsidR="00D11E4B" w:rsidRPr="00F8728A">
        <w:fldChar w:fldCharType="end"/>
      </w:r>
      <w:r w:rsidR="00D11E4B" w:rsidRPr="00F8728A">
        <w:t xml:space="preserve">. </w:t>
      </w:r>
      <w:bookmarkStart w:id="702" w:name="_Hlk517276582"/>
      <w:bookmarkStart w:id="703" w:name="_Hlk517280906"/>
      <w:r w:rsidRPr="00F8728A">
        <w:t>Ползите от мерките за адаптиране в сектора на градската среда при различни климатични сценарии до 2050 г. (в м</w:t>
      </w:r>
      <w:r w:rsidR="00F8728A">
        <w:t>лн.</w:t>
      </w:r>
      <w:r w:rsidRPr="00F8728A">
        <w:t xml:space="preserve"> евро)</w:t>
      </w:r>
      <w:bookmarkEnd w:id="699"/>
      <w:bookmarkEnd w:id="700"/>
      <w:bookmarkEnd w:id="702"/>
      <w:bookmarkEnd w:id="703"/>
    </w:p>
    <w:tbl>
      <w:tblPr>
        <w:tblW w:w="782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3119"/>
        <w:gridCol w:w="1385"/>
        <w:gridCol w:w="3321"/>
      </w:tblGrid>
      <w:tr w:rsidR="00D11E4B" w:rsidRPr="00F8728A" w:rsidTr="00485D6A">
        <w:trPr>
          <w:trHeight w:val="70"/>
          <w:jc w:val="center"/>
        </w:trPr>
        <w:tc>
          <w:tcPr>
            <w:tcW w:w="3119" w:type="dxa"/>
            <w:shd w:val="clear" w:color="auto" w:fill="365F91"/>
            <w:vAlign w:val="center"/>
            <w:hideMark/>
          </w:tcPr>
          <w:bookmarkEnd w:id="701"/>
          <w:p w:rsidR="00D11E4B" w:rsidRPr="00B73D7E" w:rsidRDefault="0043327C" w:rsidP="0043327C">
            <w:pPr>
              <w:spacing w:before="40" w:after="40"/>
              <w:jc w:val="center"/>
              <w:rPr>
                <w:rFonts w:ascii="Calibri" w:hAnsi="Calibri" w:cs="Calibri"/>
                <w:b/>
                <w:bCs/>
                <w:color w:val="FFFFFF" w:themeColor="background1"/>
                <w:sz w:val="22"/>
                <w:lang w:eastAsia="en-GB"/>
              </w:rPr>
            </w:pPr>
            <w:r w:rsidRPr="00F8728A">
              <w:rPr>
                <w:rFonts w:ascii="Calibri" w:hAnsi="Calibri" w:cs="Calibri"/>
                <w:b/>
                <w:bCs/>
                <w:color w:val="FFFFFF" w:themeColor="background1"/>
                <w:sz w:val="22"/>
                <w:lang w:eastAsia="en-GB"/>
              </w:rPr>
              <w:t>Климатични сценарии</w:t>
            </w:r>
          </w:p>
        </w:tc>
        <w:tc>
          <w:tcPr>
            <w:tcW w:w="1385" w:type="dxa"/>
            <w:shd w:val="clear" w:color="auto" w:fill="365F91"/>
            <w:vAlign w:val="center"/>
            <w:hideMark/>
          </w:tcPr>
          <w:p w:rsidR="00D11E4B" w:rsidRPr="00B73D7E" w:rsidRDefault="0043327C" w:rsidP="00C93A11">
            <w:pPr>
              <w:spacing w:before="40" w:after="40"/>
              <w:jc w:val="center"/>
              <w:rPr>
                <w:rFonts w:ascii="Calibri" w:hAnsi="Calibri" w:cs="Calibri"/>
                <w:b/>
                <w:bCs/>
                <w:color w:val="FFFFFF" w:themeColor="background1"/>
                <w:sz w:val="22"/>
                <w:lang w:eastAsia="en-GB"/>
              </w:rPr>
            </w:pPr>
            <w:r w:rsidRPr="00F8728A">
              <w:rPr>
                <w:rFonts w:ascii="Calibri" w:hAnsi="Calibri" w:cs="Calibri"/>
                <w:b/>
                <w:bCs/>
                <w:color w:val="FFFFFF" w:themeColor="background1"/>
                <w:sz w:val="22"/>
                <w:lang w:eastAsia="en-GB"/>
              </w:rPr>
              <w:t>ННС</w:t>
            </w:r>
          </w:p>
          <w:p w:rsidR="00D11E4B" w:rsidRPr="00B73D7E" w:rsidRDefault="00D11E4B" w:rsidP="0043327C">
            <w:pPr>
              <w:spacing w:before="40" w:after="40"/>
              <w:jc w:val="center"/>
              <w:rPr>
                <w:rFonts w:ascii="Calibri" w:hAnsi="Calibri" w:cs="Calibri"/>
                <w:b/>
                <w:bCs/>
                <w:color w:val="FFFFFF" w:themeColor="background1"/>
                <w:sz w:val="22"/>
                <w:lang w:eastAsia="en-GB"/>
              </w:rPr>
            </w:pPr>
            <w:r w:rsidRPr="00B73D7E">
              <w:rPr>
                <w:rFonts w:ascii="Calibri" w:hAnsi="Calibri" w:cs="Calibri"/>
                <w:b/>
                <w:color w:val="FFFFFF" w:themeColor="background1"/>
                <w:sz w:val="22"/>
              </w:rPr>
              <w:t>(</w:t>
            </w:r>
            <w:r w:rsidR="0043327C" w:rsidRPr="00F8728A">
              <w:rPr>
                <w:rFonts w:ascii="Calibri" w:hAnsi="Calibri" w:cs="Calibri"/>
                <w:b/>
                <w:color w:val="FFFFFF" w:themeColor="background1"/>
                <w:sz w:val="22"/>
              </w:rPr>
              <w:t>млн евро</w:t>
            </w:r>
            <w:r w:rsidRPr="00B73D7E">
              <w:rPr>
                <w:rFonts w:ascii="Calibri" w:hAnsi="Calibri" w:cs="Calibri"/>
                <w:b/>
                <w:bCs/>
                <w:color w:val="FFFFFF" w:themeColor="background1"/>
                <w:sz w:val="22"/>
                <w:lang w:eastAsia="en-GB"/>
              </w:rPr>
              <w:t>)</w:t>
            </w:r>
          </w:p>
        </w:tc>
        <w:tc>
          <w:tcPr>
            <w:tcW w:w="3321" w:type="dxa"/>
            <w:shd w:val="clear" w:color="auto" w:fill="365F91"/>
            <w:vAlign w:val="center"/>
            <w:hideMark/>
          </w:tcPr>
          <w:p w:rsidR="00D11E4B" w:rsidRPr="00B73D7E" w:rsidRDefault="0043327C" w:rsidP="0043327C">
            <w:pPr>
              <w:spacing w:before="40" w:after="40"/>
              <w:jc w:val="center"/>
              <w:rPr>
                <w:rFonts w:ascii="Calibri" w:hAnsi="Calibri" w:cs="Calibri"/>
                <w:b/>
                <w:bCs/>
                <w:color w:val="FFFFFF" w:themeColor="background1"/>
                <w:sz w:val="22"/>
                <w:lang w:eastAsia="en-GB"/>
              </w:rPr>
            </w:pPr>
            <w:r w:rsidRPr="00F8728A">
              <w:rPr>
                <w:rFonts w:ascii="Calibri" w:hAnsi="Calibri" w:cs="Calibri"/>
                <w:b/>
                <w:bCs/>
                <w:color w:val="FFFFFF" w:themeColor="background1"/>
                <w:sz w:val="22"/>
                <w:lang w:eastAsia="en-GB"/>
              </w:rPr>
              <w:t>Икономическа ефективност</w:t>
            </w:r>
            <w:r w:rsidR="00D11E4B" w:rsidRPr="00B73D7E">
              <w:rPr>
                <w:rFonts w:ascii="Calibri" w:hAnsi="Calibri" w:cs="Calibri"/>
                <w:b/>
                <w:bCs/>
                <w:color w:val="FFFFFF" w:themeColor="background1"/>
                <w:sz w:val="22"/>
                <w:lang w:eastAsia="en-GB"/>
              </w:rPr>
              <w:br/>
              <w:t>(</w:t>
            </w:r>
            <w:r w:rsidRPr="00F8728A">
              <w:rPr>
                <w:rFonts w:ascii="Calibri" w:hAnsi="Calibri" w:cs="Calibri"/>
                <w:b/>
                <w:bCs/>
                <w:color w:val="FFFFFF" w:themeColor="background1"/>
                <w:sz w:val="22"/>
                <w:lang w:eastAsia="en-GB"/>
              </w:rPr>
              <w:t>съотношение ползи</w:t>
            </w:r>
            <w:r w:rsidR="00D11E4B" w:rsidRPr="00B73D7E">
              <w:rPr>
                <w:rFonts w:ascii="Calibri" w:hAnsi="Calibri" w:cs="Calibri"/>
                <w:b/>
                <w:bCs/>
                <w:color w:val="FFFFFF" w:themeColor="background1"/>
                <w:sz w:val="22"/>
                <w:lang w:eastAsia="en-GB"/>
              </w:rPr>
              <w:t>/</w:t>
            </w:r>
            <w:r w:rsidRPr="00F8728A">
              <w:rPr>
                <w:rFonts w:ascii="Calibri" w:hAnsi="Calibri" w:cs="Calibri"/>
                <w:b/>
                <w:bCs/>
                <w:color w:val="FFFFFF" w:themeColor="background1"/>
                <w:sz w:val="22"/>
                <w:lang w:eastAsia="en-GB"/>
              </w:rPr>
              <w:t>разходи</w:t>
            </w:r>
            <w:r w:rsidR="00D11E4B" w:rsidRPr="00B73D7E">
              <w:rPr>
                <w:rFonts w:ascii="Calibri" w:hAnsi="Calibri" w:cs="Calibri"/>
                <w:b/>
                <w:bCs/>
                <w:color w:val="FFFFFF" w:themeColor="background1"/>
                <w:sz w:val="22"/>
                <w:lang w:eastAsia="en-GB"/>
              </w:rPr>
              <w:t>)</w:t>
            </w:r>
          </w:p>
        </w:tc>
      </w:tr>
      <w:tr w:rsidR="00D11E4B" w:rsidRPr="00F8728A" w:rsidTr="00485D6A">
        <w:trPr>
          <w:trHeight w:val="300"/>
          <w:jc w:val="center"/>
        </w:trPr>
        <w:tc>
          <w:tcPr>
            <w:tcW w:w="3119" w:type="dxa"/>
            <w:shd w:val="clear" w:color="auto" w:fill="B8CCE4"/>
            <w:hideMark/>
          </w:tcPr>
          <w:p w:rsidR="00D11E4B" w:rsidRPr="00B73D7E" w:rsidRDefault="0043327C" w:rsidP="00485D6A">
            <w:pPr>
              <w:spacing w:before="60" w:after="60"/>
              <w:jc w:val="both"/>
              <w:rPr>
                <w:rFonts w:ascii="Calibri" w:hAnsi="Calibri" w:cs="Calibri"/>
                <w:b/>
                <w:color w:val="000000"/>
                <w:sz w:val="22"/>
                <w:lang w:eastAsia="en-GB"/>
              </w:rPr>
            </w:pPr>
            <w:r w:rsidRPr="00F8728A">
              <w:rPr>
                <w:rFonts w:ascii="Calibri" w:hAnsi="Calibri" w:cs="Calibri"/>
                <w:b/>
                <w:color w:val="000000"/>
                <w:sz w:val="22"/>
                <w:lang w:eastAsia="en-GB"/>
              </w:rPr>
              <w:t>Реалистичен сценарий</w:t>
            </w:r>
            <w:r w:rsidR="00D11E4B" w:rsidRPr="00B73D7E">
              <w:rPr>
                <w:rFonts w:ascii="Calibri" w:hAnsi="Calibri" w:cs="Calibri"/>
                <w:b/>
                <w:color w:val="000000"/>
                <w:sz w:val="22"/>
                <w:lang w:eastAsia="en-GB"/>
              </w:rPr>
              <w:t xml:space="preserve"> +</w:t>
            </w:r>
            <w:r w:rsidR="00D11E4B" w:rsidRPr="00B73D7E">
              <w:rPr>
                <w:rFonts w:ascii="Calibri" w:hAnsi="Calibri" w:cs="Calibri"/>
                <w:b/>
                <w:color w:val="000000"/>
                <w:sz w:val="22"/>
                <w:u w:color="000000"/>
                <w:bdr w:val="nil"/>
                <w:lang w:eastAsia="en-GB"/>
              </w:rPr>
              <w:t>2°C</w:t>
            </w:r>
          </w:p>
        </w:tc>
        <w:tc>
          <w:tcPr>
            <w:tcW w:w="1385" w:type="dxa"/>
            <w:shd w:val="clear" w:color="auto" w:fill="auto"/>
            <w:hideMark/>
          </w:tcPr>
          <w:p w:rsidR="00D11E4B" w:rsidRPr="00B73D7E" w:rsidRDefault="00FC2D66" w:rsidP="00C93A11">
            <w:pPr>
              <w:spacing w:before="40" w:after="40"/>
              <w:jc w:val="right"/>
              <w:rPr>
                <w:rFonts w:ascii="Calibri" w:hAnsi="Calibri" w:cs="Calibri"/>
                <w:color w:val="000000"/>
                <w:sz w:val="22"/>
                <w:lang w:eastAsia="en-GB"/>
              </w:rPr>
            </w:pPr>
            <w:r w:rsidRPr="00B73D7E">
              <w:rPr>
                <w:rFonts w:ascii="Calibri" w:hAnsi="Calibri" w:cs="Calibri"/>
                <w:color w:val="000000"/>
                <w:sz w:val="22"/>
                <w:lang w:eastAsia="en-GB"/>
              </w:rPr>
              <w:t>8</w:t>
            </w:r>
            <w:r w:rsidRPr="00F8728A">
              <w:rPr>
                <w:rFonts w:ascii="Calibri" w:hAnsi="Calibri" w:cs="Calibri"/>
                <w:color w:val="000000"/>
                <w:sz w:val="22"/>
                <w:lang w:eastAsia="en-GB"/>
              </w:rPr>
              <w:t xml:space="preserve"> </w:t>
            </w:r>
            <w:r w:rsidR="00D11E4B" w:rsidRPr="00B73D7E">
              <w:rPr>
                <w:rFonts w:ascii="Calibri" w:hAnsi="Calibri" w:cs="Calibri"/>
                <w:color w:val="000000"/>
                <w:sz w:val="22"/>
                <w:lang w:eastAsia="en-GB"/>
              </w:rPr>
              <w:t>786</w:t>
            </w:r>
            <w:r w:rsidRPr="00B73D7E">
              <w:rPr>
                <w:rFonts w:ascii="Calibri" w:hAnsi="Calibri" w:cs="Calibri"/>
                <w:color w:val="000000"/>
                <w:sz w:val="22"/>
                <w:lang w:eastAsia="en-GB"/>
              </w:rPr>
              <w:t>,</w:t>
            </w:r>
            <w:r w:rsidR="00D11E4B" w:rsidRPr="00B73D7E">
              <w:rPr>
                <w:rFonts w:ascii="Calibri" w:hAnsi="Calibri" w:cs="Calibri"/>
                <w:color w:val="000000"/>
                <w:sz w:val="22"/>
                <w:lang w:eastAsia="en-GB"/>
              </w:rPr>
              <w:t>11</w:t>
            </w:r>
          </w:p>
        </w:tc>
        <w:tc>
          <w:tcPr>
            <w:tcW w:w="3321" w:type="dxa"/>
            <w:shd w:val="clear" w:color="auto" w:fill="auto"/>
            <w:hideMark/>
          </w:tcPr>
          <w:p w:rsidR="00D11E4B" w:rsidRPr="00B73D7E" w:rsidRDefault="00D11E4B" w:rsidP="00C93A11">
            <w:pPr>
              <w:spacing w:before="40" w:after="40"/>
              <w:jc w:val="right"/>
              <w:rPr>
                <w:rFonts w:ascii="Calibri" w:hAnsi="Calibri" w:cs="Calibri"/>
                <w:color w:val="000000"/>
                <w:sz w:val="22"/>
                <w:lang w:eastAsia="en-GB"/>
              </w:rPr>
            </w:pPr>
            <w:r w:rsidRPr="00B73D7E">
              <w:rPr>
                <w:rFonts w:ascii="Calibri" w:hAnsi="Calibri" w:cs="Calibri"/>
                <w:color w:val="000000"/>
                <w:sz w:val="22"/>
                <w:lang w:eastAsia="en-GB"/>
              </w:rPr>
              <w:t>1</w:t>
            </w:r>
            <w:r w:rsidR="00FC2D66" w:rsidRPr="00B73D7E">
              <w:rPr>
                <w:rFonts w:ascii="Calibri" w:hAnsi="Calibri" w:cs="Calibri"/>
                <w:color w:val="000000"/>
                <w:sz w:val="22"/>
                <w:lang w:eastAsia="en-GB"/>
              </w:rPr>
              <w:t>,</w:t>
            </w:r>
            <w:r w:rsidRPr="00B73D7E">
              <w:rPr>
                <w:rFonts w:ascii="Calibri" w:hAnsi="Calibri" w:cs="Calibri"/>
                <w:color w:val="000000"/>
                <w:sz w:val="22"/>
                <w:lang w:eastAsia="en-GB"/>
              </w:rPr>
              <w:t>57</w:t>
            </w:r>
          </w:p>
        </w:tc>
      </w:tr>
      <w:tr w:rsidR="00D11E4B" w:rsidRPr="00F8728A" w:rsidTr="00485D6A">
        <w:trPr>
          <w:trHeight w:val="300"/>
          <w:jc w:val="center"/>
        </w:trPr>
        <w:tc>
          <w:tcPr>
            <w:tcW w:w="3119" w:type="dxa"/>
            <w:shd w:val="clear" w:color="auto" w:fill="B8CCE4"/>
            <w:hideMark/>
          </w:tcPr>
          <w:p w:rsidR="00D11E4B" w:rsidRPr="00B73D7E" w:rsidRDefault="0043327C" w:rsidP="00485D6A">
            <w:pPr>
              <w:spacing w:before="60" w:after="60"/>
              <w:jc w:val="both"/>
              <w:rPr>
                <w:rFonts w:ascii="Calibri" w:hAnsi="Calibri" w:cs="Calibri"/>
                <w:b/>
                <w:color w:val="000000"/>
                <w:sz w:val="22"/>
                <w:lang w:eastAsia="en-GB"/>
              </w:rPr>
            </w:pPr>
            <w:r w:rsidRPr="00F8728A">
              <w:rPr>
                <w:rFonts w:ascii="Calibri" w:hAnsi="Calibri" w:cs="Calibri"/>
                <w:b/>
                <w:color w:val="000000"/>
                <w:sz w:val="22"/>
                <w:lang w:eastAsia="en-GB"/>
              </w:rPr>
              <w:t>Оптимистичен сценарий</w:t>
            </w:r>
            <w:r w:rsidR="00D11E4B" w:rsidRPr="00B73D7E">
              <w:rPr>
                <w:rFonts w:ascii="Calibri" w:hAnsi="Calibri" w:cs="Calibri"/>
                <w:b/>
                <w:color w:val="000000"/>
                <w:sz w:val="22"/>
                <w:lang w:eastAsia="en-GB"/>
              </w:rPr>
              <w:t xml:space="preserve"> +</w:t>
            </w:r>
            <w:r w:rsidR="00D11E4B" w:rsidRPr="00B73D7E">
              <w:rPr>
                <w:rFonts w:ascii="Calibri" w:hAnsi="Calibri" w:cs="Calibri"/>
                <w:b/>
                <w:color w:val="000000"/>
                <w:sz w:val="22"/>
                <w:u w:color="000000"/>
                <w:bdr w:val="nil"/>
                <w:lang w:eastAsia="en-GB"/>
              </w:rPr>
              <w:t>2°C</w:t>
            </w:r>
            <w:r w:rsidR="00D11E4B" w:rsidRPr="00B73D7E">
              <w:rPr>
                <w:rFonts w:ascii="Calibri" w:hAnsi="Calibri" w:cs="Calibri"/>
                <w:b/>
                <w:sz w:val="22"/>
              </w:rPr>
              <w:t xml:space="preserve"> </w:t>
            </w:r>
          </w:p>
        </w:tc>
        <w:tc>
          <w:tcPr>
            <w:tcW w:w="1385" w:type="dxa"/>
            <w:shd w:val="clear" w:color="auto" w:fill="auto"/>
            <w:hideMark/>
          </w:tcPr>
          <w:p w:rsidR="00D11E4B" w:rsidRPr="00B73D7E" w:rsidRDefault="00FC2D66" w:rsidP="00C93A11">
            <w:pPr>
              <w:spacing w:before="40" w:after="40"/>
              <w:jc w:val="right"/>
              <w:rPr>
                <w:rFonts w:ascii="Calibri" w:hAnsi="Calibri" w:cs="Calibri"/>
                <w:color w:val="000000"/>
                <w:sz w:val="22"/>
                <w:lang w:eastAsia="en-GB"/>
              </w:rPr>
            </w:pPr>
            <w:r w:rsidRPr="00B73D7E">
              <w:rPr>
                <w:rFonts w:ascii="Calibri" w:hAnsi="Calibri" w:cs="Calibri"/>
                <w:color w:val="000000"/>
                <w:sz w:val="22"/>
                <w:lang w:eastAsia="en-GB"/>
              </w:rPr>
              <w:t xml:space="preserve">13 </w:t>
            </w:r>
            <w:r w:rsidR="00D11E4B" w:rsidRPr="00B73D7E">
              <w:rPr>
                <w:rFonts w:ascii="Calibri" w:hAnsi="Calibri" w:cs="Calibri"/>
                <w:color w:val="000000"/>
                <w:sz w:val="22"/>
                <w:lang w:eastAsia="en-GB"/>
              </w:rPr>
              <w:t>285</w:t>
            </w:r>
            <w:r w:rsidRPr="00B73D7E">
              <w:rPr>
                <w:rFonts w:ascii="Calibri" w:hAnsi="Calibri" w:cs="Calibri"/>
                <w:color w:val="000000"/>
                <w:sz w:val="22"/>
                <w:lang w:eastAsia="en-GB"/>
              </w:rPr>
              <w:t>,</w:t>
            </w:r>
            <w:r w:rsidR="00D11E4B" w:rsidRPr="00B73D7E">
              <w:rPr>
                <w:rFonts w:ascii="Calibri" w:hAnsi="Calibri" w:cs="Calibri"/>
                <w:color w:val="000000"/>
                <w:sz w:val="22"/>
                <w:lang w:eastAsia="en-GB"/>
              </w:rPr>
              <w:t>08</w:t>
            </w:r>
          </w:p>
        </w:tc>
        <w:tc>
          <w:tcPr>
            <w:tcW w:w="3321" w:type="dxa"/>
            <w:shd w:val="clear" w:color="auto" w:fill="auto"/>
            <w:hideMark/>
          </w:tcPr>
          <w:p w:rsidR="00D11E4B" w:rsidRPr="00B73D7E" w:rsidRDefault="00D11E4B" w:rsidP="00C93A11">
            <w:pPr>
              <w:spacing w:before="40" w:after="40"/>
              <w:jc w:val="right"/>
              <w:rPr>
                <w:rFonts w:ascii="Calibri" w:hAnsi="Calibri" w:cs="Calibri"/>
                <w:color w:val="000000"/>
                <w:sz w:val="22"/>
                <w:lang w:eastAsia="en-GB"/>
              </w:rPr>
            </w:pPr>
            <w:r w:rsidRPr="00B73D7E">
              <w:rPr>
                <w:rFonts w:ascii="Calibri" w:hAnsi="Calibri" w:cs="Calibri"/>
                <w:color w:val="000000"/>
                <w:sz w:val="22"/>
                <w:lang w:eastAsia="en-GB"/>
              </w:rPr>
              <w:t>1</w:t>
            </w:r>
            <w:r w:rsidR="00FC2D66" w:rsidRPr="00B73D7E">
              <w:rPr>
                <w:rFonts w:ascii="Calibri" w:hAnsi="Calibri" w:cs="Calibri"/>
                <w:color w:val="000000"/>
                <w:sz w:val="22"/>
                <w:lang w:eastAsia="en-GB"/>
              </w:rPr>
              <w:t>,</w:t>
            </w:r>
            <w:r w:rsidRPr="00B73D7E">
              <w:rPr>
                <w:rFonts w:ascii="Calibri" w:hAnsi="Calibri" w:cs="Calibri"/>
                <w:color w:val="000000"/>
                <w:sz w:val="22"/>
                <w:lang w:eastAsia="en-GB"/>
              </w:rPr>
              <w:t>87</w:t>
            </w:r>
          </w:p>
        </w:tc>
      </w:tr>
      <w:tr w:rsidR="00D11E4B" w:rsidRPr="00F8728A" w:rsidTr="00485D6A">
        <w:trPr>
          <w:trHeight w:val="315"/>
          <w:jc w:val="center"/>
        </w:trPr>
        <w:tc>
          <w:tcPr>
            <w:tcW w:w="3119" w:type="dxa"/>
            <w:shd w:val="clear" w:color="auto" w:fill="B8CCE4"/>
            <w:hideMark/>
          </w:tcPr>
          <w:p w:rsidR="00D11E4B" w:rsidRPr="00B73D7E" w:rsidRDefault="0043327C" w:rsidP="00485D6A">
            <w:pPr>
              <w:spacing w:before="60" w:after="60"/>
              <w:jc w:val="both"/>
              <w:rPr>
                <w:rFonts w:ascii="Calibri" w:hAnsi="Calibri" w:cs="Calibri"/>
                <w:b/>
                <w:color w:val="000000"/>
                <w:sz w:val="22"/>
                <w:lang w:eastAsia="en-GB"/>
              </w:rPr>
            </w:pPr>
            <w:r w:rsidRPr="00F8728A">
              <w:rPr>
                <w:rFonts w:ascii="Calibri" w:hAnsi="Calibri" w:cs="Calibri"/>
                <w:b/>
                <w:color w:val="000000"/>
                <w:sz w:val="22"/>
                <w:lang w:eastAsia="en-GB"/>
              </w:rPr>
              <w:t>Песимистичен сценарий</w:t>
            </w:r>
            <w:r w:rsidR="00D11E4B" w:rsidRPr="00B73D7E">
              <w:rPr>
                <w:rFonts w:ascii="Calibri" w:hAnsi="Calibri" w:cs="Calibri"/>
                <w:b/>
                <w:color w:val="000000"/>
                <w:sz w:val="22"/>
                <w:lang w:eastAsia="en-GB"/>
              </w:rPr>
              <w:t xml:space="preserve"> </w:t>
            </w:r>
            <w:r w:rsidR="00D11E4B" w:rsidRPr="00B73D7E">
              <w:rPr>
                <w:rFonts w:ascii="Calibri" w:hAnsi="Calibri" w:cs="Calibri"/>
                <w:b/>
                <w:color w:val="000000"/>
                <w:sz w:val="22"/>
                <w:u w:color="000000"/>
                <w:bdr w:val="nil"/>
                <w:lang w:eastAsia="en-GB"/>
              </w:rPr>
              <w:t>2°C</w:t>
            </w:r>
          </w:p>
        </w:tc>
        <w:tc>
          <w:tcPr>
            <w:tcW w:w="1385" w:type="dxa"/>
            <w:shd w:val="clear" w:color="auto" w:fill="auto"/>
            <w:hideMark/>
          </w:tcPr>
          <w:p w:rsidR="00D11E4B" w:rsidRPr="00B73D7E" w:rsidRDefault="00FC2D66" w:rsidP="00C93A11">
            <w:pPr>
              <w:spacing w:before="40" w:after="40"/>
              <w:jc w:val="right"/>
              <w:rPr>
                <w:rFonts w:ascii="Calibri" w:hAnsi="Calibri" w:cs="Calibri"/>
                <w:color w:val="000000"/>
                <w:sz w:val="22"/>
                <w:lang w:eastAsia="en-GB"/>
              </w:rPr>
            </w:pPr>
            <w:r w:rsidRPr="00B73D7E">
              <w:rPr>
                <w:rFonts w:ascii="Calibri" w:hAnsi="Calibri" w:cs="Calibri"/>
                <w:color w:val="000000"/>
                <w:sz w:val="22"/>
                <w:lang w:eastAsia="en-GB"/>
              </w:rPr>
              <w:t xml:space="preserve">4 </w:t>
            </w:r>
            <w:r w:rsidR="00D11E4B" w:rsidRPr="00B73D7E">
              <w:rPr>
                <w:rFonts w:ascii="Calibri" w:hAnsi="Calibri" w:cs="Calibri"/>
                <w:color w:val="000000"/>
                <w:sz w:val="22"/>
                <w:lang w:eastAsia="en-GB"/>
              </w:rPr>
              <w:t>287</w:t>
            </w:r>
            <w:r w:rsidRPr="00B73D7E">
              <w:rPr>
                <w:rFonts w:ascii="Calibri" w:hAnsi="Calibri" w:cs="Calibri"/>
                <w:color w:val="000000"/>
                <w:sz w:val="22"/>
                <w:lang w:eastAsia="en-GB"/>
              </w:rPr>
              <w:t>,</w:t>
            </w:r>
            <w:r w:rsidR="00D11E4B" w:rsidRPr="00B73D7E">
              <w:rPr>
                <w:rFonts w:ascii="Calibri" w:hAnsi="Calibri" w:cs="Calibri"/>
                <w:color w:val="000000"/>
                <w:sz w:val="22"/>
                <w:lang w:eastAsia="en-GB"/>
              </w:rPr>
              <w:t>14</w:t>
            </w:r>
          </w:p>
        </w:tc>
        <w:tc>
          <w:tcPr>
            <w:tcW w:w="3321" w:type="dxa"/>
            <w:shd w:val="clear" w:color="auto" w:fill="auto"/>
            <w:hideMark/>
          </w:tcPr>
          <w:p w:rsidR="00D11E4B" w:rsidRPr="00B73D7E" w:rsidRDefault="00D11E4B" w:rsidP="00C93A11">
            <w:pPr>
              <w:spacing w:before="40" w:after="40"/>
              <w:jc w:val="right"/>
              <w:rPr>
                <w:rFonts w:ascii="Calibri" w:hAnsi="Calibri" w:cs="Calibri"/>
                <w:color w:val="000000"/>
                <w:sz w:val="22"/>
                <w:lang w:eastAsia="en-GB"/>
              </w:rPr>
            </w:pPr>
            <w:r w:rsidRPr="00B73D7E">
              <w:rPr>
                <w:rFonts w:ascii="Calibri" w:hAnsi="Calibri" w:cs="Calibri"/>
                <w:color w:val="000000"/>
                <w:sz w:val="22"/>
                <w:lang w:eastAsia="en-GB"/>
              </w:rPr>
              <w:t>1</w:t>
            </w:r>
            <w:r w:rsidR="00FC2D66" w:rsidRPr="00B73D7E">
              <w:rPr>
                <w:rFonts w:ascii="Calibri" w:hAnsi="Calibri" w:cs="Calibri"/>
                <w:color w:val="000000"/>
                <w:sz w:val="22"/>
                <w:lang w:eastAsia="en-GB"/>
              </w:rPr>
              <w:t>,</w:t>
            </w:r>
            <w:r w:rsidRPr="00B73D7E">
              <w:rPr>
                <w:rFonts w:ascii="Calibri" w:hAnsi="Calibri" w:cs="Calibri"/>
                <w:color w:val="000000"/>
                <w:sz w:val="22"/>
                <w:lang w:eastAsia="en-GB"/>
              </w:rPr>
              <w:t>28</w:t>
            </w:r>
          </w:p>
        </w:tc>
      </w:tr>
      <w:tr w:rsidR="00D11E4B" w:rsidRPr="00F8728A" w:rsidTr="00485D6A">
        <w:trPr>
          <w:trHeight w:val="300"/>
          <w:jc w:val="center"/>
        </w:trPr>
        <w:tc>
          <w:tcPr>
            <w:tcW w:w="3119" w:type="dxa"/>
            <w:shd w:val="clear" w:color="auto" w:fill="B8CCE4"/>
            <w:hideMark/>
          </w:tcPr>
          <w:p w:rsidR="00D11E4B" w:rsidRPr="00B73D7E" w:rsidRDefault="0043327C" w:rsidP="00485D6A">
            <w:pPr>
              <w:spacing w:before="60" w:after="60"/>
              <w:jc w:val="both"/>
              <w:rPr>
                <w:rFonts w:ascii="Calibri" w:hAnsi="Calibri" w:cs="Calibri"/>
                <w:b/>
                <w:color w:val="000000"/>
                <w:sz w:val="22"/>
                <w:lang w:eastAsia="en-GB"/>
              </w:rPr>
            </w:pPr>
            <w:r w:rsidRPr="00F8728A">
              <w:rPr>
                <w:rFonts w:ascii="Calibri" w:hAnsi="Calibri" w:cs="Calibri"/>
                <w:b/>
                <w:color w:val="000000"/>
                <w:sz w:val="22"/>
                <w:lang w:eastAsia="en-GB"/>
              </w:rPr>
              <w:t>Реалистичен сценарий</w:t>
            </w:r>
            <w:r w:rsidRPr="00B73D7E">
              <w:rPr>
                <w:rFonts w:ascii="Calibri" w:hAnsi="Calibri" w:cs="Calibri"/>
                <w:b/>
                <w:color w:val="000000"/>
                <w:sz w:val="22"/>
                <w:lang w:eastAsia="en-GB"/>
              </w:rPr>
              <w:t xml:space="preserve"> </w:t>
            </w:r>
            <w:r w:rsidR="00D11E4B" w:rsidRPr="00B73D7E">
              <w:rPr>
                <w:rFonts w:ascii="Calibri" w:eastAsia="Arial Unicode MS" w:hAnsi="Calibri" w:cs="Calibri"/>
                <w:b/>
                <w:sz w:val="22"/>
                <w:bdr w:val="nil"/>
              </w:rPr>
              <w:t>+4°C</w:t>
            </w:r>
          </w:p>
        </w:tc>
        <w:tc>
          <w:tcPr>
            <w:tcW w:w="1385" w:type="dxa"/>
            <w:shd w:val="clear" w:color="auto" w:fill="auto"/>
            <w:hideMark/>
          </w:tcPr>
          <w:p w:rsidR="00D11E4B" w:rsidRPr="00B73D7E" w:rsidRDefault="00FC2D66" w:rsidP="00C93A11">
            <w:pPr>
              <w:spacing w:before="40" w:after="40"/>
              <w:jc w:val="right"/>
              <w:rPr>
                <w:rFonts w:ascii="Calibri" w:hAnsi="Calibri" w:cs="Calibri"/>
                <w:color w:val="000000"/>
                <w:sz w:val="22"/>
                <w:lang w:eastAsia="en-GB"/>
              </w:rPr>
            </w:pPr>
            <w:r w:rsidRPr="00B73D7E">
              <w:rPr>
                <w:rFonts w:ascii="Calibri" w:hAnsi="Calibri" w:cs="Calibri"/>
                <w:color w:val="000000"/>
                <w:sz w:val="22"/>
                <w:lang w:eastAsia="en-GB"/>
              </w:rPr>
              <w:t xml:space="preserve">20 </w:t>
            </w:r>
            <w:r w:rsidR="00D11E4B" w:rsidRPr="00B73D7E">
              <w:rPr>
                <w:rFonts w:ascii="Calibri" w:hAnsi="Calibri" w:cs="Calibri"/>
                <w:color w:val="000000"/>
                <w:sz w:val="22"/>
                <w:lang w:eastAsia="en-GB"/>
              </w:rPr>
              <w:t>522</w:t>
            </w:r>
            <w:r w:rsidRPr="00B73D7E">
              <w:rPr>
                <w:rFonts w:ascii="Calibri" w:hAnsi="Calibri" w:cs="Calibri"/>
                <w:color w:val="000000"/>
                <w:sz w:val="22"/>
                <w:lang w:eastAsia="en-GB"/>
              </w:rPr>
              <w:t>,</w:t>
            </w:r>
            <w:r w:rsidR="00D11E4B" w:rsidRPr="00B73D7E">
              <w:rPr>
                <w:rFonts w:ascii="Calibri" w:hAnsi="Calibri" w:cs="Calibri"/>
                <w:color w:val="000000"/>
                <w:sz w:val="22"/>
                <w:lang w:eastAsia="en-GB"/>
              </w:rPr>
              <w:t>60</w:t>
            </w:r>
          </w:p>
        </w:tc>
        <w:tc>
          <w:tcPr>
            <w:tcW w:w="3321" w:type="dxa"/>
            <w:shd w:val="clear" w:color="auto" w:fill="auto"/>
            <w:hideMark/>
          </w:tcPr>
          <w:p w:rsidR="00D11E4B" w:rsidRPr="00B73D7E" w:rsidRDefault="00D11E4B" w:rsidP="00C93A11">
            <w:pPr>
              <w:spacing w:before="40" w:after="40"/>
              <w:jc w:val="right"/>
              <w:rPr>
                <w:rFonts w:ascii="Calibri" w:hAnsi="Calibri" w:cs="Calibri"/>
                <w:color w:val="000000"/>
                <w:sz w:val="22"/>
                <w:lang w:eastAsia="en-GB"/>
              </w:rPr>
            </w:pPr>
            <w:r w:rsidRPr="00B73D7E">
              <w:rPr>
                <w:rFonts w:ascii="Calibri" w:hAnsi="Calibri" w:cs="Calibri"/>
                <w:color w:val="000000"/>
                <w:sz w:val="22"/>
                <w:lang w:eastAsia="en-GB"/>
              </w:rPr>
              <w:t>2</w:t>
            </w:r>
            <w:r w:rsidR="00FC2D66" w:rsidRPr="00B73D7E">
              <w:rPr>
                <w:rFonts w:ascii="Calibri" w:hAnsi="Calibri" w:cs="Calibri"/>
                <w:color w:val="000000"/>
                <w:sz w:val="22"/>
                <w:lang w:eastAsia="en-GB"/>
              </w:rPr>
              <w:t>,</w:t>
            </w:r>
            <w:r w:rsidRPr="00B73D7E">
              <w:rPr>
                <w:rFonts w:ascii="Calibri" w:hAnsi="Calibri" w:cs="Calibri"/>
                <w:color w:val="000000"/>
                <w:sz w:val="22"/>
                <w:lang w:eastAsia="en-GB"/>
              </w:rPr>
              <w:t>34</w:t>
            </w:r>
          </w:p>
        </w:tc>
      </w:tr>
      <w:tr w:rsidR="00D11E4B" w:rsidRPr="00F8728A" w:rsidTr="00485D6A">
        <w:trPr>
          <w:trHeight w:val="300"/>
          <w:jc w:val="center"/>
        </w:trPr>
        <w:tc>
          <w:tcPr>
            <w:tcW w:w="3119" w:type="dxa"/>
            <w:shd w:val="clear" w:color="auto" w:fill="B8CCE4"/>
            <w:hideMark/>
          </w:tcPr>
          <w:p w:rsidR="00D11E4B" w:rsidRPr="00B73D7E" w:rsidRDefault="0043327C" w:rsidP="00485D6A">
            <w:pPr>
              <w:spacing w:before="60" w:after="60"/>
              <w:jc w:val="both"/>
              <w:rPr>
                <w:rFonts w:ascii="Calibri" w:hAnsi="Calibri" w:cs="Calibri"/>
                <w:b/>
                <w:color w:val="000000"/>
                <w:sz w:val="22"/>
                <w:lang w:eastAsia="en-GB"/>
              </w:rPr>
            </w:pPr>
            <w:r w:rsidRPr="00F8728A">
              <w:rPr>
                <w:rFonts w:ascii="Calibri" w:hAnsi="Calibri" w:cs="Calibri"/>
                <w:b/>
                <w:color w:val="000000"/>
                <w:sz w:val="22"/>
                <w:lang w:eastAsia="en-GB"/>
              </w:rPr>
              <w:t>Оптимистичен сценарий</w:t>
            </w:r>
            <w:r w:rsidRPr="00B73D7E">
              <w:rPr>
                <w:rFonts w:ascii="Calibri" w:hAnsi="Calibri" w:cs="Calibri"/>
                <w:b/>
                <w:color w:val="000000"/>
                <w:sz w:val="22"/>
                <w:lang w:eastAsia="en-GB"/>
              </w:rPr>
              <w:t xml:space="preserve"> </w:t>
            </w:r>
            <w:r w:rsidR="00D11E4B" w:rsidRPr="00B73D7E">
              <w:rPr>
                <w:rFonts w:ascii="Calibri" w:hAnsi="Calibri" w:cs="Calibri"/>
                <w:b/>
                <w:color w:val="000000"/>
                <w:sz w:val="22"/>
                <w:lang w:eastAsia="en-GB"/>
              </w:rPr>
              <w:t>+4°C</w:t>
            </w:r>
          </w:p>
        </w:tc>
        <w:tc>
          <w:tcPr>
            <w:tcW w:w="1385" w:type="dxa"/>
            <w:shd w:val="clear" w:color="auto" w:fill="auto"/>
            <w:hideMark/>
          </w:tcPr>
          <w:p w:rsidR="00D11E4B" w:rsidRPr="00B73D7E" w:rsidRDefault="00FC2D66" w:rsidP="00C93A11">
            <w:pPr>
              <w:spacing w:before="40" w:after="40"/>
              <w:jc w:val="right"/>
              <w:rPr>
                <w:rFonts w:ascii="Calibri" w:hAnsi="Calibri" w:cs="Calibri"/>
                <w:color w:val="000000"/>
                <w:sz w:val="22"/>
                <w:lang w:eastAsia="en-GB"/>
              </w:rPr>
            </w:pPr>
            <w:r w:rsidRPr="00B73D7E">
              <w:rPr>
                <w:rFonts w:ascii="Calibri" w:hAnsi="Calibri" w:cs="Calibri"/>
                <w:color w:val="000000"/>
                <w:sz w:val="22"/>
                <w:lang w:eastAsia="en-GB"/>
              </w:rPr>
              <w:t xml:space="preserve">29 </w:t>
            </w:r>
            <w:r w:rsidR="00D11E4B" w:rsidRPr="00B73D7E">
              <w:rPr>
                <w:rFonts w:ascii="Calibri" w:hAnsi="Calibri" w:cs="Calibri"/>
                <w:color w:val="000000"/>
                <w:sz w:val="22"/>
                <w:lang w:eastAsia="en-GB"/>
              </w:rPr>
              <w:t>741</w:t>
            </w:r>
            <w:r w:rsidRPr="00B73D7E">
              <w:rPr>
                <w:rFonts w:ascii="Calibri" w:hAnsi="Calibri" w:cs="Calibri"/>
                <w:color w:val="000000"/>
                <w:sz w:val="22"/>
                <w:lang w:eastAsia="en-GB"/>
              </w:rPr>
              <w:t>,</w:t>
            </w:r>
            <w:r w:rsidR="00D11E4B" w:rsidRPr="00B73D7E">
              <w:rPr>
                <w:rFonts w:ascii="Calibri" w:hAnsi="Calibri" w:cs="Calibri"/>
                <w:color w:val="000000"/>
                <w:sz w:val="22"/>
                <w:lang w:eastAsia="en-GB"/>
              </w:rPr>
              <w:t>08</w:t>
            </w:r>
          </w:p>
        </w:tc>
        <w:tc>
          <w:tcPr>
            <w:tcW w:w="3321" w:type="dxa"/>
            <w:shd w:val="clear" w:color="auto" w:fill="auto"/>
            <w:hideMark/>
          </w:tcPr>
          <w:p w:rsidR="00D11E4B" w:rsidRPr="00B73D7E" w:rsidRDefault="00D11E4B" w:rsidP="00C93A11">
            <w:pPr>
              <w:spacing w:before="40" w:after="40"/>
              <w:jc w:val="right"/>
              <w:rPr>
                <w:rFonts w:ascii="Calibri" w:hAnsi="Calibri" w:cs="Calibri"/>
                <w:color w:val="000000"/>
                <w:sz w:val="22"/>
                <w:lang w:eastAsia="en-GB"/>
              </w:rPr>
            </w:pPr>
            <w:r w:rsidRPr="00B73D7E">
              <w:rPr>
                <w:rFonts w:ascii="Calibri" w:hAnsi="Calibri" w:cs="Calibri"/>
                <w:color w:val="000000"/>
                <w:sz w:val="22"/>
                <w:lang w:eastAsia="en-GB"/>
              </w:rPr>
              <w:t>2</w:t>
            </w:r>
            <w:r w:rsidR="00FC2D66" w:rsidRPr="00B73D7E">
              <w:rPr>
                <w:rFonts w:ascii="Calibri" w:hAnsi="Calibri" w:cs="Calibri"/>
                <w:color w:val="000000"/>
                <w:sz w:val="22"/>
                <w:lang w:eastAsia="en-GB"/>
              </w:rPr>
              <w:t>,</w:t>
            </w:r>
            <w:r w:rsidRPr="00B73D7E">
              <w:rPr>
                <w:rFonts w:ascii="Calibri" w:hAnsi="Calibri" w:cs="Calibri"/>
                <w:color w:val="000000"/>
                <w:sz w:val="22"/>
                <w:lang w:eastAsia="en-GB"/>
              </w:rPr>
              <w:t>94</w:t>
            </w:r>
          </w:p>
        </w:tc>
      </w:tr>
      <w:tr w:rsidR="00D11E4B" w:rsidRPr="00F8728A" w:rsidTr="00485D6A">
        <w:trPr>
          <w:trHeight w:val="315"/>
          <w:jc w:val="center"/>
        </w:trPr>
        <w:tc>
          <w:tcPr>
            <w:tcW w:w="3119" w:type="dxa"/>
            <w:shd w:val="clear" w:color="auto" w:fill="B8CCE4"/>
            <w:hideMark/>
          </w:tcPr>
          <w:p w:rsidR="00D11E4B" w:rsidRPr="00B73D7E" w:rsidRDefault="0043327C" w:rsidP="00485D6A">
            <w:pPr>
              <w:spacing w:before="60" w:after="60"/>
              <w:jc w:val="both"/>
              <w:rPr>
                <w:rFonts w:ascii="Calibri" w:hAnsi="Calibri" w:cs="Calibri"/>
                <w:b/>
                <w:color w:val="000000"/>
                <w:sz w:val="22"/>
                <w:lang w:eastAsia="en-GB"/>
              </w:rPr>
            </w:pPr>
            <w:r w:rsidRPr="00F8728A">
              <w:rPr>
                <w:rFonts w:ascii="Calibri" w:hAnsi="Calibri" w:cs="Calibri"/>
                <w:b/>
                <w:color w:val="000000"/>
                <w:sz w:val="22"/>
                <w:lang w:eastAsia="en-GB"/>
              </w:rPr>
              <w:t>Песимистичен сценарий</w:t>
            </w:r>
            <w:r w:rsidRPr="00B73D7E">
              <w:rPr>
                <w:rFonts w:ascii="Calibri" w:hAnsi="Calibri" w:cs="Calibri"/>
                <w:b/>
                <w:color w:val="000000"/>
                <w:sz w:val="22"/>
                <w:lang w:eastAsia="en-GB"/>
              </w:rPr>
              <w:t xml:space="preserve"> </w:t>
            </w:r>
            <w:r w:rsidR="00D11E4B" w:rsidRPr="00B73D7E">
              <w:rPr>
                <w:rFonts w:ascii="Calibri" w:eastAsia="Arial Unicode MS" w:hAnsi="Calibri" w:cs="Calibri"/>
                <w:b/>
                <w:sz w:val="22"/>
                <w:bdr w:val="nil"/>
              </w:rPr>
              <w:t>+4°C</w:t>
            </w:r>
          </w:p>
        </w:tc>
        <w:tc>
          <w:tcPr>
            <w:tcW w:w="1385" w:type="dxa"/>
            <w:shd w:val="clear" w:color="auto" w:fill="auto"/>
            <w:hideMark/>
          </w:tcPr>
          <w:p w:rsidR="00D11E4B" w:rsidRPr="00B73D7E" w:rsidRDefault="00FC2D66" w:rsidP="00C93A11">
            <w:pPr>
              <w:spacing w:before="40" w:after="40"/>
              <w:jc w:val="right"/>
              <w:rPr>
                <w:rFonts w:ascii="Calibri" w:hAnsi="Calibri" w:cs="Calibri"/>
                <w:color w:val="000000"/>
                <w:sz w:val="22"/>
                <w:lang w:eastAsia="en-GB"/>
              </w:rPr>
            </w:pPr>
            <w:r w:rsidRPr="00B73D7E">
              <w:rPr>
                <w:rFonts w:ascii="Calibri" w:hAnsi="Calibri" w:cs="Calibri"/>
                <w:color w:val="000000"/>
                <w:sz w:val="22"/>
                <w:lang w:eastAsia="en-GB"/>
              </w:rPr>
              <w:t xml:space="preserve">11 </w:t>
            </w:r>
            <w:r w:rsidR="00D11E4B" w:rsidRPr="00B73D7E">
              <w:rPr>
                <w:rFonts w:ascii="Calibri" w:hAnsi="Calibri" w:cs="Calibri"/>
                <w:color w:val="000000"/>
                <w:sz w:val="22"/>
                <w:lang w:eastAsia="en-GB"/>
              </w:rPr>
              <w:t>304</w:t>
            </w:r>
            <w:r w:rsidRPr="00B73D7E">
              <w:rPr>
                <w:rFonts w:ascii="Calibri" w:hAnsi="Calibri" w:cs="Calibri"/>
                <w:color w:val="000000"/>
                <w:sz w:val="22"/>
                <w:lang w:eastAsia="en-GB"/>
              </w:rPr>
              <w:t>,</w:t>
            </w:r>
            <w:r w:rsidR="00D11E4B" w:rsidRPr="00B73D7E">
              <w:rPr>
                <w:rFonts w:ascii="Calibri" w:hAnsi="Calibri" w:cs="Calibri"/>
                <w:color w:val="000000"/>
                <w:sz w:val="22"/>
                <w:lang w:eastAsia="en-GB"/>
              </w:rPr>
              <w:t>11</w:t>
            </w:r>
          </w:p>
        </w:tc>
        <w:tc>
          <w:tcPr>
            <w:tcW w:w="3321" w:type="dxa"/>
            <w:shd w:val="clear" w:color="auto" w:fill="auto"/>
            <w:hideMark/>
          </w:tcPr>
          <w:p w:rsidR="00D11E4B" w:rsidRPr="00B73D7E" w:rsidRDefault="00D11E4B" w:rsidP="00C93A11">
            <w:pPr>
              <w:spacing w:before="40" w:after="40"/>
              <w:jc w:val="right"/>
              <w:rPr>
                <w:rFonts w:ascii="Calibri" w:hAnsi="Calibri" w:cs="Calibri"/>
                <w:color w:val="000000"/>
                <w:sz w:val="22"/>
                <w:lang w:eastAsia="en-GB"/>
              </w:rPr>
            </w:pPr>
            <w:r w:rsidRPr="00B73D7E">
              <w:rPr>
                <w:rFonts w:ascii="Calibri" w:hAnsi="Calibri" w:cs="Calibri"/>
                <w:color w:val="000000"/>
                <w:sz w:val="22"/>
                <w:lang w:eastAsia="en-GB"/>
              </w:rPr>
              <w:t>1</w:t>
            </w:r>
            <w:r w:rsidR="00FC2D66" w:rsidRPr="00B73D7E">
              <w:rPr>
                <w:rFonts w:ascii="Calibri" w:hAnsi="Calibri" w:cs="Calibri"/>
                <w:color w:val="000000"/>
                <w:sz w:val="22"/>
                <w:lang w:eastAsia="en-GB"/>
              </w:rPr>
              <w:t>,</w:t>
            </w:r>
            <w:r w:rsidRPr="00B73D7E">
              <w:rPr>
                <w:rFonts w:ascii="Calibri" w:hAnsi="Calibri" w:cs="Calibri"/>
                <w:color w:val="000000"/>
                <w:sz w:val="22"/>
                <w:lang w:eastAsia="en-GB"/>
              </w:rPr>
              <w:t>74</w:t>
            </w:r>
          </w:p>
        </w:tc>
      </w:tr>
    </w:tbl>
    <w:p w:rsidR="00D11E4B" w:rsidRPr="00B73D7E" w:rsidRDefault="0043327C" w:rsidP="00CF297A">
      <w:pPr>
        <w:pStyle w:val="BodyText"/>
        <w:numPr>
          <w:ilvl w:val="0"/>
          <w:numId w:val="41"/>
        </w:numPr>
        <w:spacing w:before="200"/>
        <w:ind w:left="0" w:firstLine="0"/>
        <w:rPr>
          <w:u w:color="000000"/>
          <w:bdr w:val="nil"/>
          <w:lang w:val="bg-BG"/>
        </w:rPr>
      </w:pPr>
      <w:bookmarkStart w:id="704" w:name="_Hlk517356641"/>
      <w:r w:rsidRPr="00B73D7E">
        <w:rPr>
          <w:u w:color="000000"/>
          <w:bdr w:val="nil"/>
          <w:lang w:val="bg-BG"/>
        </w:rPr>
        <w:t>Прогнозата показва, че средно</w:t>
      </w:r>
      <w:r w:rsidR="00183885" w:rsidRPr="00B73D7E">
        <w:rPr>
          <w:u w:color="000000"/>
          <w:bdr w:val="nil"/>
          <w:lang w:val="bg-BG"/>
        </w:rPr>
        <w:t>,</w:t>
      </w:r>
      <w:r w:rsidRPr="00B73D7E">
        <w:rPr>
          <w:u w:color="000000"/>
          <w:bdr w:val="nil"/>
          <w:lang w:val="bg-BG"/>
        </w:rPr>
        <w:t xml:space="preserve"> при реалистичния сценарий +2°C паричн</w:t>
      </w:r>
      <w:r w:rsidR="00183885" w:rsidRPr="00B73D7E">
        <w:rPr>
          <w:u w:color="000000"/>
          <w:bdr w:val="nil"/>
          <w:lang w:val="bg-BG"/>
        </w:rPr>
        <w:t>ият</w:t>
      </w:r>
      <w:r w:rsidRPr="00B73D7E">
        <w:rPr>
          <w:u w:color="000000"/>
          <w:bdr w:val="nil"/>
          <w:lang w:val="bg-BG"/>
        </w:rPr>
        <w:t xml:space="preserve"> поток в ННС е 8</w:t>
      </w:r>
      <w:r w:rsidR="00FC2D66" w:rsidRPr="00F8728A">
        <w:rPr>
          <w:u w:color="000000"/>
          <w:bdr w:val="nil"/>
          <w:lang w:val="bg-BG"/>
        </w:rPr>
        <w:t>,</w:t>
      </w:r>
      <w:r w:rsidRPr="00B73D7E">
        <w:rPr>
          <w:u w:color="000000"/>
          <w:bdr w:val="nil"/>
          <w:lang w:val="bg-BG"/>
        </w:rPr>
        <w:t xml:space="preserve">7 милиарда евро, а при реалистичния сценарий +4°С </w:t>
      </w:r>
      <w:r w:rsidR="00183885" w:rsidRPr="00B73D7E">
        <w:rPr>
          <w:u w:color="000000"/>
          <w:bdr w:val="nil"/>
          <w:lang w:val="bg-BG"/>
        </w:rPr>
        <w:t xml:space="preserve">е </w:t>
      </w:r>
      <w:r w:rsidRPr="00B73D7E">
        <w:rPr>
          <w:u w:color="000000"/>
          <w:bdr w:val="nil"/>
          <w:lang w:val="bg-BG"/>
        </w:rPr>
        <w:t>20</w:t>
      </w:r>
      <w:r w:rsidR="00FC2D66" w:rsidRPr="00F8728A">
        <w:rPr>
          <w:u w:color="000000"/>
          <w:bdr w:val="nil"/>
          <w:lang w:val="bg-BG"/>
        </w:rPr>
        <w:t>,</w:t>
      </w:r>
      <w:r w:rsidRPr="00B73D7E">
        <w:rPr>
          <w:u w:color="000000"/>
          <w:bdr w:val="nil"/>
          <w:lang w:val="bg-BG"/>
        </w:rPr>
        <w:t>5 милиарда евро. При оптимистичния сценарий прогн</w:t>
      </w:r>
      <w:r w:rsidR="00183885" w:rsidRPr="00B73D7E">
        <w:rPr>
          <w:u w:color="000000"/>
          <w:bdr w:val="nil"/>
          <w:lang w:val="bg-BG"/>
        </w:rPr>
        <w:t>озният паричен поток в ННС е 13</w:t>
      </w:r>
      <w:r w:rsidR="00FC2D66" w:rsidRPr="00F8728A">
        <w:rPr>
          <w:u w:color="000000"/>
          <w:bdr w:val="nil"/>
          <w:lang w:val="bg-BG"/>
        </w:rPr>
        <w:t>,</w:t>
      </w:r>
      <w:r w:rsidRPr="00B73D7E">
        <w:rPr>
          <w:u w:color="000000"/>
          <w:bdr w:val="nil"/>
          <w:lang w:val="bg-BG"/>
        </w:rPr>
        <w:t xml:space="preserve">2 млрд. </w:t>
      </w:r>
      <w:r w:rsidR="00FC2D66" w:rsidRPr="00F8728A">
        <w:rPr>
          <w:u w:color="000000"/>
          <w:bdr w:val="nil"/>
          <w:lang w:val="bg-BG"/>
        </w:rPr>
        <w:t>е</w:t>
      </w:r>
      <w:r w:rsidRPr="00B73D7E">
        <w:rPr>
          <w:u w:color="000000"/>
          <w:bdr w:val="nil"/>
          <w:lang w:val="bg-BG"/>
        </w:rPr>
        <w:t>вро при сценари</w:t>
      </w:r>
      <w:r w:rsidR="00183885" w:rsidRPr="00B73D7E">
        <w:rPr>
          <w:u w:color="000000"/>
          <w:bdr w:val="nil"/>
          <w:lang w:val="bg-BG"/>
        </w:rPr>
        <w:t>й</w:t>
      </w:r>
      <w:r w:rsidRPr="00B73D7E">
        <w:rPr>
          <w:u w:color="000000"/>
          <w:bdr w:val="nil"/>
          <w:lang w:val="bg-BG"/>
        </w:rPr>
        <w:t xml:space="preserve"> +2°</w:t>
      </w:r>
      <w:r w:rsidR="00183885" w:rsidRPr="00B73D7E">
        <w:rPr>
          <w:u w:color="000000"/>
          <w:bdr w:val="nil"/>
          <w:lang w:val="bg-BG"/>
        </w:rPr>
        <w:t>C и 29</w:t>
      </w:r>
      <w:r w:rsidR="00FC2D66" w:rsidRPr="00F8728A">
        <w:rPr>
          <w:u w:color="000000"/>
          <w:bdr w:val="nil"/>
          <w:lang w:val="bg-BG"/>
        </w:rPr>
        <w:t>,</w:t>
      </w:r>
      <w:r w:rsidRPr="00B73D7E">
        <w:rPr>
          <w:u w:color="000000"/>
          <w:bdr w:val="nil"/>
          <w:lang w:val="bg-BG"/>
        </w:rPr>
        <w:t xml:space="preserve">7 млрд. </w:t>
      </w:r>
      <w:r w:rsidR="00FC2D66" w:rsidRPr="00F8728A">
        <w:rPr>
          <w:u w:color="000000"/>
          <w:bdr w:val="nil"/>
          <w:lang w:val="bg-BG"/>
        </w:rPr>
        <w:t>е</w:t>
      </w:r>
      <w:r w:rsidRPr="00B73D7E">
        <w:rPr>
          <w:u w:color="000000"/>
          <w:bdr w:val="nil"/>
          <w:lang w:val="bg-BG"/>
        </w:rPr>
        <w:t>вро - при сценари</w:t>
      </w:r>
      <w:r w:rsidR="00183885" w:rsidRPr="00B73D7E">
        <w:rPr>
          <w:u w:color="000000"/>
          <w:bdr w:val="nil"/>
          <w:lang w:val="bg-BG"/>
        </w:rPr>
        <w:t>й</w:t>
      </w:r>
      <w:r w:rsidRPr="00B73D7E">
        <w:rPr>
          <w:u w:color="000000"/>
          <w:bdr w:val="nil"/>
          <w:lang w:val="bg-BG"/>
        </w:rPr>
        <w:t xml:space="preserve"> +4°C. Дори при песимистичния сценарий</w:t>
      </w:r>
      <w:r w:rsidR="00183885" w:rsidRPr="00B73D7E">
        <w:rPr>
          <w:u w:color="000000"/>
          <w:bdr w:val="nil"/>
          <w:lang w:val="bg-BG"/>
        </w:rPr>
        <w:t>,</w:t>
      </w:r>
      <w:r w:rsidRPr="00B73D7E">
        <w:rPr>
          <w:u w:color="000000"/>
          <w:bdr w:val="nil"/>
          <w:lang w:val="bg-BG"/>
        </w:rPr>
        <w:t xml:space="preserve"> бъдещият паричен поток в Н</w:t>
      </w:r>
      <w:r w:rsidR="00183885" w:rsidRPr="00B73D7E">
        <w:rPr>
          <w:u w:color="000000"/>
          <w:bdr w:val="nil"/>
          <w:lang w:val="bg-BG"/>
        </w:rPr>
        <w:t>НС се очаква да възлезе на 4</w:t>
      </w:r>
      <w:r w:rsidR="00FC2D66" w:rsidRPr="00F8728A">
        <w:rPr>
          <w:u w:color="000000"/>
          <w:bdr w:val="nil"/>
          <w:lang w:val="bg-BG"/>
        </w:rPr>
        <w:t>,</w:t>
      </w:r>
      <w:r w:rsidR="00183885" w:rsidRPr="00B73D7E">
        <w:rPr>
          <w:u w:color="000000"/>
          <w:bdr w:val="nil"/>
          <w:lang w:val="bg-BG"/>
        </w:rPr>
        <w:t xml:space="preserve">2 млрд. </w:t>
      </w:r>
      <w:r w:rsidR="00FC2D66" w:rsidRPr="00F8728A">
        <w:rPr>
          <w:u w:color="000000"/>
          <w:bdr w:val="nil"/>
          <w:lang w:val="bg-BG"/>
        </w:rPr>
        <w:t>е</w:t>
      </w:r>
      <w:r w:rsidR="00183885" w:rsidRPr="00B73D7E">
        <w:rPr>
          <w:u w:color="000000"/>
          <w:bdr w:val="nil"/>
          <w:lang w:val="bg-BG"/>
        </w:rPr>
        <w:t>вро при +</w:t>
      </w:r>
      <w:r w:rsidRPr="00B73D7E">
        <w:rPr>
          <w:u w:color="000000"/>
          <w:bdr w:val="nil"/>
          <w:lang w:val="bg-BG"/>
        </w:rPr>
        <w:t>2°C и 11</w:t>
      </w:r>
      <w:r w:rsidR="00FC2D66" w:rsidRPr="00F8728A">
        <w:rPr>
          <w:u w:color="000000"/>
          <w:bdr w:val="nil"/>
          <w:lang w:val="bg-BG"/>
        </w:rPr>
        <w:t>,</w:t>
      </w:r>
      <w:r w:rsidRPr="00B73D7E">
        <w:rPr>
          <w:u w:color="000000"/>
          <w:bdr w:val="nil"/>
          <w:lang w:val="bg-BG"/>
        </w:rPr>
        <w:t xml:space="preserve">3 млрд. </w:t>
      </w:r>
      <w:r w:rsidR="00FC2D66" w:rsidRPr="00F8728A">
        <w:rPr>
          <w:u w:color="000000"/>
          <w:bdr w:val="nil"/>
          <w:lang w:val="bg-BG"/>
        </w:rPr>
        <w:t>е</w:t>
      </w:r>
      <w:r w:rsidRPr="00B73D7E">
        <w:rPr>
          <w:u w:color="000000"/>
          <w:bdr w:val="nil"/>
          <w:lang w:val="bg-BG"/>
        </w:rPr>
        <w:t>вро при +4°C.</w:t>
      </w:r>
    </w:p>
    <w:p w:rsidR="00D11E4B" w:rsidRPr="00B73D7E" w:rsidRDefault="0043327C" w:rsidP="00CF297A">
      <w:pPr>
        <w:pStyle w:val="BodyText"/>
        <w:numPr>
          <w:ilvl w:val="0"/>
          <w:numId w:val="41"/>
        </w:numPr>
        <w:ind w:left="0" w:firstLine="0"/>
        <w:rPr>
          <w:rFonts w:eastAsia="Times New Roman"/>
          <w:u w:color="000000"/>
          <w:bdr w:val="nil"/>
          <w:lang w:val="bg-BG"/>
        </w:rPr>
      </w:pPr>
      <w:bookmarkStart w:id="705" w:name="_Hlk517266994"/>
      <w:bookmarkStart w:id="706" w:name="_Hlk517277262"/>
      <w:bookmarkEnd w:id="704"/>
      <w:r w:rsidRPr="00B73D7E">
        <w:rPr>
          <w:u w:color="000000"/>
          <w:bdr w:val="nil"/>
          <w:lang w:val="bg-BG"/>
        </w:rPr>
        <w:t xml:space="preserve">В рамките на настоящия анализ, </w:t>
      </w:r>
      <w:r w:rsidR="00183885" w:rsidRPr="00B73D7E">
        <w:rPr>
          <w:u w:color="000000"/>
          <w:bdr w:val="nil"/>
          <w:lang w:val="bg-BG"/>
        </w:rPr>
        <w:t xml:space="preserve">икономическата </w:t>
      </w:r>
      <w:r w:rsidRPr="00B73D7E">
        <w:rPr>
          <w:u w:color="000000"/>
          <w:bdr w:val="nil"/>
          <w:lang w:val="bg-BG"/>
        </w:rPr>
        <w:t xml:space="preserve">ефективност на мерките за адаптиране се използва за количествено определяне на ефекта от инвестициите при всеки </w:t>
      </w:r>
      <w:r w:rsidRPr="00B73D7E">
        <w:rPr>
          <w:lang w:val="bg-BG"/>
        </w:rPr>
        <w:t>сценарий</w:t>
      </w:r>
      <w:r w:rsidRPr="00B73D7E">
        <w:rPr>
          <w:u w:color="000000"/>
          <w:bdr w:val="nil"/>
          <w:lang w:val="bg-BG"/>
        </w:rPr>
        <w:t>. При реалистичния сценарий +2°C съотношението полз</w:t>
      </w:r>
      <w:r w:rsidR="00183885" w:rsidRPr="00B73D7E">
        <w:rPr>
          <w:u w:color="000000"/>
          <w:bdr w:val="nil"/>
          <w:lang w:val="bg-BG"/>
        </w:rPr>
        <w:t>и</w:t>
      </w:r>
      <w:r w:rsidRPr="00B73D7E">
        <w:rPr>
          <w:u w:color="000000"/>
          <w:bdr w:val="nil"/>
          <w:lang w:val="bg-BG"/>
        </w:rPr>
        <w:t>/</w:t>
      </w:r>
      <w:r w:rsidR="00183885" w:rsidRPr="00B73D7E">
        <w:rPr>
          <w:u w:color="000000"/>
          <w:bdr w:val="nil"/>
          <w:lang w:val="bg-BG"/>
        </w:rPr>
        <w:t>разходи е 1</w:t>
      </w:r>
      <w:r w:rsidR="00FC2D66" w:rsidRPr="00F8728A">
        <w:rPr>
          <w:u w:color="000000"/>
          <w:bdr w:val="nil"/>
          <w:lang w:val="bg-BG"/>
        </w:rPr>
        <w:t>,</w:t>
      </w:r>
      <w:r w:rsidR="00FC2D66" w:rsidRPr="00B73D7E">
        <w:rPr>
          <w:u w:color="000000"/>
          <w:bdr w:val="nil"/>
          <w:lang w:val="bg-BG"/>
        </w:rPr>
        <w:t>57 евро</w:t>
      </w:r>
      <w:r w:rsidRPr="00B73D7E">
        <w:rPr>
          <w:u w:color="000000"/>
          <w:bdr w:val="nil"/>
          <w:lang w:val="bg-BG"/>
        </w:rPr>
        <w:t xml:space="preserve"> (т.е. ползите, постигнати за </w:t>
      </w:r>
      <w:r w:rsidR="00FC2D66" w:rsidRPr="00F8728A">
        <w:rPr>
          <w:u w:color="000000"/>
          <w:bdr w:val="nil"/>
          <w:lang w:val="bg-BG"/>
        </w:rPr>
        <w:t xml:space="preserve">всяко </w:t>
      </w:r>
      <w:r w:rsidRPr="00B73D7E">
        <w:rPr>
          <w:u w:color="000000"/>
          <w:bdr w:val="nil"/>
          <w:lang w:val="bg-BG"/>
        </w:rPr>
        <w:t>изразходвано евро) и 2</w:t>
      </w:r>
      <w:r w:rsidR="00FC2D66" w:rsidRPr="00B73D7E">
        <w:rPr>
          <w:u w:color="000000"/>
          <w:bdr w:val="nil"/>
          <w:lang w:val="bg-BG"/>
        </w:rPr>
        <w:t>,</w:t>
      </w:r>
      <w:r w:rsidRPr="00B73D7E">
        <w:rPr>
          <w:u w:color="000000"/>
          <w:bdr w:val="nil"/>
          <w:lang w:val="bg-BG"/>
        </w:rPr>
        <w:t xml:space="preserve">34 </w:t>
      </w:r>
      <w:r w:rsidR="00FC2D66" w:rsidRPr="00F8728A">
        <w:rPr>
          <w:u w:color="000000"/>
          <w:bdr w:val="nil"/>
          <w:lang w:val="bg-BG"/>
        </w:rPr>
        <w:t>евро</w:t>
      </w:r>
      <w:r w:rsidRPr="00B73D7E">
        <w:rPr>
          <w:u w:color="000000"/>
          <w:bdr w:val="nil"/>
          <w:lang w:val="bg-BG"/>
        </w:rPr>
        <w:t xml:space="preserve"> при реалистичния сценарий +4°C. Полз</w:t>
      </w:r>
      <w:r w:rsidR="00183885" w:rsidRPr="00B73D7E">
        <w:rPr>
          <w:u w:color="000000"/>
          <w:bdr w:val="nil"/>
          <w:lang w:val="bg-BG"/>
        </w:rPr>
        <w:t xml:space="preserve">ите са </w:t>
      </w:r>
      <w:r w:rsidRPr="00B73D7E">
        <w:rPr>
          <w:u w:color="000000"/>
          <w:bdr w:val="nil"/>
          <w:lang w:val="bg-BG"/>
        </w:rPr>
        <w:t>по-висок</w:t>
      </w:r>
      <w:r w:rsidR="00183885" w:rsidRPr="00B73D7E">
        <w:rPr>
          <w:u w:color="000000"/>
          <w:bdr w:val="nil"/>
          <w:lang w:val="bg-BG"/>
        </w:rPr>
        <w:t>и</w:t>
      </w:r>
      <w:r w:rsidRPr="00B73D7E">
        <w:rPr>
          <w:u w:color="000000"/>
          <w:bdr w:val="nil"/>
          <w:lang w:val="bg-BG"/>
        </w:rPr>
        <w:t xml:space="preserve"> при повишаване на температурата с +4°</w:t>
      </w:r>
      <w:r w:rsidR="00183885" w:rsidRPr="00B73D7E">
        <w:rPr>
          <w:u w:color="000000"/>
          <w:bdr w:val="nil"/>
          <w:lang w:val="bg-BG"/>
        </w:rPr>
        <w:t>C. В този случай ползата е 2</w:t>
      </w:r>
      <w:r w:rsidR="00FC2D66" w:rsidRPr="00F8728A">
        <w:rPr>
          <w:u w:color="000000"/>
          <w:bdr w:val="nil"/>
          <w:lang w:val="bg-BG"/>
        </w:rPr>
        <w:t>,</w:t>
      </w:r>
      <w:r w:rsidRPr="00B73D7E">
        <w:rPr>
          <w:u w:color="000000"/>
          <w:bdr w:val="nil"/>
          <w:lang w:val="bg-BG"/>
        </w:rPr>
        <w:t xml:space="preserve">94 </w:t>
      </w:r>
      <w:r w:rsidR="00FC2D66" w:rsidRPr="00F8728A">
        <w:rPr>
          <w:u w:color="000000"/>
          <w:bdr w:val="nil"/>
          <w:lang w:val="bg-BG"/>
        </w:rPr>
        <w:t xml:space="preserve">евро </w:t>
      </w:r>
      <w:r w:rsidRPr="00B73D7E">
        <w:rPr>
          <w:u w:color="000000"/>
          <w:bdr w:val="nil"/>
          <w:lang w:val="bg-BG"/>
        </w:rPr>
        <w:t xml:space="preserve">за </w:t>
      </w:r>
      <w:r w:rsidR="00FC2D66" w:rsidRPr="00F8728A">
        <w:rPr>
          <w:u w:color="000000"/>
          <w:bdr w:val="nil"/>
          <w:lang w:val="bg-BG"/>
        </w:rPr>
        <w:t>всяко</w:t>
      </w:r>
      <w:r w:rsidRPr="00B73D7E">
        <w:rPr>
          <w:u w:color="000000"/>
          <w:bdr w:val="nil"/>
          <w:lang w:val="bg-BG"/>
        </w:rPr>
        <w:t xml:space="preserve"> евро инвестиция п</w:t>
      </w:r>
      <w:r w:rsidR="00183885" w:rsidRPr="00B73D7E">
        <w:rPr>
          <w:u w:color="000000"/>
          <w:bdr w:val="nil"/>
          <w:lang w:val="bg-BG"/>
        </w:rPr>
        <w:t>ри оптимистичния сценарий и 1</w:t>
      </w:r>
      <w:r w:rsidR="00FC2D66" w:rsidRPr="00F8728A">
        <w:rPr>
          <w:u w:color="000000"/>
          <w:bdr w:val="nil"/>
          <w:lang w:val="bg-BG"/>
        </w:rPr>
        <w:t>,</w:t>
      </w:r>
      <w:r w:rsidRPr="00B73D7E">
        <w:rPr>
          <w:u w:color="000000"/>
          <w:bdr w:val="nil"/>
          <w:lang w:val="bg-BG"/>
        </w:rPr>
        <w:t xml:space="preserve">74 </w:t>
      </w:r>
      <w:r w:rsidR="00FC2D66" w:rsidRPr="00F8728A">
        <w:rPr>
          <w:u w:color="000000"/>
          <w:bdr w:val="nil"/>
          <w:lang w:val="bg-BG"/>
        </w:rPr>
        <w:t xml:space="preserve">евро </w:t>
      </w:r>
      <w:r w:rsidRPr="00B73D7E">
        <w:rPr>
          <w:u w:color="000000"/>
          <w:bdr w:val="nil"/>
          <w:lang w:val="bg-BG"/>
        </w:rPr>
        <w:t xml:space="preserve">за </w:t>
      </w:r>
      <w:r w:rsidR="00FC2D66" w:rsidRPr="00F8728A">
        <w:rPr>
          <w:u w:color="000000"/>
          <w:bdr w:val="nil"/>
          <w:lang w:val="bg-BG"/>
        </w:rPr>
        <w:t>всяко</w:t>
      </w:r>
      <w:r w:rsidRPr="00B73D7E">
        <w:rPr>
          <w:u w:color="000000"/>
          <w:bdr w:val="nil"/>
          <w:lang w:val="bg-BG"/>
        </w:rPr>
        <w:t xml:space="preserve"> евро инвестиция при песимистичния сценарий</w:t>
      </w:r>
      <w:bookmarkEnd w:id="705"/>
      <w:bookmarkEnd w:id="706"/>
      <w:r w:rsidR="00183885" w:rsidRPr="00B73D7E">
        <w:rPr>
          <w:u w:color="000000"/>
          <w:bdr w:val="nil"/>
          <w:lang w:val="bg-BG"/>
        </w:rPr>
        <w:t>.</w:t>
      </w:r>
    </w:p>
    <w:p w:rsidR="00AA4661" w:rsidRPr="00B73D7E" w:rsidRDefault="00AA4661" w:rsidP="001451FC">
      <w:pPr>
        <w:pStyle w:val="Heading3"/>
        <w:spacing w:before="160" w:line="276" w:lineRule="auto"/>
        <w:rPr>
          <w:lang w:val="bg-BG"/>
        </w:rPr>
      </w:pPr>
      <w:bookmarkStart w:id="707" w:name="_Toc486513838"/>
      <w:bookmarkStart w:id="708" w:name="_Toc486942216"/>
      <w:bookmarkStart w:id="709" w:name="_Toc501454893"/>
      <w:bookmarkStart w:id="710" w:name="_Toc522030596"/>
      <w:bookmarkStart w:id="711" w:name="_Toc529285581"/>
      <w:r w:rsidRPr="00B73D7E">
        <w:rPr>
          <w:lang w:val="bg-BG"/>
        </w:rPr>
        <w:t>Индикатори, специфични за градската среда</w:t>
      </w:r>
      <w:bookmarkEnd w:id="707"/>
      <w:bookmarkEnd w:id="708"/>
      <w:bookmarkEnd w:id="709"/>
      <w:bookmarkEnd w:id="710"/>
      <w:bookmarkEnd w:id="711"/>
      <w:r w:rsidRPr="00B73D7E">
        <w:rPr>
          <w:lang w:val="bg-BG"/>
        </w:rPr>
        <w:t xml:space="preserve"> </w:t>
      </w:r>
    </w:p>
    <w:p w:rsidR="00AA4661" w:rsidRPr="00B73D7E" w:rsidRDefault="00AA4661" w:rsidP="00CF297A">
      <w:pPr>
        <w:pStyle w:val="BodyText"/>
        <w:numPr>
          <w:ilvl w:val="0"/>
          <w:numId w:val="41"/>
        </w:numPr>
        <w:ind w:left="0" w:firstLine="0"/>
        <w:rPr>
          <w:lang w:val="bg-BG"/>
        </w:rPr>
      </w:pPr>
      <w:r w:rsidRPr="00B73D7E">
        <w:rPr>
          <w:lang w:val="bg-BG"/>
        </w:rPr>
        <w:t>Индикаторите за оценка на вариантите за адаптация трябва да отговарят на базисни изисквания, като същевременно отчитат използваните ресурси, очакваните или постигнати резултати и намалените въздействия на изменението на климата. Същевременно трябва да бъдат ясно формулирани, приложими и подкрепени с необходимите данни. За да са приложими към процеса на АИК в градската среда, те трябва да обхващат застроената среда на градовете с главните сгради и съоръжения, открити пространства и население. Рискът от климатичните промени и техните последствия за градската среда е сложен проблем с пространствени измерения и зависи от специфичните локални характеристики, градската структура и мрежа, параметрите на сградите и мащабите на развитие.</w:t>
      </w:r>
    </w:p>
    <w:p w:rsidR="00AA4661" w:rsidRPr="00B73D7E" w:rsidRDefault="00AA4661" w:rsidP="00CF297A">
      <w:pPr>
        <w:pStyle w:val="BodyText"/>
        <w:numPr>
          <w:ilvl w:val="0"/>
          <w:numId w:val="41"/>
        </w:numPr>
        <w:ind w:left="0" w:firstLine="0"/>
        <w:rPr>
          <w:lang w:val="bg-BG"/>
        </w:rPr>
      </w:pPr>
      <w:r w:rsidRPr="00B73D7E">
        <w:rPr>
          <w:lang w:val="bg-BG"/>
        </w:rPr>
        <w:t>За оценката специално на въздействията на климатичните промени и на адаптацията към тях, е възприет подход за избор на индикатори, ориентиран към главните нива и обхвата на пространственото/градското планиране в България. Той отчита спецификите на различните мащаби на планиране и  строителство, за да се даде оценка на очакваните промени, които би трябвало да намалят обхвата на площите и населението, изложени на риск от климатичните промени. Такъв подход е приложен в съществуващи стратегии и планове за адаптация на градовете, но в повечето случаи той засяга частично елементи на градската територия, отнасящи се до зелените площи и енергийната ефективност (Downes и колектив, 2011 г.).</w:t>
      </w:r>
    </w:p>
    <w:p w:rsidR="00AA4661" w:rsidRPr="00B73D7E" w:rsidRDefault="00AA4661" w:rsidP="00CF297A">
      <w:pPr>
        <w:pStyle w:val="BodyText"/>
        <w:numPr>
          <w:ilvl w:val="0"/>
          <w:numId w:val="41"/>
        </w:numPr>
        <w:ind w:left="0" w:firstLine="0"/>
        <w:rPr>
          <w:lang w:val="bg-BG"/>
        </w:rPr>
      </w:pPr>
      <w:r w:rsidRPr="00B73D7E">
        <w:rPr>
          <w:lang w:val="bg-BG"/>
        </w:rPr>
        <w:t>Предложената система включва пет набора от индикатори, свързани с пространственото планиране, градското планиране, градското проектиране, сградите и градското население.</w:t>
      </w:r>
    </w:p>
    <w:p w:rsidR="00AA4661" w:rsidRPr="00F8728A" w:rsidRDefault="00AA4661" w:rsidP="00B73D7E">
      <w:pPr>
        <w:pStyle w:val="FiguresTablesCaption"/>
      </w:pPr>
      <w:bookmarkStart w:id="712" w:name="_Toc529286643"/>
      <w:r w:rsidRPr="00F8728A">
        <w:t xml:space="preserve">Таблица </w:t>
      </w:r>
      <w:r w:rsidRPr="00F8728A">
        <w:fldChar w:fldCharType="begin"/>
      </w:r>
      <w:r w:rsidRPr="00F8728A">
        <w:instrText xml:space="preserve"> SEQ Table \* ARABIC </w:instrText>
      </w:r>
      <w:r w:rsidRPr="00F8728A">
        <w:fldChar w:fldCharType="separate"/>
      </w:r>
      <w:r w:rsidR="00485D6A" w:rsidRPr="00B73D7E">
        <w:t>16</w:t>
      </w:r>
      <w:r w:rsidRPr="00F8728A">
        <w:fldChar w:fldCharType="end"/>
      </w:r>
      <w:r w:rsidRPr="00F8728A">
        <w:t>. Пространствени, демографски и социално-икономически индикатори</w:t>
      </w:r>
      <w:bookmarkEnd w:id="712"/>
    </w:p>
    <w:tbl>
      <w:tblPr>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3505"/>
        <w:gridCol w:w="5557"/>
      </w:tblGrid>
      <w:tr w:rsidR="00AA4661" w:rsidRPr="00F8728A" w:rsidTr="00C43227">
        <w:trPr>
          <w:trHeight w:val="361"/>
          <w:tblHeader/>
          <w:jc w:val="center"/>
        </w:trPr>
        <w:tc>
          <w:tcPr>
            <w:tcW w:w="3505" w:type="dxa"/>
            <w:shd w:val="clear" w:color="auto" w:fill="365F91"/>
            <w:vAlign w:val="center"/>
          </w:tcPr>
          <w:p w:rsidR="00AA4661" w:rsidRPr="00F8728A" w:rsidRDefault="00AA4661" w:rsidP="002C1420">
            <w:pPr>
              <w:spacing w:before="20" w:after="20" w:line="264" w:lineRule="auto"/>
              <w:jc w:val="center"/>
              <w:rPr>
                <w:rFonts w:ascii="Calibri" w:hAnsi="Calibri" w:cs="Calibri"/>
                <w:b/>
                <w:color w:val="FFFFFF"/>
                <w:sz w:val="22"/>
              </w:rPr>
            </w:pPr>
            <w:r w:rsidRPr="00F8728A">
              <w:rPr>
                <w:rFonts w:ascii="Calibri" w:hAnsi="Calibri" w:cs="Calibri"/>
                <w:b/>
                <w:color w:val="FFFFFF"/>
                <w:sz w:val="22"/>
              </w:rPr>
              <w:t>Индикатори</w:t>
            </w:r>
          </w:p>
        </w:tc>
        <w:tc>
          <w:tcPr>
            <w:tcW w:w="5557" w:type="dxa"/>
            <w:shd w:val="clear" w:color="auto" w:fill="365F91"/>
            <w:vAlign w:val="center"/>
          </w:tcPr>
          <w:p w:rsidR="00AA4661" w:rsidRPr="00F8728A" w:rsidRDefault="00AA4661" w:rsidP="002C1420">
            <w:pPr>
              <w:spacing w:before="20" w:after="20" w:line="264" w:lineRule="auto"/>
              <w:jc w:val="center"/>
              <w:rPr>
                <w:rFonts w:ascii="Calibri" w:hAnsi="Calibri" w:cs="Calibri"/>
                <w:b/>
                <w:color w:val="FFFFFF"/>
                <w:sz w:val="22"/>
              </w:rPr>
            </w:pPr>
            <w:r w:rsidRPr="00F8728A">
              <w:rPr>
                <w:rFonts w:ascii="Calibri" w:hAnsi="Calibri" w:cs="Calibri"/>
                <w:b/>
                <w:color w:val="FFFFFF"/>
                <w:sz w:val="22"/>
              </w:rPr>
              <w:t>Показатели</w:t>
            </w:r>
          </w:p>
        </w:tc>
      </w:tr>
      <w:tr w:rsidR="00AA4661" w:rsidRPr="00F8728A" w:rsidTr="00C43227">
        <w:trPr>
          <w:jc w:val="center"/>
        </w:trPr>
        <w:tc>
          <w:tcPr>
            <w:tcW w:w="9062" w:type="dxa"/>
            <w:gridSpan w:val="2"/>
            <w:shd w:val="clear" w:color="auto" w:fill="F2F2F2"/>
            <w:vAlign w:val="center"/>
          </w:tcPr>
          <w:p w:rsidR="00AA4661" w:rsidRPr="00F8728A" w:rsidRDefault="00AA4661" w:rsidP="002C1420">
            <w:pPr>
              <w:spacing w:before="20" w:after="20" w:line="264" w:lineRule="auto"/>
              <w:jc w:val="center"/>
              <w:rPr>
                <w:rFonts w:ascii="Calibri" w:hAnsi="Calibri" w:cs="Calibri"/>
                <w:b/>
                <w:sz w:val="22"/>
              </w:rPr>
            </w:pPr>
            <w:r w:rsidRPr="00F8728A">
              <w:rPr>
                <w:rFonts w:ascii="Calibri" w:hAnsi="Calibri" w:cs="Calibri"/>
                <w:b/>
                <w:sz w:val="22"/>
              </w:rPr>
              <w:t>Индикатори за пространствено планиране</w:t>
            </w:r>
          </w:p>
        </w:tc>
      </w:tr>
      <w:tr w:rsidR="00AA4661" w:rsidRPr="00F8728A" w:rsidTr="00C43227">
        <w:trPr>
          <w:jc w:val="center"/>
        </w:trPr>
        <w:tc>
          <w:tcPr>
            <w:tcW w:w="3505" w:type="dxa"/>
            <w:shd w:val="clear" w:color="auto" w:fill="B8CCE4"/>
            <w:tcMar>
              <w:top w:w="14" w:type="dxa"/>
              <w:left w:w="115" w:type="dxa"/>
              <w:bottom w:w="14" w:type="dxa"/>
              <w:right w:w="115" w:type="dxa"/>
            </w:tcMar>
            <w:vAlign w:val="center"/>
          </w:tcPr>
          <w:p w:rsidR="00AA4661" w:rsidRPr="00F8728A" w:rsidRDefault="00AA4661" w:rsidP="002C1420">
            <w:pPr>
              <w:spacing w:before="20" w:after="20" w:line="21" w:lineRule="atLeast"/>
              <w:jc w:val="both"/>
              <w:rPr>
                <w:rFonts w:ascii="Calibri" w:hAnsi="Calibri" w:cs="Calibri"/>
                <w:sz w:val="22"/>
              </w:rPr>
            </w:pPr>
            <w:r w:rsidRPr="00F8728A">
              <w:rPr>
                <w:rFonts w:ascii="Calibri" w:hAnsi="Calibri" w:cs="Calibri"/>
                <w:sz w:val="22"/>
              </w:rPr>
              <w:t>Степен на полицентрично градско развитие</w:t>
            </w:r>
          </w:p>
        </w:tc>
        <w:tc>
          <w:tcPr>
            <w:tcW w:w="5557" w:type="dxa"/>
            <w:tcMar>
              <w:top w:w="14" w:type="dxa"/>
              <w:left w:w="115" w:type="dxa"/>
              <w:bottom w:w="14" w:type="dxa"/>
              <w:right w:w="115" w:type="dxa"/>
            </w:tcMar>
            <w:vAlign w:val="center"/>
          </w:tcPr>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Концентрация на населението, миграция</w:t>
            </w:r>
          </w:p>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Регионални неравенства</w:t>
            </w:r>
          </w:p>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Инвестиционен натиск</w:t>
            </w:r>
          </w:p>
        </w:tc>
      </w:tr>
      <w:tr w:rsidR="00AA4661" w:rsidRPr="00F8728A" w:rsidTr="00C43227">
        <w:trPr>
          <w:jc w:val="center"/>
        </w:trPr>
        <w:tc>
          <w:tcPr>
            <w:tcW w:w="3505" w:type="dxa"/>
            <w:shd w:val="clear" w:color="auto" w:fill="B8CCE4"/>
            <w:tcMar>
              <w:top w:w="14" w:type="dxa"/>
              <w:left w:w="115" w:type="dxa"/>
              <w:bottom w:w="14" w:type="dxa"/>
              <w:right w:w="115" w:type="dxa"/>
            </w:tcMar>
            <w:vAlign w:val="center"/>
          </w:tcPr>
          <w:p w:rsidR="00AA4661" w:rsidRPr="00F8728A" w:rsidRDefault="00AA4661" w:rsidP="002C1420">
            <w:pPr>
              <w:spacing w:before="20" w:after="20" w:line="21" w:lineRule="atLeast"/>
              <w:jc w:val="both"/>
              <w:rPr>
                <w:rFonts w:ascii="Calibri" w:hAnsi="Calibri" w:cs="Calibri"/>
                <w:sz w:val="22"/>
              </w:rPr>
            </w:pPr>
            <w:r w:rsidRPr="00F8728A">
              <w:rPr>
                <w:rFonts w:ascii="Calibri" w:hAnsi="Calibri" w:cs="Calibri"/>
                <w:sz w:val="22"/>
              </w:rPr>
              <w:t>Ограничения за урбанизация на зоните с риск от бедствия</w:t>
            </w:r>
          </w:p>
        </w:tc>
        <w:tc>
          <w:tcPr>
            <w:tcW w:w="5557" w:type="dxa"/>
            <w:tcMar>
              <w:top w:w="14" w:type="dxa"/>
              <w:left w:w="115" w:type="dxa"/>
              <w:bottom w:w="14" w:type="dxa"/>
              <w:right w:w="115" w:type="dxa"/>
            </w:tcMar>
            <w:vAlign w:val="center"/>
          </w:tcPr>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Ликвидация на незаконните жилищни територии</w:t>
            </w:r>
          </w:p>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Намаляване на екстензивното застрояване</w:t>
            </w:r>
          </w:p>
        </w:tc>
      </w:tr>
      <w:tr w:rsidR="00AA4661" w:rsidRPr="00F8728A" w:rsidTr="00C43227">
        <w:trPr>
          <w:jc w:val="center"/>
        </w:trPr>
        <w:tc>
          <w:tcPr>
            <w:tcW w:w="3505" w:type="dxa"/>
            <w:shd w:val="clear" w:color="auto" w:fill="B8CCE4"/>
            <w:tcMar>
              <w:top w:w="14" w:type="dxa"/>
              <w:left w:w="115" w:type="dxa"/>
              <w:bottom w:w="14" w:type="dxa"/>
              <w:right w:w="115" w:type="dxa"/>
            </w:tcMar>
            <w:vAlign w:val="center"/>
          </w:tcPr>
          <w:p w:rsidR="00AA4661" w:rsidRPr="00F8728A" w:rsidRDefault="00AA4661" w:rsidP="002C1420">
            <w:pPr>
              <w:spacing w:before="20" w:after="20" w:line="21" w:lineRule="atLeast"/>
              <w:jc w:val="both"/>
              <w:rPr>
                <w:rFonts w:ascii="Calibri" w:hAnsi="Calibri" w:cs="Calibri"/>
                <w:sz w:val="22"/>
              </w:rPr>
            </w:pPr>
            <w:r w:rsidRPr="00F8728A">
              <w:rPr>
                <w:rFonts w:ascii="Calibri" w:hAnsi="Calibri" w:cs="Calibri"/>
                <w:sz w:val="22"/>
              </w:rPr>
              <w:t>Дял на публичната собственост върху земята</w:t>
            </w:r>
          </w:p>
        </w:tc>
        <w:tc>
          <w:tcPr>
            <w:tcW w:w="5557" w:type="dxa"/>
            <w:tcMar>
              <w:top w:w="14" w:type="dxa"/>
              <w:left w:w="115" w:type="dxa"/>
              <w:bottom w:w="14" w:type="dxa"/>
              <w:right w:w="115" w:type="dxa"/>
            </w:tcMar>
            <w:vAlign w:val="center"/>
          </w:tcPr>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Отношение публична/частна собственост</w:t>
            </w:r>
          </w:p>
        </w:tc>
      </w:tr>
      <w:tr w:rsidR="00AA4661" w:rsidRPr="00F8728A" w:rsidTr="00C43227">
        <w:trPr>
          <w:jc w:val="center"/>
        </w:trPr>
        <w:tc>
          <w:tcPr>
            <w:tcW w:w="3505" w:type="dxa"/>
            <w:shd w:val="clear" w:color="auto" w:fill="B8CCE4"/>
            <w:tcMar>
              <w:top w:w="14" w:type="dxa"/>
              <w:left w:w="115" w:type="dxa"/>
              <w:bottom w:w="14" w:type="dxa"/>
              <w:right w:w="115" w:type="dxa"/>
            </w:tcMar>
            <w:vAlign w:val="center"/>
          </w:tcPr>
          <w:p w:rsidR="00AA4661" w:rsidRPr="00F8728A" w:rsidRDefault="00AA4661" w:rsidP="002C1420">
            <w:pPr>
              <w:spacing w:before="20" w:after="20" w:line="21" w:lineRule="atLeast"/>
              <w:jc w:val="both"/>
              <w:rPr>
                <w:rFonts w:ascii="Calibri" w:hAnsi="Calibri" w:cs="Calibri"/>
                <w:sz w:val="22"/>
              </w:rPr>
            </w:pPr>
            <w:r w:rsidRPr="00F8728A">
              <w:rPr>
                <w:rFonts w:ascii="Calibri" w:hAnsi="Calibri" w:cs="Calibri"/>
                <w:sz w:val="22"/>
              </w:rPr>
              <w:t>Достъп до критична инфраструктура</w:t>
            </w:r>
          </w:p>
        </w:tc>
        <w:tc>
          <w:tcPr>
            <w:tcW w:w="5557" w:type="dxa"/>
            <w:tcMar>
              <w:top w:w="14" w:type="dxa"/>
              <w:left w:w="115" w:type="dxa"/>
              <w:bottom w:w="14" w:type="dxa"/>
              <w:right w:w="115" w:type="dxa"/>
            </w:tcMar>
            <w:vAlign w:val="center"/>
          </w:tcPr>
          <w:p w:rsidR="00AA4661" w:rsidRPr="00F8728A" w:rsidRDefault="00AA4661" w:rsidP="002C1420">
            <w:pPr>
              <w:spacing w:before="20" w:after="20" w:line="21" w:lineRule="atLeast"/>
              <w:jc w:val="both"/>
              <w:rPr>
                <w:rFonts w:ascii="Calibri" w:hAnsi="Calibri" w:cs="Calibri"/>
                <w:sz w:val="22"/>
              </w:rPr>
            </w:pPr>
            <w:r w:rsidRPr="00F8728A">
              <w:rPr>
                <w:rFonts w:ascii="Calibri" w:hAnsi="Calibri" w:cs="Calibri"/>
                <w:sz w:val="22"/>
              </w:rPr>
              <w:t>Време за достигане до:</w:t>
            </w:r>
          </w:p>
          <w:p w:rsidR="00AA4661" w:rsidRPr="00F8728A" w:rsidRDefault="00AA4661" w:rsidP="00E21095">
            <w:pPr>
              <w:pStyle w:val="ListParagraph1"/>
              <w:numPr>
                <w:ilvl w:val="0"/>
                <w:numId w:val="36"/>
              </w:numPr>
              <w:spacing w:before="20" w:after="20" w:line="240" w:lineRule="auto"/>
              <w:ind w:left="360"/>
              <w:contextualSpacing w:val="0"/>
              <w:rPr>
                <w:rFonts w:ascii="Calibri" w:hAnsi="Calibri" w:cs="Calibri"/>
                <w:szCs w:val="22"/>
                <w:lang w:val="bg-BG" w:eastAsia="en-US"/>
              </w:rPr>
            </w:pPr>
            <w:r w:rsidRPr="00F8728A">
              <w:rPr>
                <w:rFonts w:ascii="Calibri" w:hAnsi="Calibri" w:cs="Calibri"/>
                <w:szCs w:val="22"/>
                <w:lang w:val="bg-BG" w:eastAsia="en-US"/>
              </w:rPr>
              <w:t>транспортна инфраструктура</w:t>
            </w:r>
          </w:p>
          <w:p w:rsidR="00AA4661" w:rsidRPr="00F8728A" w:rsidRDefault="00AA4661" w:rsidP="00E21095">
            <w:pPr>
              <w:pStyle w:val="ListParagraph1"/>
              <w:numPr>
                <w:ilvl w:val="0"/>
                <w:numId w:val="36"/>
              </w:numPr>
              <w:spacing w:before="20" w:after="20" w:line="240" w:lineRule="auto"/>
              <w:ind w:left="360"/>
              <w:contextualSpacing w:val="0"/>
              <w:rPr>
                <w:rFonts w:ascii="Calibri" w:hAnsi="Calibri" w:cs="Calibri"/>
                <w:szCs w:val="22"/>
                <w:lang w:val="bg-BG" w:eastAsia="en-US"/>
              </w:rPr>
            </w:pPr>
            <w:r w:rsidRPr="00F8728A">
              <w:rPr>
                <w:rFonts w:ascii="Calibri" w:hAnsi="Calibri" w:cs="Calibri"/>
                <w:szCs w:val="22"/>
                <w:lang w:val="bg-BG" w:eastAsia="en-US"/>
              </w:rPr>
              <w:t xml:space="preserve">здравна помощ </w:t>
            </w:r>
          </w:p>
          <w:p w:rsidR="00AA4661" w:rsidRPr="00F8728A" w:rsidRDefault="00AA4661" w:rsidP="00E21095">
            <w:pPr>
              <w:pStyle w:val="ListParagraph1"/>
              <w:numPr>
                <w:ilvl w:val="0"/>
                <w:numId w:val="36"/>
              </w:numPr>
              <w:spacing w:before="20" w:after="20" w:line="240" w:lineRule="auto"/>
              <w:ind w:left="360"/>
              <w:contextualSpacing w:val="0"/>
              <w:rPr>
                <w:rFonts w:ascii="Calibri" w:hAnsi="Calibri" w:cs="Calibri"/>
                <w:szCs w:val="22"/>
                <w:lang w:val="bg-BG" w:eastAsia="en-US"/>
              </w:rPr>
            </w:pPr>
            <w:r w:rsidRPr="00F8728A">
              <w:rPr>
                <w:rFonts w:ascii="Calibri" w:hAnsi="Calibri" w:cs="Calibri"/>
                <w:szCs w:val="22"/>
                <w:lang w:val="bg-BG" w:eastAsia="en-US"/>
              </w:rPr>
              <w:t>центрове за помощ при бедствия</w:t>
            </w:r>
          </w:p>
        </w:tc>
      </w:tr>
      <w:tr w:rsidR="00AA4661" w:rsidRPr="00F8728A" w:rsidTr="00C43227">
        <w:trPr>
          <w:jc w:val="center"/>
        </w:trPr>
        <w:tc>
          <w:tcPr>
            <w:tcW w:w="9062" w:type="dxa"/>
            <w:gridSpan w:val="2"/>
            <w:shd w:val="clear" w:color="auto" w:fill="F2F2F2"/>
            <w:tcMar>
              <w:top w:w="14" w:type="dxa"/>
              <w:left w:w="115" w:type="dxa"/>
              <w:bottom w:w="14" w:type="dxa"/>
              <w:right w:w="115" w:type="dxa"/>
            </w:tcMar>
            <w:vAlign w:val="center"/>
          </w:tcPr>
          <w:p w:rsidR="00AA4661" w:rsidRPr="00F8728A" w:rsidRDefault="00AA4661" w:rsidP="002C1420">
            <w:pPr>
              <w:spacing w:before="20" w:after="20" w:line="21" w:lineRule="atLeast"/>
              <w:jc w:val="center"/>
              <w:rPr>
                <w:rFonts w:ascii="Calibri" w:hAnsi="Calibri" w:cs="Calibri"/>
                <w:b/>
                <w:sz w:val="22"/>
              </w:rPr>
            </w:pPr>
            <w:r w:rsidRPr="00F8728A">
              <w:rPr>
                <w:rFonts w:ascii="Calibri" w:hAnsi="Calibri" w:cs="Calibri"/>
                <w:b/>
                <w:sz w:val="22"/>
              </w:rPr>
              <w:t>Индикатори за градско планиране</w:t>
            </w:r>
          </w:p>
        </w:tc>
      </w:tr>
      <w:tr w:rsidR="00AA4661" w:rsidRPr="00F8728A" w:rsidTr="00C43227">
        <w:trPr>
          <w:jc w:val="center"/>
        </w:trPr>
        <w:tc>
          <w:tcPr>
            <w:tcW w:w="3505" w:type="dxa"/>
            <w:shd w:val="clear" w:color="auto" w:fill="B8CCE4"/>
            <w:tcMar>
              <w:top w:w="14" w:type="dxa"/>
              <w:left w:w="115" w:type="dxa"/>
              <w:bottom w:w="14" w:type="dxa"/>
              <w:right w:w="115" w:type="dxa"/>
            </w:tcMar>
            <w:vAlign w:val="center"/>
          </w:tcPr>
          <w:p w:rsidR="00AA4661" w:rsidRPr="00F8728A" w:rsidRDefault="00AA4661" w:rsidP="002C1420">
            <w:pPr>
              <w:spacing w:before="20" w:after="20" w:line="21" w:lineRule="atLeast"/>
              <w:jc w:val="both"/>
              <w:rPr>
                <w:rFonts w:ascii="Calibri" w:hAnsi="Calibri" w:cs="Calibri"/>
                <w:sz w:val="22"/>
              </w:rPr>
            </w:pPr>
            <w:r w:rsidRPr="00F8728A">
              <w:rPr>
                <w:rFonts w:ascii="Calibri" w:hAnsi="Calibri" w:cs="Calibri"/>
                <w:sz w:val="22"/>
              </w:rPr>
              <w:t>Пространствена и функционална структура</w:t>
            </w:r>
          </w:p>
        </w:tc>
        <w:tc>
          <w:tcPr>
            <w:tcW w:w="5557" w:type="dxa"/>
            <w:tcMar>
              <w:top w:w="14" w:type="dxa"/>
              <w:left w:w="115" w:type="dxa"/>
              <w:bottom w:w="14" w:type="dxa"/>
              <w:right w:w="115" w:type="dxa"/>
            </w:tcMar>
            <w:vAlign w:val="center"/>
          </w:tcPr>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Площ и процент от общата градска територия</w:t>
            </w:r>
          </w:p>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Баланс на територията</w:t>
            </w:r>
          </w:p>
        </w:tc>
      </w:tr>
      <w:tr w:rsidR="00AA4661" w:rsidRPr="00F8728A" w:rsidTr="00C43227">
        <w:trPr>
          <w:jc w:val="center"/>
        </w:trPr>
        <w:tc>
          <w:tcPr>
            <w:tcW w:w="3505" w:type="dxa"/>
            <w:shd w:val="clear" w:color="auto" w:fill="B8CCE4"/>
            <w:tcMar>
              <w:top w:w="14" w:type="dxa"/>
              <w:left w:w="115" w:type="dxa"/>
              <w:bottom w:w="14" w:type="dxa"/>
              <w:right w:w="115" w:type="dxa"/>
            </w:tcMar>
            <w:vAlign w:val="center"/>
          </w:tcPr>
          <w:p w:rsidR="00AA4661" w:rsidRPr="00F8728A" w:rsidRDefault="00AA4661" w:rsidP="002C1420">
            <w:pPr>
              <w:spacing w:before="20" w:after="20" w:line="21" w:lineRule="atLeast"/>
              <w:jc w:val="both"/>
              <w:rPr>
                <w:rFonts w:ascii="Calibri" w:hAnsi="Calibri" w:cs="Calibri"/>
                <w:sz w:val="22"/>
              </w:rPr>
            </w:pPr>
            <w:r w:rsidRPr="00F8728A">
              <w:rPr>
                <w:rFonts w:ascii="Calibri" w:hAnsi="Calibri" w:cs="Calibri"/>
                <w:sz w:val="22"/>
              </w:rPr>
              <w:t>Жилищни територии</w:t>
            </w:r>
          </w:p>
        </w:tc>
        <w:tc>
          <w:tcPr>
            <w:tcW w:w="5557" w:type="dxa"/>
            <w:tcMar>
              <w:top w:w="14" w:type="dxa"/>
              <w:left w:w="115" w:type="dxa"/>
              <w:bottom w:w="14" w:type="dxa"/>
              <w:right w:w="115" w:type="dxa"/>
            </w:tcMar>
            <w:vAlign w:val="center"/>
          </w:tcPr>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Територии с високо строителство</w:t>
            </w:r>
          </w:p>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Жилищни комплекси</w:t>
            </w:r>
          </w:p>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Отделни сгради</w:t>
            </w:r>
          </w:p>
        </w:tc>
      </w:tr>
      <w:tr w:rsidR="00AA4661" w:rsidRPr="00F8728A" w:rsidTr="00C43227">
        <w:trPr>
          <w:jc w:val="center"/>
        </w:trPr>
        <w:tc>
          <w:tcPr>
            <w:tcW w:w="3505" w:type="dxa"/>
            <w:shd w:val="clear" w:color="auto" w:fill="B8CCE4"/>
            <w:tcMar>
              <w:top w:w="14" w:type="dxa"/>
              <w:left w:w="115" w:type="dxa"/>
              <w:bottom w:w="14" w:type="dxa"/>
              <w:right w:w="115" w:type="dxa"/>
            </w:tcMar>
            <w:vAlign w:val="center"/>
          </w:tcPr>
          <w:p w:rsidR="00AA4661" w:rsidRPr="00F8728A" w:rsidRDefault="00AA4661" w:rsidP="002C1420">
            <w:pPr>
              <w:spacing w:before="20" w:after="20" w:line="21" w:lineRule="atLeast"/>
              <w:jc w:val="both"/>
              <w:rPr>
                <w:rFonts w:ascii="Calibri" w:hAnsi="Calibri" w:cs="Calibri"/>
                <w:sz w:val="22"/>
              </w:rPr>
            </w:pPr>
            <w:r w:rsidRPr="00F8728A">
              <w:rPr>
                <w:rFonts w:ascii="Calibri" w:hAnsi="Calibri" w:cs="Calibri"/>
                <w:sz w:val="22"/>
              </w:rPr>
              <w:t>Публични и бизнес зони</w:t>
            </w:r>
          </w:p>
        </w:tc>
        <w:tc>
          <w:tcPr>
            <w:tcW w:w="5557" w:type="dxa"/>
            <w:tcMar>
              <w:top w:w="14" w:type="dxa"/>
              <w:left w:w="115" w:type="dxa"/>
              <w:bottom w:w="14" w:type="dxa"/>
              <w:right w:w="115" w:type="dxa"/>
            </w:tcMar>
            <w:vAlign w:val="center"/>
          </w:tcPr>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Площ и процент от общата площ</w:t>
            </w:r>
          </w:p>
        </w:tc>
      </w:tr>
      <w:tr w:rsidR="00AA4661" w:rsidRPr="00F8728A" w:rsidTr="00C43227">
        <w:trPr>
          <w:jc w:val="center"/>
        </w:trPr>
        <w:tc>
          <w:tcPr>
            <w:tcW w:w="3505" w:type="dxa"/>
            <w:shd w:val="clear" w:color="auto" w:fill="B8CCE4"/>
            <w:tcMar>
              <w:top w:w="14" w:type="dxa"/>
              <w:left w:w="115" w:type="dxa"/>
              <w:bottom w:w="14" w:type="dxa"/>
              <w:right w:w="115" w:type="dxa"/>
            </w:tcMar>
            <w:vAlign w:val="center"/>
          </w:tcPr>
          <w:p w:rsidR="00AA4661" w:rsidRPr="00F8728A" w:rsidRDefault="00AA4661" w:rsidP="002C1420">
            <w:pPr>
              <w:spacing w:before="20" w:after="20" w:line="21" w:lineRule="atLeast"/>
              <w:jc w:val="both"/>
              <w:rPr>
                <w:rFonts w:ascii="Calibri" w:hAnsi="Calibri" w:cs="Calibri"/>
                <w:sz w:val="22"/>
              </w:rPr>
            </w:pPr>
            <w:r w:rsidRPr="00F8728A">
              <w:rPr>
                <w:rFonts w:ascii="Calibri" w:hAnsi="Calibri" w:cs="Calibri"/>
                <w:sz w:val="22"/>
              </w:rPr>
              <w:t>Индустриални зони</w:t>
            </w:r>
          </w:p>
        </w:tc>
        <w:tc>
          <w:tcPr>
            <w:tcW w:w="5557" w:type="dxa"/>
            <w:tcMar>
              <w:top w:w="14" w:type="dxa"/>
              <w:left w:w="115" w:type="dxa"/>
              <w:bottom w:w="14" w:type="dxa"/>
              <w:right w:w="115" w:type="dxa"/>
            </w:tcMar>
            <w:vAlign w:val="center"/>
          </w:tcPr>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Площ и процент от общата застроена площ</w:t>
            </w:r>
          </w:p>
        </w:tc>
      </w:tr>
      <w:tr w:rsidR="00AA4661" w:rsidRPr="00F8728A" w:rsidTr="00C43227">
        <w:trPr>
          <w:jc w:val="center"/>
        </w:trPr>
        <w:tc>
          <w:tcPr>
            <w:tcW w:w="3505" w:type="dxa"/>
            <w:shd w:val="clear" w:color="auto" w:fill="B8CCE4"/>
            <w:tcMar>
              <w:top w:w="14" w:type="dxa"/>
              <w:left w:w="115" w:type="dxa"/>
              <w:bottom w:w="14" w:type="dxa"/>
              <w:right w:w="115" w:type="dxa"/>
            </w:tcMar>
            <w:vAlign w:val="center"/>
          </w:tcPr>
          <w:p w:rsidR="00AA4661" w:rsidRPr="00F8728A" w:rsidRDefault="00AA4661" w:rsidP="002C1420">
            <w:pPr>
              <w:spacing w:before="20" w:after="20" w:line="21" w:lineRule="atLeast"/>
              <w:jc w:val="both"/>
              <w:rPr>
                <w:rFonts w:ascii="Calibri" w:hAnsi="Calibri" w:cs="Calibri"/>
                <w:sz w:val="22"/>
              </w:rPr>
            </w:pPr>
            <w:r w:rsidRPr="00F8728A">
              <w:rPr>
                <w:rFonts w:ascii="Calibri" w:hAnsi="Calibri" w:cs="Calibri"/>
                <w:sz w:val="22"/>
              </w:rPr>
              <w:t>Зелени и открити пространства</w:t>
            </w:r>
          </w:p>
        </w:tc>
        <w:tc>
          <w:tcPr>
            <w:tcW w:w="5557" w:type="dxa"/>
            <w:tcMar>
              <w:top w:w="14" w:type="dxa"/>
              <w:left w:w="115" w:type="dxa"/>
              <w:bottom w:w="14" w:type="dxa"/>
              <w:right w:w="115" w:type="dxa"/>
            </w:tcMar>
            <w:vAlign w:val="center"/>
          </w:tcPr>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Площ и процент от градската територия</w:t>
            </w:r>
          </w:p>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Пространство на жител</w:t>
            </w:r>
          </w:p>
        </w:tc>
      </w:tr>
      <w:tr w:rsidR="00AA4661" w:rsidRPr="00F8728A" w:rsidTr="00C43227">
        <w:trPr>
          <w:jc w:val="center"/>
        </w:trPr>
        <w:tc>
          <w:tcPr>
            <w:tcW w:w="3505" w:type="dxa"/>
            <w:shd w:val="clear" w:color="auto" w:fill="B8CCE4"/>
            <w:tcMar>
              <w:top w:w="14" w:type="dxa"/>
              <w:left w:w="115" w:type="dxa"/>
              <w:bottom w:w="14" w:type="dxa"/>
              <w:right w:w="115" w:type="dxa"/>
            </w:tcMar>
            <w:vAlign w:val="center"/>
          </w:tcPr>
          <w:p w:rsidR="00AA4661" w:rsidRPr="00F8728A" w:rsidRDefault="00AA4661" w:rsidP="002C1420">
            <w:pPr>
              <w:spacing w:before="20" w:after="20" w:line="21" w:lineRule="atLeast"/>
              <w:rPr>
                <w:rFonts w:ascii="Calibri" w:hAnsi="Calibri" w:cs="Calibri"/>
                <w:sz w:val="22"/>
              </w:rPr>
            </w:pPr>
            <w:r w:rsidRPr="00F8728A">
              <w:rPr>
                <w:rFonts w:ascii="Calibri" w:hAnsi="Calibri" w:cs="Calibri"/>
                <w:sz w:val="22"/>
              </w:rPr>
              <w:t>Зони за техническа инфраструктура</w:t>
            </w:r>
          </w:p>
        </w:tc>
        <w:tc>
          <w:tcPr>
            <w:tcW w:w="5557" w:type="dxa"/>
            <w:tcMar>
              <w:top w:w="14" w:type="dxa"/>
              <w:left w:w="115" w:type="dxa"/>
              <w:bottom w:w="14" w:type="dxa"/>
              <w:right w:w="115" w:type="dxa"/>
            </w:tcMar>
            <w:vAlign w:val="center"/>
          </w:tcPr>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Площ и процент от общата територия</w:t>
            </w:r>
          </w:p>
        </w:tc>
      </w:tr>
      <w:tr w:rsidR="00AA4661" w:rsidRPr="00F8728A" w:rsidTr="00C43227">
        <w:trPr>
          <w:jc w:val="center"/>
        </w:trPr>
        <w:tc>
          <w:tcPr>
            <w:tcW w:w="9062" w:type="dxa"/>
            <w:gridSpan w:val="2"/>
            <w:shd w:val="clear" w:color="auto" w:fill="F2F2F2"/>
            <w:tcMar>
              <w:top w:w="14" w:type="dxa"/>
              <w:left w:w="115" w:type="dxa"/>
              <w:bottom w:w="14" w:type="dxa"/>
              <w:right w:w="115" w:type="dxa"/>
            </w:tcMar>
            <w:vAlign w:val="center"/>
          </w:tcPr>
          <w:p w:rsidR="00AA4661" w:rsidRPr="00F8728A" w:rsidRDefault="00AA4661" w:rsidP="002C1420">
            <w:pPr>
              <w:spacing w:before="20" w:after="20" w:line="21" w:lineRule="atLeast"/>
              <w:jc w:val="center"/>
              <w:rPr>
                <w:rFonts w:ascii="Calibri" w:hAnsi="Calibri" w:cs="Calibri"/>
                <w:b/>
                <w:sz w:val="22"/>
              </w:rPr>
            </w:pPr>
            <w:r w:rsidRPr="00F8728A">
              <w:rPr>
                <w:rFonts w:ascii="Calibri" w:hAnsi="Calibri" w:cs="Calibri"/>
                <w:b/>
                <w:sz w:val="22"/>
              </w:rPr>
              <w:t>Индикатори за подробно устройствено планиране</w:t>
            </w:r>
          </w:p>
        </w:tc>
      </w:tr>
      <w:tr w:rsidR="00AA4661" w:rsidRPr="00F8728A" w:rsidTr="00C43227">
        <w:trPr>
          <w:jc w:val="center"/>
        </w:trPr>
        <w:tc>
          <w:tcPr>
            <w:tcW w:w="3505" w:type="dxa"/>
            <w:shd w:val="clear" w:color="auto" w:fill="B8CCE4"/>
            <w:tcMar>
              <w:top w:w="14" w:type="dxa"/>
              <w:left w:w="115" w:type="dxa"/>
              <w:bottom w:w="14" w:type="dxa"/>
              <w:right w:w="115" w:type="dxa"/>
            </w:tcMar>
            <w:vAlign w:val="center"/>
          </w:tcPr>
          <w:p w:rsidR="00AA4661" w:rsidRPr="00F8728A" w:rsidRDefault="00AA4661" w:rsidP="002C1420">
            <w:pPr>
              <w:spacing w:before="20" w:after="20" w:line="21" w:lineRule="atLeast"/>
              <w:jc w:val="both"/>
              <w:rPr>
                <w:rFonts w:ascii="Calibri" w:hAnsi="Calibri" w:cs="Calibri"/>
                <w:sz w:val="22"/>
              </w:rPr>
            </w:pPr>
            <w:r w:rsidRPr="00F8728A">
              <w:rPr>
                <w:rFonts w:ascii="Calibri" w:hAnsi="Calibri" w:cs="Calibri"/>
                <w:sz w:val="22"/>
              </w:rPr>
              <w:t>Градска мрежа и използване на градското пространство</w:t>
            </w:r>
          </w:p>
        </w:tc>
        <w:tc>
          <w:tcPr>
            <w:tcW w:w="5557" w:type="dxa"/>
            <w:tcMar>
              <w:top w:w="14" w:type="dxa"/>
              <w:left w:w="115" w:type="dxa"/>
              <w:bottom w:w="14" w:type="dxa"/>
              <w:right w:w="115" w:type="dxa"/>
            </w:tcMar>
            <w:vAlign w:val="center"/>
          </w:tcPr>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 xml:space="preserve">Плътност на застрояване </w:t>
            </w:r>
          </w:p>
          <w:p w:rsidR="00AA4661" w:rsidRPr="00F8728A" w:rsidRDefault="00B638C6"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Интензивност на застрояване</w:t>
            </w:r>
          </w:p>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Височина на сградите в метри</w:t>
            </w:r>
          </w:p>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 xml:space="preserve">Минимална задължителна </w:t>
            </w:r>
            <w:r w:rsidR="007F030B" w:rsidRPr="00F8728A">
              <w:rPr>
                <w:rFonts w:ascii="Calibri" w:hAnsi="Calibri" w:cs="Calibri"/>
                <w:szCs w:val="22"/>
                <w:lang w:val="bg-BG" w:eastAsia="en-US"/>
              </w:rPr>
              <w:t>о</w:t>
            </w:r>
            <w:r w:rsidRPr="00F8728A">
              <w:rPr>
                <w:rFonts w:ascii="Calibri" w:hAnsi="Calibri" w:cs="Calibri"/>
                <w:szCs w:val="22"/>
                <w:lang w:val="bg-BG" w:eastAsia="en-US"/>
              </w:rPr>
              <w:t>зеле</w:t>
            </w:r>
            <w:r w:rsidR="007F030B" w:rsidRPr="00F8728A">
              <w:rPr>
                <w:rFonts w:ascii="Calibri" w:hAnsi="Calibri" w:cs="Calibri"/>
                <w:szCs w:val="22"/>
                <w:lang w:val="bg-BG" w:eastAsia="en-US"/>
              </w:rPr>
              <w:t>не</w:t>
            </w:r>
            <w:r w:rsidRPr="00F8728A">
              <w:rPr>
                <w:rFonts w:ascii="Calibri" w:hAnsi="Calibri" w:cs="Calibri"/>
                <w:szCs w:val="22"/>
                <w:lang w:val="bg-BG" w:eastAsia="en-US"/>
              </w:rPr>
              <w:t>на площ в проценти</w:t>
            </w:r>
          </w:p>
          <w:p w:rsidR="007F030B" w:rsidRPr="00F8728A" w:rsidRDefault="00C22BB6"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Начин</w:t>
            </w:r>
            <w:r w:rsidR="007F030B" w:rsidRPr="00F8728A">
              <w:rPr>
                <w:rFonts w:ascii="Calibri" w:hAnsi="Calibri" w:cs="Calibri"/>
                <w:szCs w:val="22"/>
                <w:lang w:val="bg-BG" w:eastAsia="en-US"/>
              </w:rPr>
              <w:t xml:space="preserve"> на застрояване</w:t>
            </w:r>
          </w:p>
        </w:tc>
      </w:tr>
      <w:tr w:rsidR="00AA4661" w:rsidRPr="00F8728A" w:rsidTr="00C43227">
        <w:trPr>
          <w:jc w:val="center"/>
        </w:trPr>
        <w:tc>
          <w:tcPr>
            <w:tcW w:w="3505" w:type="dxa"/>
            <w:shd w:val="clear" w:color="auto" w:fill="B8CCE4"/>
            <w:tcMar>
              <w:top w:w="14" w:type="dxa"/>
              <w:left w:w="115" w:type="dxa"/>
              <w:bottom w:w="14" w:type="dxa"/>
              <w:right w:w="115" w:type="dxa"/>
            </w:tcMar>
            <w:vAlign w:val="center"/>
          </w:tcPr>
          <w:p w:rsidR="00AA4661" w:rsidRPr="00F8728A" w:rsidRDefault="00AA4661" w:rsidP="002C1420">
            <w:pPr>
              <w:spacing w:before="20" w:after="20" w:line="21" w:lineRule="atLeast"/>
              <w:rPr>
                <w:rFonts w:ascii="Calibri" w:hAnsi="Calibri" w:cs="Calibri"/>
                <w:sz w:val="22"/>
              </w:rPr>
            </w:pPr>
            <w:r w:rsidRPr="00F8728A">
              <w:rPr>
                <w:rFonts w:ascii="Calibri" w:hAnsi="Calibri" w:cs="Calibri"/>
                <w:sz w:val="22"/>
              </w:rPr>
              <w:t>Разпределение на градското население</w:t>
            </w:r>
          </w:p>
        </w:tc>
        <w:tc>
          <w:tcPr>
            <w:tcW w:w="5557" w:type="dxa"/>
            <w:tcMar>
              <w:top w:w="14" w:type="dxa"/>
              <w:left w:w="115" w:type="dxa"/>
              <w:bottom w:w="14" w:type="dxa"/>
              <w:right w:w="115" w:type="dxa"/>
            </w:tcMar>
            <w:vAlign w:val="center"/>
          </w:tcPr>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Гъстота на населението – брой хора на хектар</w:t>
            </w:r>
          </w:p>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Брой сгради (сграден фонд) на хектар</w:t>
            </w:r>
          </w:p>
        </w:tc>
      </w:tr>
      <w:tr w:rsidR="00AA4661" w:rsidRPr="00F8728A" w:rsidTr="00C43227">
        <w:trPr>
          <w:jc w:val="center"/>
        </w:trPr>
        <w:tc>
          <w:tcPr>
            <w:tcW w:w="3505" w:type="dxa"/>
            <w:shd w:val="clear" w:color="auto" w:fill="B8CCE4"/>
            <w:tcMar>
              <w:top w:w="14" w:type="dxa"/>
              <w:left w:w="115" w:type="dxa"/>
              <w:bottom w:w="14" w:type="dxa"/>
              <w:right w:w="115" w:type="dxa"/>
            </w:tcMar>
            <w:vAlign w:val="center"/>
          </w:tcPr>
          <w:p w:rsidR="00AA4661" w:rsidRPr="00F8728A" w:rsidRDefault="00AA4661" w:rsidP="002C1420">
            <w:pPr>
              <w:spacing w:before="20" w:after="20" w:line="21" w:lineRule="atLeast"/>
              <w:jc w:val="both"/>
              <w:rPr>
                <w:rFonts w:ascii="Calibri" w:hAnsi="Calibri" w:cs="Calibri"/>
                <w:sz w:val="22"/>
              </w:rPr>
            </w:pPr>
            <w:r w:rsidRPr="00F8728A">
              <w:rPr>
                <w:rFonts w:ascii="Calibri" w:hAnsi="Calibri" w:cs="Calibri"/>
                <w:sz w:val="22"/>
              </w:rPr>
              <w:t>Дял на панелните сгради</w:t>
            </w:r>
          </w:p>
        </w:tc>
        <w:tc>
          <w:tcPr>
            <w:tcW w:w="5557" w:type="dxa"/>
            <w:tcMar>
              <w:top w:w="14" w:type="dxa"/>
              <w:left w:w="115" w:type="dxa"/>
              <w:bottom w:w="14" w:type="dxa"/>
              <w:right w:w="115" w:type="dxa"/>
            </w:tcMar>
            <w:vAlign w:val="center"/>
          </w:tcPr>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Брой на реновираните и модернизирани (енергийна ефективност и подсилващи конструкцията  мерки) панелни жилищни сгради</w:t>
            </w:r>
          </w:p>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Брой реновирани и модернизирани жилища</w:t>
            </w:r>
          </w:p>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Брой модернизирани нежилищни сгради</w:t>
            </w:r>
          </w:p>
        </w:tc>
      </w:tr>
      <w:tr w:rsidR="00AA4661" w:rsidRPr="00F8728A" w:rsidTr="00C43227">
        <w:trPr>
          <w:jc w:val="center"/>
        </w:trPr>
        <w:tc>
          <w:tcPr>
            <w:tcW w:w="9062" w:type="dxa"/>
            <w:gridSpan w:val="2"/>
            <w:shd w:val="clear" w:color="auto" w:fill="F2F2F2"/>
            <w:tcMar>
              <w:top w:w="14" w:type="dxa"/>
              <w:left w:w="115" w:type="dxa"/>
              <w:bottom w:w="14" w:type="dxa"/>
              <w:right w:w="115" w:type="dxa"/>
            </w:tcMar>
            <w:vAlign w:val="center"/>
          </w:tcPr>
          <w:p w:rsidR="00AA4661" w:rsidRPr="00F8728A" w:rsidRDefault="00AA4661" w:rsidP="002C1420">
            <w:pPr>
              <w:spacing w:before="20" w:after="20" w:line="21" w:lineRule="atLeast"/>
              <w:jc w:val="center"/>
              <w:rPr>
                <w:rFonts w:ascii="Calibri" w:hAnsi="Calibri" w:cs="Calibri"/>
                <w:sz w:val="22"/>
              </w:rPr>
            </w:pPr>
            <w:r w:rsidRPr="00F8728A">
              <w:rPr>
                <w:rFonts w:ascii="Calibri" w:hAnsi="Calibri" w:cs="Calibri"/>
                <w:b/>
                <w:sz w:val="22"/>
              </w:rPr>
              <w:t>Индикатори за сградите/строителството</w:t>
            </w:r>
          </w:p>
        </w:tc>
      </w:tr>
      <w:tr w:rsidR="00AA4661" w:rsidRPr="00F8728A" w:rsidTr="00C43227">
        <w:trPr>
          <w:jc w:val="center"/>
        </w:trPr>
        <w:tc>
          <w:tcPr>
            <w:tcW w:w="3505" w:type="dxa"/>
            <w:shd w:val="clear" w:color="auto" w:fill="B8CCE4"/>
            <w:tcMar>
              <w:top w:w="14" w:type="dxa"/>
              <w:left w:w="115" w:type="dxa"/>
              <w:bottom w:w="14" w:type="dxa"/>
              <w:right w:w="115" w:type="dxa"/>
            </w:tcMar>
            <w:vAlign w:val="center"/>
          </w:tcPr>
          <w:p w:rsidR="00AA4661" w:rsidRPr="00F8728A" w:rsidRDefault="00AA4661" w:rsidP="002C1420">
            <w:pPr>
              <w:spacing w:before="20" w:after="20" w:line="21" w:lineRule="atLeast"/>
              <w:jc w:val="both"/>
              <w:rPr>
                <w:rFonts w:ascii="Calibri" w:hAnsi="Calibri" w:cs="Calibri"/>
                <w:sz w:val="22"/>
              </w:rPr>
            </w:pPr>
            <w:r w:rsidRPr="00F8728A">
              <w:rPr>
                <w:rFonts w:ascii="Calibri" w:hAnsi="Calibri" w:cs="Calibri"/>
                <w:sz w:val="22"/>
              </w:rPr>
              <w:t>Земно покритие и тип озеленяване</w:t>
            </w:r>
          </w:p>
        </w:tc>
        <w:tc>
          <w:tcPr>
            <w:tcW w:w="5557" w:type="dxa"/>
            <w:tcMar>
              <w:top w:w="14" w:type="dxa"/>
              <w:left w:w="115" w:type="dxa"/>
              <w:bottom w:w="14" w:type="dxa"/>
              <w:right w:w="115" w:type="dxa"/>
            </w:tcMar>
            <w:vAlign w:val="center"/>
          </w:tcPr>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Отношение застроена/незастроена площ</w:t>
            </w:r>
          </w:p>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Процент на площта, покрита с висока растителност –         дървета и храсти</w:t>
            </w:r>
          </w:p>
        </w:tc>
      </w:tr>
      <w:tr w:rsidR="00AA4661" w:rsidRPr="00F8728A" w:rsidTr="00C43227">
        <w:trPr>
          <w:jc w:val="center"/>
        </w:trPr>
        <w:tc>
          <w:tcPr>
            <w:tcW w:w="3505" w:type="dxa"/>
            <w:shd w:val="clear" w:color="auto" w:fill="B8CCE4"/>
            <w:tcMar>
              <w:top w:w="14" w:type="dxa"/>
              <w:left w:w="115" w:type="dxa"/>
              <w:bottom w:w="14" w:type="dxa"/>
              <w:right w:w="115" w:type="dxa"/>
            </w:tcMar>
            <w:vAlign w:val="center"/>
          </w:tcPr>
          <w:p w:rsidR="00AA4661" w:rsidRPr="00F8728A" w:rsidRDefault="00AA4661" w:rsidP="002C1420">
            <w:pPr>
              <w:spacing w:before="20" w:after="20" w:line="21" w:lineRule="atLeast"/>
              <w:rPr>
                <w:rFonts w:ascii="Calibri" w:hAnsi="Calibri" w:cs="Calibri"/>
                <w:sz w:val="22"/>
              </w:rPr>
            </w:pPr>
            <w:r w:rsidRPr="00F8728A">
              <w:rPr>
                <w:rFonts w:ascii="Calibri" w:hAnsi="Calibri" w:cs="Calibri"/>
                <w:sz w:val="22"/>
              </w:rPr>
              <w:t>Възраст на жилищните и публичните сгради и степен на адаптация</w:t>
            </w:r>
          </w:p>
        </w:tc>
        <w:tc>
          <w:tcPr>
            <w:tcW w:w="5557" w:type="dxa"/>
            <w:tcMar>
              <w:top w:w="14" w:type="dxa"/>
              <w:left w:w="115" w:type="dxa"/>
              <w:bottom w:w="14" w:type="dxa"/>
              <w:right w:w="115" w:type="dxa"/>
            </w:tcMar>
            <w:vAlign w:val="center"/>
          </w:tcPr>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Брой на новите или обновени жилищни и публични сгради</w:t>
            </w:r>
          </w:p>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 xml:space="preserve">Възраст на жилищния фонд </w:t>
            </w:r>
          </w:p>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Брой на новите сгради, сертифицирани за устойчива архитектура (процент от общия)</w:t>
            </w:r>
          </w:p>
        </w:tc>
      </w:tr>
      <w:tr w:rsidR="00AA4661" w:rsidRPr="00F8728A" w:rsidTr="00C43227">
        <w:trPr>
          <w:jc w:val="center"/>
        </w:trPr>
        <w:tc>
          <w:tcPr>
            <w:tcW w:w="3505" w:type="dxa"/>
            <w:shd w:val="clear" w:color="auto" w:fill="B8CCE4"/>
            <w:tcMar>
              <w:top w:w="14" w:type="dxa"/>
              <w:left w:w="115" w:type="dxa"/>
              <w:bottom w:w="14" w:type="dxa"/>
              <w:right w:w="115" w:type="dxa"/>
            </w:tcMar>
            <w:vAlign w:val="center"/>
          </w:tcPr>
          <w:p w:rsidR="00AA4661" w:rsidRPr="00F8728A" w:rsidRDefault="00AA4661" w:rsidP="002C1420">
            <w:pPr>
              <w:spacing w:before="20" w:after="20" w:line="21" w:lineRule="atLeast"/>
              <w:jc w:val="both"/>
              <w:rPr>
                <w:rFonts w:ascii="Calibri" w:hAnsi="Calibri" w:cs="Calibri"/>
                <w:sz w:val="22"/>
              </w:rPr>
            </w:pPr>
            <w:r w:rsidRPr="00F8728A">
              <w:rPr>
                <w:rFonts w:ascii="Calibri" w:hAnsi="Calibri" w:cs="Calibri"/>
                <w:sz w:val="22"/>
              </w:rPr>
              <w:t>Отоплителни/охлаждащи системи</w:t>
            </w:r>
          </w:p>
        </w:tc>
        <w:tc>
          <w:tcPr>
            <w:tcW w:w="5557" w:type="dxa"/>
            <w:tcMar>
              <w:top w:w="14" w:type="dxa"/>
              <w:left w:w="115" w:type="dxa"/>
              <w:bottom w:w="14" w:type="dxa"/>
              <w:right w:w="115" w:type="dxa"/>
            </w:tcMar>
            <w:vAlign w:val="center"/>
          </w:tcPr>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Тип отоплителни/охлаждащи системи – процент на сградите с климатични инсталации</w:t>
            </w:r>
          </w:p>
        </w:tc>
      </w:tr>
      <w:tr w:rsidR="00AA4661" w:rsidRPr="00F8728A" w:rsidTr="00C43227">
        <w:trPr>
          <w:trHeight w:val="254"/>
          <w:jc w:val="center"/>
        </w:trPr>
        <w:tc>
          <w:tcPr>
            <w:tcW w:w="9062" w:type="dxa"/>
            <w:gridSpan w:val="2"/>
            <w:shd w:val="clear" w:color="auto" w:fill="F2F2F2"/>
            <w:tcMar>
              <w:top w:w="14" w:type="dxa"/>
              <w:left w:w="115" w:type="dxa"/>
              <w:bottom w:w="14" w:type="dxa"/>
              <w:right w:w="115" w:type="dxa"/>
            </w:tcMar>
            <w:vAlign w:val="center"/>
          </w:tcPr>
          <w:p w:rsidR="00AA4661" w:rsidRPr="00F8728A" w:rsidRDefault="00AA4661" w:rsidP="002C1420">
            <w:pPr>
              <w:spacing w:before="20" w:after="20" w:line="21" w:lineRule="atLeast"/>
              <w:jc w:val="center"/>
              <w:rPr>
                <w:rFonts w:ascii="Calibri" w:hAnsi="Calibri" w:cs="Calibri"/>
                <w:b/>
                <w:sz w:val="22"/>
              </w:rPr>
            </w:pPr>
            <w:r w:rsidRPr="00F8728A">
              <w:rPr>
                <w:rFonts w:ascii="Calibri" w:hAnsi="Calibri" w:cs="Calibri"/>
                <w:b/>
                <w:sz w:val="22"/>
              </w:rPr>
              <w:t>Социално-икономически индикатори</w:t>
            </w:r>
          </w:p>
        </w:tc>
      </w:tr>
      <w:tr w:rsidR="00AA4661" w:rsidRPr="00F8728A" w:rsidTr="00C43227">
        <w:trPr>
          <w:jc w:val="center"/>
        </w:trPr>
        <w:tc>
          <w:tcPr>
            <w:tcW w:w="3505" w:type="dxa"/>
            <w:shd w:val="clear" w:color="auto" w:fill="B8CCE4"/>
            <w:tcMar>
              <w:top w:w="14" w:type="dxa"/>
              <w:left w:w="115" w:type="dxa"/>
              <w:bottom w:w="14" w:type="dxa"/>
              <w:right w:w="115" w:type="dxa"/>
            </w:tcMar>
            <w:vAlign w:val="center"/>
          </w:tcPr>
          <w:p w:rsidR="00AA4661" w:rsidRPr="00F8728A" w:rsidRDefault="00AA4661" w:rsidP="002C1420">
            <w:pPr>
              <w:spacing w:before="20" w:after="20" w:line="21" w:lineRule="atLeast"/>
              <w:rPr>
                <w:rFonts w:ascii="Calibri" w:hAnsi="Calibri" w:cs="Calibri"/>
                <w:sz w:val="22"/>
              </w:rPr>
            </w:pPr>
            <w:r w:rsidRPr="00F8728A">
              <w:rPr>
                <w:rFonts w:ascii="Calibri" w:hAnsi="Calibri" w:cs="Calibri"/>
                <w:sz w:val="22"/>
              </w:rPr>
              <w:t>Демографска структура и динамика</w:t>
            </w:r>
          </w:p>
        </w:tc>
        <w:tc>
          <w:tcPr>
            <w:tcW w:w="5557" w:type="dxa"/>
            <w:tcMar>
              <w:top w:w="14" w:type="dxa"/>
              <w:left w:w="115" w:type="dxa"/>
              <w:bottom w:w="14" w:type="dxa"/>
              <w:right w:w="115" w:type="dxa"/>
            </w:tcMar>
            <w:vAlign w:val="center"/>
          </w:tcPr>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 xml:space="preserve">Брой и процент на градското население на възраст 65+ </w:t>
            </w:r>
          </w:p>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Брой и процент на градското население без образование</w:t>
            </w:r>
          </w:p>
        </w:tc>
      </w:tr>
      <w:tr w:rsidR="00AA4661" w:rsidRPr="00F8728A" w:rsidTr="00C43227">
        <w:trPr>
          <w:jc w:val="center"/>
        </w:trPr>
        <w:tc>
          <w:tcPr>
            <w:tcW w:w="3505" w:type="dxa"/>
            <w:shd w:val="clear" w:color="auto" w:fill="B8CCE4"/>
            <w:tcMar>
              <w:top w:w="14" w:type="dxa"/>
              <w:left w:w="115" w:type="dxa"/>
              <w:bottom w:w="14" w:type="dxa"/>
              <w:right w:w="115" w:type="dxa"/>
            </w:tcMar>
            <w:vAlign w:val="center"/>
          </w:tcPr>
          <w:p w:rsidR="00AA4661" w:rsidRPr="00F8728A" w:rsidRDefault="00AA4661" w:rsidP="002C1420">
            <w:pPr>
              <w:spacing w:before="20" w:after="20" w:line="21" w:lineRule="atLeast"/>
              <w:rPr>
                <w:rFonts w:ascii="Calibri" w:hAnsi="Calibri" w:cs="Calibri"/>
                <w:sz w:val="22"/>
              </w:rPr>
            </w:pPr>
            <w:r w:rsidRPr="00F8728A">
              <w:rPr>
                <w:rFonts w:ascii="Calibri" w:hAnsi="Calibri" w:cs="Calibri"/>
                <w:sz w:val="22"/>
              </w:rPr>
              <w:t>Заетост и безработица</w:t>
            </w:r>
          </w:p>
        </w:tc>
        <w:tc>
          <w:tcPr>
            <w:tcW w:w="5557" w:type="dxa"/>
            <w:tcMar>
              <w:top w:w="14" w:type="dxa"/>
              <w:left w:w="115" w:type="dxa"/>
              <w:bottom w:w="14" w:type="dxa"/>
              <w:right w:w="115" w:type="dxa"/>
            </w:tcMar>
            <w:vAlign w:val="center"/>
          </w:tcPr>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 xml:space="preserve">Брой заети </w:t>
            </w:r>
          </w:p>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Брой трайно безработни</w:t>
            </w:r>
          </w:p>
        </w:tc>
      </w:tr>
      <w:tr w:rsidR="00AA4661" w:rsidRPr="00F8728A" w:rsidTr="00C43227">
        <w:trPr>
          <w:jc w:val="center"/>
        </w:trPr>
        <w:tc>
          <w:tcPr>
            <w:tcW w:w="3505" w:type="dxa"/>
            <w:shd w:val="clear" w:color="auto" w:fill="B8CCE4"/>
            <w:tcMar>
              <w:top w:w="14" w:type="dxa"/>
              <w:left w:w="115" w:type="dxa"/>
              <w:bottom w:w="14" w:type="dxa"/>
              <w:right w:w="115" w:type="dxa"/>
            </w:tcMar>
            <w:vAlign w:val="center"/>
          </w:tcPr>
          <w:p w:rsidR="00AA4661" w:rsidRPr="00F8728A" w:rsidRDefault="00AA4661" w:rsidP="002C1420">
            <w:pPr>
              <w:spacing w:before="20" w:after="20" w:line="21" w:lineRule="atLeast"/>
              <w:rPr>
                <w:rFonts w:ascii="Calibri" w:hAnsi="Calibri" w:cs="Calibri"/>
                <w:sz w:val="22"/>
              </w:rPr>
            </w:pPr>
            <w:r w:rsidRPr="00F8728A">
              <w:rPr>
                <w:rFonts w:ascii="Calibri" w:hAnsi="Calibri" w:cs="Calibri"/>
                <w:sz w:val="22"/>
              </w:rPr>
              <w:t>Доход</w:t>
            </w:r>
          </w:p>
        </w:tc>
        <w:tc>
          <w:tcPr>
            <w:tcW w:w="5557" w:type="dxa"/>
            <w:tcMar>
              <w:top w:w="14" w:type="dxa"/>
              <w:left w:w="115" w:type="dxa"/>
              <w:bottom w:w="14" w:type="dxa"/>
              <w:right w:w="115" w:type="dxa"/>
            </w:tcMar>
            <w:vAlign w:val="center"/>
          </w:tcPr>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Доход на домакинство</w:t>
            </w:r>
          </w:p>
        </w:tc>
      </w:tr>
      <w:tr w:rsidR="00AA4661" w:rsidRPr="00F8728A" w:rsidTr="00C43227">
        <w:trPr>
          <w:jc w:val="center"/>
        </w:trPr>
        <w:tc>
          <w:tcPr>
            <w:tcW w:w="3505" w:type="dxa"/>
            <w:shd w:val="clear" w:color="auto" w:fill="B8CCE4"/>
            <w:tcMar>
              <w:top w:w="14" w:type="dxa"/>
              <w:left w:w="115" w:type="dxa"/>
              <w:bottom w:w="14" w:type="dxa"/>
              <w:right w:w="115" w:type="dxa"/>
            </w:tcMar>
            <w:vAlign w:val="center"/>
          </w:tcPr>
          <w:p w:rsidR="00AA4661" w:rsidRPr="00F8728A" w:rsidRDefault="00AA4661" w:rsidP="002C1420">
            <w:pPr>
              <w:spacing w:before="20" w:after="20" w:line="21" w:lineRule="atLeast"/>
              <w:rPr>
                <w:rFonts w:ascii="Calibri" w:hAnsi="Calibri" w:cs="Calibri"/>
                <w:sz w:val="22"/>
              </w:rPr>
            </w:pPr>
            <w:r w:rsidRPr="00F8728A">
              <w:rPr>
                <w:rFonts w:ascii="Calibri" w:hAnsi="Calibri" w:cs="Calibri"/>
                <w:sz w:val="22"/>
              </w:rPr>
              <w:t>Бедност и уязвимост</w:t>
            </w:r>
          </w:p>
        </w:tc>
        <w:tc>
          <w:tcPr>
            <w:tcW w:w="5557" w:type="dxa"/>
            <w:tcMar>
              <w:top w:w="14" w:type="dxa"/>
              <w:left w:w="115" w:type="dxa"/>
              <w:bottom w:w="14" w:type="dxa"/>
              <w:right w:w="115" w:type="dxa"/>
            </w:tcMar>
            <w:vAlign w:val="center"/>
          </w:tcPr>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Брой население ( процента) под границата на бедността</w:t>
            </w:r>
          </w:p>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Брой (процента) население на социални помощи</w:t>
            </w:r>
          </w:p>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Брой (процента) хора с увреждания и с ограничена подвижност</w:t>
            </w:r>
          </w:p>
        </w:tc>
      </w:tr>
    </w:tbl>
    <w:p w:rsidR="00AA4661" w:rsidRPr="00B73D7E" w:rsidRDefault="00AA4661" w:rsidP="00CF297A">
      <w:pPr>
        <w:pStyle w:val="BodyText"/>
        <w:numPr>
          <w:ilvl w:val="0"/>
          <w:numId w:val="41"/>
        </w:numPr>
        <w:spacing w:before="200"/>
        <w:ind w:left="0" w:firstLine="0"/>
        <w:rPr>
          <w:lang w:val="bg-BG"/>
        </w:rPr>
      </w:pPr>
      <w:r w:rsidRPr="00B73D7E">
        <w:rPr>
          <w:lang w:val="bg-BG"/>
        </w:rPr>
        <w:t>Тези групи общи индикатори не включват специални индикатори за градски структури/сгради като непропускливост, устойчивост, отражателна способност и т.н., които някои от специалистите в областта смятат за съществени за урбанистичната гъвкавост и АИК, и които са свързани също с екстремните температури, топлинните острови и оттичането на повърхностните води. Те са по-подходящи за документите за АИК на местно ниво и за оценяване на индивидуални архитектурни проекти.</w:t>
      </w:r>
    </w:p>
    <w:p w:rsidR="00AA4661" w:rsidRPr="00B73D7E" w:rsidRDefault="00AA4661" w:rsidP="00CF297A">
      <w:pPr>
        <w:pStyle w:val="BodyText"/>
        <w:numPr>
          <w:ilvl w:val="0"/>
          <w:numId w:val="41"/>
        </w:numPr>
        <w:ind w:left="0" w:firstLine="0"/>
        <w:rPr>
          <w:lang w:val="bg-BG"/>
        </w:rPr>
      </w:pPr>
      <w:r w:rsidRPr="00B73D7E">
        <w:rPr>
          <w:lang w:val="bg-BG"/>
        </w:rPr>
        <w:t xml:space="preserve">Групирани по такъв начин, индикаторите позволяват по-голяма гъвкавост в приложението си и дават възможности за по-нататъшно развитие в зависимост от нивото на приложение (национално, регионално, градско или към отделни сгради) и от целите на съответната оценка (ресурси, въздействия, резултати). Информационното им поддържане се осигурява чрез връзките с документи за пространствено и градско планиране – Общи устройствени планове и ИПГВР, Общински планове за развитие. Значителна част от индикаторите се използва също за оценка на инвестиционните програми или Плановете за действие. </w:t>
      </w:r>
    </w:p>
    <w:p w:rsidR="00AA4661" w:rsidRPr="00B73D7E" w:rsidRDefault="00AA4661" w:rsidP="00CF297A">
      <w:pPr>
        <w:pStyle w:val="BodyText"/>
        <w:numPr>
          <w:ilvl w:val="0"/>
          <w:numId w:val="41"/>
        </w:numPr>
        <w:ind w:left="0" w:firstLine="0"/>
        <w:rPr>
          <w:lang w:val="bg-BG"/>
        </w:rPr>
      </w:pPr>
      <w:r w:rsidRPr="00B73D7E">
        <w:rPr>
          <w:lang w:val="bg-BG"/>
        </w:rPr>
        <w:t>Този подход ще даде като резултат по-голяма ефикасност при събирането и обработването на информацията, необходима за тяхното изпълнение. Важно предимство на тези индикатори е възможността за прилагане на ГИС като инструмент, който да свърже по-добре адаптационното планиране с пространственото планиране.</w:t>
      </w:r>
    </w:p>
    <w:p w:rsidR="00AA4661" w:rsidRPr="00B73D7E" w:rsidRDefault="00AA4661" w:rsidP="00AA11D4">
      <w:pPr>
        <w:pStyle w:val="Heading3"/>
        <w:spacing w:before="160"/>
        <w:rPr>
          <w:lang w:val="bg-BG"/>
        </w:rPr>
      </w:pPr>
      <w:bookmarkStart w:id="713" w:name="_Toc486513839"/>
      <w:bookmarkStart w:id="714" w:name="_Toc486942217"/>
      <w:bookmarkStart w:id="715" w:name="_Toc501454894"/>
      <w:bookmarkStart w:id="716" w:name="_Toc522030597"/>
      <w:bookmarkStart w:id="717" w:name="_Toc529285582"/>
      <w:r w:rsidRPr="00B73D7E">
        <w:rPr>
          <w:lang w:val="bg-BG"/>
        </w:rPr>
        <w:t>Ограничения и ползи, последствия на бездействието/несполучливата адаптация</w:t>
      </w:r>
      <w:bookmarkEnd w:id="713"/>
      <w:bookmarkEnd w:id="714"/>
      <w:bookmarkEnd w:id="715"/>
      <w:bookmarkEnd w:id="716"/>
      <w:bookmarkEnd w:id="717"/>
      <w:r w:rsidRPr="00B73D7E">
        <w:rPr>
          <w:lang w:val="bg-BG"/>
        </w:rPr>
        <w:t xml:space="preserve"> </w:t>
      </w:r>
    </w:p>
    <w:p w:rsidR="00AA4661" w:rsidRPr="00B73D7E" w:rsidRDefault="00AA4661" w:rsidP="00CF297A">
      <w:pPr>
        <w:pStyle w:val="BodyText"/>
        <w:numPr>
          <w:ilvl w:val="0"/>
          <w:numId w:val="41"/>
        </w:numPr>
        <w:ind w:left="0" w:firstLine="0"/>
        <w:rPr>
          <w:lang w:val="bg-BG"/>
        </w:rPr>
      </w:pPr>
      <w:r w:rsidRPr="00B73D7E">
        <w:rPr>
          <w:lang w:val="bg-BG"/>
        </w:rPr>
        <w:t>След публикуването на Четвъртия доклад за оценка на IPCC на ООН през 2007 г. е налице повишен интерес към изучаването на ограниченията на адаптацията и ползите от нея, както и на последствията от несполучливата адаптация.</w:t>
      </w:r>
    </w:p>
    <w:p w:rsidR="00AA4661" w:rsidRPr="00F8728A" w:rsidRDefault="00AA4661" w:rsidP="00B51FED">
      <w:pPr>
        <w:keepNext/>
        <w:keepLines/>
        <w:spacing w:before="60" w:after="0" w:line="276" w:lineRule="auto"/>
        <w:jc w:val="both"/>
        <w:outlineLvl w:val="3"/>
        <w:rPr>
          <w:rFonts w:ascii="Calibri" w:hAnsi="Calibri"/>
          <w:i/>
          <w:iCs/>
          <w:color w:val="365F91"/>
          <w:sz w:val="24"/>
          <w:szCs w:val="24"/>
          <w:shd w:val="clear" w:color="auto" w:fill="FFFFFF"/>
        </w:rPr>
      </w:pPr>
      <w:bookmarkStart w:id="718" w:name="_Toc486513840"/>
      <w:r w:rsidRPr="00F8728A">
        <w:rPr>
          <w:rFonts w:ascii="Calibri" w:hAnsi="Calibri"/>
          <w:i/>
          <w:iCs/>
          <w:color w:val="365F91"/>
          <w:sz w:val="24"/>
          <w:szCs w:val="24"/>
          <w:shd w:val="clear" w:color="auto" w:fill="FFFFFF"/>
        </w:rPr>
        <w:t>Ограничения</w:t>
      </w:r>
      <w:bookmarkEnd w:id="718"/>
    </w:p>
    <w:p w:rsidR="00AA4661" w:rsidRPr="00B73D7E" w:rsidRDefault="00AA4661" w:rsidP="00CF297A">
      <w:pPr>
        <w:pStyle w:val="BodyText"/>
        <w:numPr>
          <w:ilvl w:val="0"/>
          <w:numId w:val="41"/>
        </w:numPr>
        <w:ind w:left="0" w:firstLine="0"/>
        <w:rPr>
          <w:lang w:val="bg-BG"/>
        </w:rPr>
      </w:pPr>
      <w:r w:rsidRPr="00B73D7E">
        <w:rPr>
          <w:shd w:val="clear" w:color="auto" w:fill="FFFFFF"/>
          <w:lang w:val="bg-BG"/>
        </w:rPr>
        <w:t>Гореспоменатият доклад, който, освен друго, се занимава и с оценка на адаптационните практики, варианти, ограничения и капацитет (Adger и колектив, 2007 г.), определя ограниченията като „условия и фактори, които правят адаптацията неефективна като реакция на климатичните промени</w:t>
      </w:r>
      <w:r w:rsidRPr="00B73D7E">
        <w:rPr>
          <w:i/>
          <w:shd w:val="clear" w:color="auto" w:fill="FFFFFF"/>
          <w:lang w:val="bg-BG"/>
        </w:rPr>
        <w:t>“</w:t>
      </w:r>
      <w:r w:rsidRPr="00B73D7E">
        <w:rPr>
          <w:shd w:val="clear" w:color="auto" w:fill="FFFFFF"/>
          <w:lang w:val="bg-BG"/>
        </w:rPr>
        <w:t xml:space="preserve"> и разглежда 5 групи ограничения: (а) физически и екологични ограничения; (б) </w:t>
      </w:r>
      <w:r w:rsidRPr="00B73D7E">
        <w:rPr>
          <w:lang w:val="bg-BG"/>
        </w:rPr>
        <w:t xml:space="preserve">технически ограничения; (в) финансови бариери; (г) информационни и познавателни бариери и (д) социални и културни бариери. </w:t>
      </w:r>
    </w:p>
    <w:p w:rsidR="00AA4661" w:rsidRPr="00B73D7E" w:rsidRDefault="00AA4661" w:rsidP="00CF297A">
      <w:pPr>
        <w:pStyle w:val="BodyText"/>
        <w:numPr>
          <w:ilvl w:val="0"/>
          <w:numId w:val="41"/>
        </w:numPr>
        <w:ind w:left="0" w:firstLine="0"/>
        <w:rPr>
          <w:lang w:val="bg-BG"/>
        </w:rPr>
      </w:pPr>
      <w:r w:rsidRPr="00B73D7E">
        <w:rPr>
          <w:lang w:val="bg-BG"/>
        </w:rPr>
        <w:t>В други проучвания и публикации е избран подход, ориентиран към основните участници, тъй като всички ограничения произхождат от институциите и лицата, отговорни за прилагането на вариантите за адаптация (Rosenzweig и колектив, 2011 г.). В тези видове оценка също се споменават ограниченията в резултат на лоша координация в многопластовото градско управление, което се извършва в определени административни граници, докато замърсяването на въздуха и водата не признава граници. Например управлението на водите на язовир Искър, чийто водосборен район попада в община Самоков, снабдява с питейна вода столицата София. Съответно Столична община едва ли може да контролира нарушенията на строителните ограничения в тази част на охраняемата зона, качеството на водата и състоянието на канализацията на близките урбанизирани територии.</w:t>
      </w:r>
    </w:p>
    <w:p w:rsidR="00AA4661" w:rsidRPr="00B73D7E" w:rsidRDefault="00AA4661" w:rsidP="00CF297A">
      <w:pPr>
        <w:pStyle w:val="BodyText"/>
        <w:numPr>
          <w:ilvl w:val="0"/>
          <w:numId w:val="41"/>
        </w:numPr>
        <w:ind w:left="0" w:firstLine="0"/>
        <w:rPr>
          <w:lang w:val="bg-BG"/>
        </w:rPr>
      </w:pPr>
      <w:r w:rsidRPr="00B73D7E">
        <w:rPr>
          <w:lang w:val="bg-BG"/>
        </w:rPr>
        <w:t>Ограниченията на физическото обкръжение са свързани със способността на градската среда за осъществяване на адаптационни мерки без нарушаване на други функции. Най-впечатляващият пример в градската среда са зелените площи в големите градове, където растителността страда от тежкото замърсяване на въздуха и почвата и престава да изпълнява функциите си за пречистване на въздуха и понижаване на температурата. Използването на буферна растителност около натоварените градски магистрали, част от градската зелена система за аерация и вентилация, също страда от вредни емисии, но и от обработването на улиците против заледяване през зимния сезон. Корекциите на речните корита, използвани за борба с наводненията, са пагубни за естествения им характер и често предизвикват протести на природозащитниците. В България са били правени много опити да се определи екологичния капацитет на курортните територии и на градските и крайградски паркове, за да се запази екологичният им баланс, но е трудно да се проследи спазването на такива норми. Този тип ограничения създава допълнителни конфликти на интереси в България, произтичащи от реституцията на големи части от земята извън населените места, където биха могли да се осъществят подходящи мерки за адаптация, за да се засили екологичният им капацитет.</w:t>
      </w:r>
    </w:p>
    <w:p w:rsidR="00AA4661" w:rsidRPr="00B73D7E" w:rsidRDefault="00AA4661" w:rsidP="00CF297A">
      <w:pPr>
        <w:pStyle w:val="BodyText"/>
        <w:numPr>
          <w:ilvl w:val="0"/>
          <w:numId w:val="41"/>
        </w:numPr>
        <w:ind w:left="0" w:firstLine="0"/>
        <w:rPr>
          <w:lang w:val="bg-BG"/>
        </w:rPr>
      </w:pPr>
      <w:r w:rsidRPr="00B73D7E">
        <w:rPr>
          <w:lang w:val="bg-BG"/>
        </w:rPr>
        <w:t>Най-сериозното физическо ограничение за градската адаптация към климатичните промени са кварталите с презастрояване при висока плътност на застрояване и висок коефициент на интензивност  на застрояване на имота. Общото унищожаване на градската структура, тъкан и характер води до пълна трансформация на градската екология и климат. Пример за това е Лозенец в София, превърнал се от най-зеления и най-престижен квартал на града в отрицателен пример за разрушаване на природната среда.</w:t>
      </w: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115" w:type="dxa"/>
          <w:right w:w="115" w:type="dxa"/>
        </w:tblCellMar>
        <w:tblLook w:val="00A0" w:firstRow="1" w:lastRow="0" w:firstColumn="1" w:lastColumn="0" w:noHBand="0" w:noVBand="0"/>
      </w:tblPr>
      <w:tblGrid>
        <w:gridCol w:w="4643"/>
        <w:gridCol w:w="4419"/>
      </w:tblGrid>
      <w:tr w:rsidR="00AA4661" w:rsidRPr="00F8728A" w:rsidTr="002B21B0">
        <w:tc>
          <w:tcPr>
            <w:tcW w:w="4643" w:type="dxa"/>
            <w:tcMar>
              <w:left w:w="0" w:type="dxa"/>
              <w:right w:w="0" w:type="dxa"/>
            </w:tcMar>
          </w:tcPr>
          <w:p w:rsidR="00AA4661" w:rsidRPr="00F8728A" w:rsidRDefault="00AA4661" w:rsidP="00B73D7E">
            <w:pPr>
              <w:pStyle w:val="FiguresTablesCaption"/>
              <w:spacing w:before="60" w:after="60"/>
              <w:rPr>
                <w:rFonts w:cs="Arial"/>
              </w:rPr>
            </w:pPr>
            <w:bookmarkStart w:id="719" w:name="_Toc506143769"/>
            <w:bookmarkStart w:id="720" w:name="_Toc529286492"/>
            <w:bookmarkStart w:id="721" w:name="_Toc529286567"/>
            <w:r w:rsidRPr="00B73D7E">
              <w:t xml:space="preserve">Фигура </w:t>
            </w:r>
            <w:r w:rsidRPr="00B73D7E">
              <w:fldChar w:fldCharType="begin"/>
            </w:r>
            <w:r w:rsidRPr="00B73D7E">
              <w:instrText xml:space="preserve"> SEQ Figure \* ARABIC </w:instrText>
            </w:r>
            <w:r w:rsidRPr="00B73D7E">
              <w:fldChar w:fldCharType="separate"/>
            </w:r>
            <w:r w:rsidRPr="00B73D7E">
              <w:t>17</w:t>
            </w:r>
            <w:r w:rsidRPr="00B73D7E">
              <w:fldChar w:fldCharType="end"/>
            </w:r>
            <w:r w:rsidRPr="00B73D7E">
              <w:t>. Екстензивно развитие на столицата София</w:t>
            </w:r>
            <w:bookmarkEnd w:id="719"/>
            <w:bookmarkEnd w:id="720"/>
            <w:bookmarkEnd w:id="721"/>
          </w:p>
        </w:tc>
        <w:tc>
          <w:tcPr>
            <w:tcW w:w="4419" w:type="dxa"/>
            <w:tcMar>
              <w:left w:w="0" w:type="dxa"/>
              <w:right w:w="0" w:type="dxa"/>
            </w:tcMar>
          </w:tcPr>
          <w:p w:rsidR="00AA4661" w:rsidRPr="00F8728A" w:rsidRDefault="00AA4661" w:rsidP="00B73D7E">
            <w:pPr>
              <w:pStyle w:val="FiguresTablesCaption"/>
              <w:spacing w:before="60" w:after="60"/>
              <w:rPr>
                <w:rFonts w:cs="Arial"/>
              </w:rPr>
            </w:pPr>
            <w:bookmarkStart w:id="722" w:name="_Toc506143770"/>
            <w:bookmarkStart w:id="723" w:name="_Toc529286493"/>
            <w:bookmarkStart w:id="724" w:name="_Toc529286568"/>
            <w:r w:rsidRPr="00F8728A">
              <w:t xml:space="preserve">Фигура </w:t>
            </w:r>
            <w:r w:rsidRPr="00F8728A">
              <w:fldChar w:fldCharType="begin"/>
            </w:r>
            <w:r w:rsidRPr="00F8728A">
              <w:instrText xml:space="preserve"> SEQ Figure \* ARABIC </w:instrText>
            </w:r>
            <w:r w:rsidRPr="00F8728A">
              <w:fldChar w:fldCharType="separate"/>
            </w:r>
            <w:r w:rsidRPr="00F8728A">
              <w:t>18</w:t>
            </w:r>
            <w:r w:rsidRPr="00F8728A">
              <w:fldChar w:fldCharType="end"/>
            </w:r>
            <w:r w:rsidRPr="00F8728A">
              <w:t>. Типове градска тъкан в столицата София</w:t>
            </w:r>
            <w:bookmarkEnd w:id="722"/>
            <w:bookmarkEnd w:id="723"/>
            <w:bookmarkEnd w:id="724"/>
          </w:p>
        </w:tc>
      </w:tr>
      <w:tr w:rsidR="00AA4661" w:rsidRPr="00F8728A" w:rsidTr="002B21B0">
        <w:trPr>
          <w:trHeight w:val="3502"/>
        </w:trPr>
        <w:tc>
          <w:tcPr>
            <w:tcW w:w="4643" w:type="dxa"/>
            <w:tcMar>
              <w:left w:w="0" w:type="dxa"/>
              <w:right w:w="0" w:type="dxa"/>
            </w:tcMar>
          </w:tcPr>
          <w:p w:rsidR="00AA4661" w:rsidRPr="00F8728A" w:rsidRDefault="00084198" w:rsidP="00676435">
            <w:pPr>
              <w:spacing w:after="0"/>
              <w:jc w:val="both"/>
              <w:rPr>
                <w:rFonts w:ascii="Calibri" w:hAnsi="Calibri" w:cs="Arial"/>
                <w:color w:val="FF0000"/>
                <w:sz w:val="22"/>
              </w:rPr>
            </w:pPr>
            <w:r w:rsidRPr="00B73D7E">
              <w:rPr>
                <w:rFonts w:ascii="Calibri" w:hAnsi="Calibri" w:cs="Arial"/>
                <w:noProof/>
                <w:color w:val="FF0000"/>
                <w:sz w:val="22"/>
                <w:lang w:val="en-US"/>
              </w:rPr>
              <w:drawing>
                <wp:inline distT="0" distB="0" distL="0" distR="0" wp14:anchorId="728F6694" wp14:editId="025F415E">
                  <wp:extent cx="2905125" cy="2199005"/>
                  <wp:effectExtent l="0" t="0" r="0" b="0"/>
                  <wp:docPr id="1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05125" cy="2199005"/>
                          </a:xfrm>
                          <a:prstGeom prst="rect">
                            <a:avLst/>
                          </a:prstGeom>
                          <a:noFill/>
                          <a:ln>
                            <a:noFill/>
                          </a:ln>
                        </pic:spPr>
                      </pic:pic>
                    </a:graphicData>
                  </a:graphic>
                </wp:inline>
              </w:drawing>
            </w:r>
          </w:p>
        </w:tc>
        <w:tc>
          <w:tcPr>
            <w:tcW w:w="4419" w:type="dxa"/>
            <w:tcMar>
              <w:left w:w="0" w:type="dxa"/>
              <w:right w:w="0" w:type="dxa"/>
            </w:tcMar>
          </w:tcPr>
          <w:p w:rsidR="00AA4661" w:rsidRPr="00F8728A" w:rsidRDefault="00084198" w:rsidP="00676435">
            <w:pPr>
              <w:spacing w:after="0"/>
              <w:jc w:val="both"/>
              <w:rPr>
                <w:rFonts w:ascii="Calibri" w:hAnsi="Calibri" w:cs="Arial"/>
                <w:color w:val="FF0000"/>
                <w:sz w:val="22"/>
              </w:rPr>
            </w:pPr>
            <w:r w:rsidRPr="00B73D7E">
              <w:rPr>
                <w:rFonts w:ascii="Calibri" w:hAnsi="Calibri" w:cs="Arial"/>
                <w:noProof/>
                <w:color w:val="FF0000"/>
                <w:sz w:val="22"/>
                <w:lang w:val="en-US"/>
              </w:rPr>
              <w:drawing>
                <wp:inline distT="0" distB="0" distL="0" distR="0" wp14:anchorId="320836F0" wp14:editId="0030673D">
                  <wp:extent cx="2766060" cy="2187575"/>
                  <wp:effectExtent l="0" t="0" r="0" b="0"/>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66060" cy="2187575"/>
                          </a:xfrm>
                          <a:prstGeom prst="rect">
                            <a:avLst/>
                          </a:prstGeom>
                          <a:noFill/>
                          <a:ln>
                            <a:noFill/>
                          </a:ln>
                        </pic:spPr>
                      </pic:pic>
                    </a:graphicData>
                  </a:graphic>
                </wp:inline>
              </w:drawing>
            </w:r>
          </w:p>
        </w:tc>
      </w:tr>
      <w:tr w:rsidR="00AA4661" w:rsidRPr="00F8728A" w:rsidTr="002B21B0">
        <w:tc>
          <w:tcPr>
            <w:tcW w:w="4643" w:type="dxa"/>
            <w:tcMar>
              <w:left w:w="0" w:type="dxa"/>
              <w:right w:w="0" w:type="dxa"/>
            </w:tcMar>
          </w:tcPr>
          <w:p w:rsidR="00AA4661" w:rsidRPr="00F8728A" w:rsidRDefault="00AA4661" w:rsidP="001451FC">
            <w:pPr>
              <w:spacing w:after="160"/>
              <w:jc w:val="center"/>
              <w:rPr>
                <w:rFonts w:ascii="Calibri" w:hAnsi="Calibri" w:cs="Arial"/>
                <w:i/>
                <w:szCs w:val="20"/>
              </w:rPr>
            </w:pPr>
            <w:r w:rsidRPr="00F8728A">
              <w:rPr>
                <w:rFonts w:ascii="Calibri" w:hAnsi="Calibri" w:cs="Calibri"/>
                <w:i/>
                <w:szCs w:val="20"/>
              </w:rPr>
              <w:t>Източник</w:t>
            </w:r>
            <w:r w:rsidRPr="00F8728A">
              <w:rPr>
                <w:rFonts w:ascii="Calibri" w:hAnsi="Calibri"/>
                <w:i/>
                <w:szCs w:val="20"/>
              </w:rPr>
              <w:t>: ЕО на Столична  община  Общ устройствен план, изменение 2009 г.</w:t>
            </w:r>
          </w:p>
        </w:tc>
        <w:tc>
          <w:tcPr>
            <w:tcW w:w="4419" w:type="dxa"/>
            <w:tcMar>
              <w:left w:w="0" w:type="dxa"/>
              <w:right w:w="0" w:type="dxa"/>
            </w:tcMar>
          </w:tcPr>
          <w:p w:rsidR="00AA4661" w:rsidRPr="00F8728A" w:rsidRDefault="00AA4661" w:rsidP="001451FC">
            <w:pPr>
              <w:spacing w:after="60"/>
              <w:jc w:val="center"/>
              <w:rPr>
                <w:rFonts w:ascii="Calibri" w:hAnsi="Calibri" w:cs="Calibri"/>
                <w:i/>
                <w:szCs w:val="20"/>
              </w:rPr>
            </w:pPr>
            <w:r w:rsidRPr="00F8728A">
              <w:rPr>
                <w:rFonts w:ascii="Calibri" w:hAnsi="Calibri" w:cs="Calibri"/>
                <w:i/>
                <w:szCs w:val="20"/>
              </w:rPr>
              <w:t>Източник: Google Earth, сателитна снимка 2012</w:t>
            </w:r>
          </w:p>
        </w:tc>
      </w:tr>
    </w:tbl>
    <w:p w:rsidR="00AA4661" w:rsidRPr="00B73D7E" w:rsidRDefault="00AA4661" w:rsidP="00CF297A">
      <w:pPr>
        <w:pStyle w:val="BodyText"/>
        <w:numPr>
          <w:ilvl w:val="0"/>
          <w:numId w:val="41"/>
        </w:numPr>
        <w:ind w:left="0" w:firstLine="0"/>
        <w:rPr>
          <w:lang w:val="bg-BG"/>
        </w:rPr>
      </w:pPr>
      <w:r w:rsidRPr="00B73D7E">
        <w:rPr>
          <w:lang w:val="bg-BG"/>
        </w:rPr>
        <w:t>Подобни са примерите от градове на българското черноморско крайбрежие, където пясъчни дюни, защитени фиорди и заливи са разрушени от хотели с апартаменти, използвани като втори жилища. Каквито и мерки за адаптация да се приложат, в такива случаи те едва ли ще подобрят микроклимата и психологичния и екологичния комфорт.</w:t>
      </w:r>
    </w:p>
    <w:p w:rsidR="00AA4661" w:rsidRPr="00B73D7E" w:rsidRDefault="00AA4661" w:rsidP="00CF297A">
      <w:pPr>
        <w:pStyle w:val="BodyText"/>
        <w:numPr>
          <w:ilvl w:val="0"/>
          <w:numId w:val="41"/>
        </w:numPr>
        <w:ind w:left="0" w:firstLine="0"/>
        <w:rPr>
          <w:lang w:val="bg-BG"/>
        </w:rPr>
      </w:pPr>
      <w:r w:rsidRPr="00B73D7E">
        <w:rPr>
          <w:lang w:val="bg-BG"/>
        </w:rPr>
        <w:t>Техническите ограничения, особено тези в секторите на градската среда и строителството, трудно могат да бъдат редуцирани чрез готови модели и трансфер на технологии. В условията на продължителна икономическа криза използването на нови технологии за адаптация към климатичните промени става трудно, главно по финансови причини. Броят на новите офис, търговски или производствени/складови сгради, които използват модерни технологии за по-голям климатичен комфорт, пригодени да се справят както с високи, така и с ниски екстремни температури, е пренебрежимо малък.</w:t>
      </w:r>
    </w:p>
    <w:p w:rsidR="00AA4661" w:rsidRPr="00B73D7E" w:rsidRDefault="00AA4661" w:rsidP="00CF297A">
      <w:pPr>
        <w:pStyle w:val="BodyText"/>
        <w:numPr>
          <w:ilvl w:val="0"/>
          <w:numId w:val="41"/>
        </w:numPr>
        <w:ind w:left="0" w:firstLine="0"/>
        <w:rPr>
          <w:lang w:val="bg-BG"/>
        </w:rPr>
      </w:pPr>
      <w:r w:rsidRPr="00B73D7E">
        <w:rPr>
          <w:lang w:val="bg-BG"/>
        </w:rPr>
        <w:t>Финансовите ограничения се очаква да останат най-сериозната бариера за АИК, тъй като успешното осъществяване на вариантите за адаптация в много случаи зависи от финансовата им подкрепа. Създаването на капацитет, образованието и обучението, създаването на единна база данни, изследователската работа, обновяването и енергийното саниране  на сградите ще изискват големи финансови ресурси. Самата подготовка на общините и градовете да преминат от планиране към действие ще изисква финансова подкрепа от държавата. Тази финансова тежест се увеличава в случай на природни бедствия, когато на държавата се разчита да се погрижи за жертвите и да възстанови щетите, поради ниска застрахователна култура.</w:t>
      </w:r>
    </w:p>
    <w:p w:rsidR="00AA4661" w:rsidRPr="00B73D7E" w:rsidRDefault="00AA4661" w:rsidP="00CF297A">
      <w:pPr>
        <w:pStyle w:val="BodyText"/>
        <w:numPr>
          <w:ilvl w:val="0"/>
          <w:numId w:val="41"/>
        </w:numPr>
        <w:ind w:left="0" w:firstLine="0"/>
        <w:rPr>
          <w:lang w:val="bg-BG"/>
        </w:rPr>
      </w:pPr>
      <w:r w:rsidRPr="00B73D7E">
        <w:rPr>
          <w:lang w:val="bg-BG"/>
        </w:rPr>
        <w:t xml:space="preserve">Информационните ограничения в България също са значителни, независимо от предприетите действия и изразходваните ресурси за създаване на бази данни и въвеждане на електронно управление. Шансът да се преодолеят тези бариери е в наличието на добре обучен персонал, на който, за да бъде привлечен в публичната администрация, трябва да бъдат предложени конкурентни заплати в сравнение със сектора на информационните технологии. </w:t>
      </w:r>
    </w:p>
    <w:p w:rsidR="00AA4661" w:rsidRPr="00B73D7E" w:rsidRDefault="00AA4661" w:rsidP="00CF297A">
      <w:pPr>
        <w:pStyle w:val="BodyText"/>
        <w:numPr>
          <w:ilvl w:val="0"/>
          <w:numId w:val="41"/>
        </w:numPr>
        <w:ind w:left="0" w:firstLine="0"/>
        <w:rPr>
          <w:lang w:val="bg-BG"/>
        </w:rPr>
      </w:pPr>
      <w:r w:rsidRPr="00B73D7E">
        <w:rPr>
          <w:lang w:val="bg-BG"/>
        </w:rPr>
        <w:t>Въвеждането на нови технологии в управлението на градските и общинските администрации е предмет на Закона за електронното управление</w:t>
      </w:r>
      <w:r w:rsidRPr="00B73D7E">
        <w:rPr>
          <w:vertAlign w:val="superscript"/>
          <w:lang w:val="bg-BG"/>
        </w:rPr>
        <w:footnoteReference w:id="149"/>
      </w:r>
      <w:r w:rsidRPr="00B73D7E">
        <w:rPr>
          <w:lang w:val="bg-BG"/>
        </w:rPr>
        <w:t xml:space="preserve"> За ускоряването на този процес и подпомагане на създаването на информационни регистри и проектни бази данни беше създадена Държавната агенция за електронно управление (ДАЕУ). Достъпът до пространствени данни, разработването, поддържането и използването на инфраструктурата за пространствена информация и предоставянето на информация за околната среда са уредени от Закона за достъп до пространствени данни</w:t>
      </w:r>
      <w:r w:rsidRPr="00B73D7E">
        <w:rPr>
          <w:vertAlign w:val="superscript"/>
          <w:lang w:val="bg-BG"/>
        </w:rPr>
        <w:footnoteReference w:id="150"/>
      </w:r>
      <w:r w:rsidRPr="00B73D7E">
        <w:rPr>
          <w:lang w:val="bg-BG"/>
        </w:rPr>
        <w:t xml:space="preserve"> , който предвижда създаването на Национален портал за пространствени данни</w:t>
      </w:r>
      <w:r w:rsidRPr="00B73D7E">
        <w:rPr>
          <w:vertAlign w:val="superscript"/>
          <w:lang w:val="bg-BG"/>
        </w:rPr>
        <w:footnoteReference w:id="151"/>
      </w:r>
      <w:r w:rsidRPr="00B73D7E">
        <w:rPr>
          <w:lang w:val="bg-BG"/>
        </w:rPr>
        <w:t xml:space="preserve"> и така изпълнява директивата INSPIRE</w:t>
      </w:r>
      <w:r w:rsidRPr="00B73D7E">
        <w:rPr>
          <w:vertAlign w:val="superscript"/>
          <w:lang w:val="bg-BG"/>
        </w:rPr>
        <w:footnoteReference w:id="152"/>
      </w:r>
      <w:r w:rsidRPr="00B73D7E">
        <w:rPr>
          <w:lang w:val="bg-BG"/>
        </w:rPr>
        <w:t>.</w:t>
      </w:r>
    </w:p>
    <w:p w:rsidR="00AA4661" w:rsidRPr="00B73D7E" w:rsidRDefault="00AA4661" w:rsidP="00CF297A">
      <w:pPr>
        <w:pStyle w:val="BodyText"/>
        <w:numPr>
          <w:ilvl w:val="0"/>
          <w:numId w:val="41"/>
        </w:numPr>
        <w:ind w:left="0" w:firstLine="0"/>
        <w:rPr>
          <w:lang w:val="bg-BG"/>
        </w:rPr>
      </w:pPr>
      <w:r w:rsidRPr="00B73D7E">
        <w:rPr>
          <w:lang w:val="bg-BG"/>
        </w:rPr>
        <w:t xml:space="preserve">Ускоряването на работата на тези звена е крайно важно за пространственото и градското планиране, особено ако в него трябва да се включи адаптивно планиране. Информационните ограничения са свързани също и с финансовите, поради високите разходи за хардуер и софтуер и поради технологичните разходи, дължащи се на недостатъчното оборудване в институциите, кметствата и фирмите в областта на градското планиране. </w:t>
      </w:r>
    </w:p>
    <w:p w:rsidR="00AA4661" w:rsidRPr="00B73D7E" w:rsidRDefault="00AA4661" w:rsidP="00CF297A">
      <w:pPr>
        <w:pStyle w:val="BodyText"/>
        <w:numPr>
          <w:ilvl w:val="0"/>
          <w:numId w:val="41"/>
        </w:numPr>
        <w:ind w:left="0" w:firstLine="0"/>
        <w:rPr>
          <w:lang w:val="bg-BG"/>
        </w:rPr>
      </w:pPr>
      <w:r w:rsidRPr="00B73D7E">
        <w:rPr>
          <w:lang w:val="bg-BG"/>
        </w:rPr>
        <w:t>Социалните и културните ограничения са свързани с личностни и социални нагласи по отношение на климатичната промяна и риск, със слабата надеждност на информацията и с недоверието, че институциите ще изпълнят ефективно мерките за адаптация. Съществува също скептицизъм относно нуждата от нови типове документи за стратегическо управление на риска и АИК</w:t>
      </w:r>
      <w:r w:rsidRPr="00B73D7E">
        <w:rPr>
          <w:vertAlign w:val="superscript"/>
          <w:lang w:val="bg-BG"/>
        </w:rPr>
        <w:footnoteReference w:id="153"/>
      </w:r>
      <w:r w:rsidRPr="00B73D7E">
        <w:rPr>
          <w:lang w:val="bg-BG"/>
        </w:rPr>
        <w:t>. За намаляване влиянието на тези ограничения от съществено значение са културата, поведението, отзивчивостта и вземането на решения, както и умелото управление. По тази причина вариантите за адаптация в настоящия доклад включват съответни мерки за повишаване на съзнанието чрез обучение, изграждане на капацитет и партньорство.</w:t>
      </w:r>
    </w:p>
    <w:p w:rsidR="00AA4661" w:rsidRPr="00F8728A" w:rsidRDefault="00AA4661" w:rsidP="00676435">
      <w:pPr>
        <w:keepNext/>
        <w:keepLines/>
        <w:spacing w:before="60" w:after="0" w:line="264" w:lineRule="auto"/>
        <w:jc w:val="both"/>
        <w:outlineLvl w:val="3"/>
        <w:rPr>
          <w:rFonts w:ascii="Calibri" w:hAnsi="Calibri"/>
          <w:i/>
          <w:iCs/>
          <w:color w:val="365F91"/>
          <w:sz w:val="24"/>
          <w:szCs w:val="24"/>
        </w:rPr>
      </w:pPr>
      <w:bookmarkStart w:id="725" w:name="_Toc486513841"/>
      <w:r w:rsidRPr="00F8728A">
        <w:rPr>
          <w:rFonts w:ascii="Calibri" w:hAnsi="Calibri"/>
          <w:i/>
          <w:iCs/>
          <w:color w:val="365F91"/>
          <w:sz w:val="24"/>
          <w:szCs w:val="24"/>
        </w:rPr>
        <w:t>Ползи</w:t>
      </w:r>
      <w:bookmarkEnd w:id="725"/>
    </w:p>
    <w:p w:rsidR="00AA4661" w:rsidRPr="00B73D7E" w:rsidRDefault="00AA4661" w:rsidP="00CF297A">
      <w:pPr>
        <w:pStyle w:val="BodyText"/>
        <w:numPr>
          <w:ilvl w:val="0"/>
          <w:numId w:val="41"/>
        </w:numPr>
        <w:ind w:left="0" w:firstLine="0"/>
        <w:rPr>
          <w:lang w:val="bg-BG"/>
        </w:rPr>
      </w:pPr>
      <w:r w:rsidRPr="00B73D7E">
        <w:rPr>
          <w:lang w:val="bg-BG"/>
        </w:rPr>
        <w:t>Ползите от идентифицираните варианти на адаптация включват очаквания синергетичен и кумулативен ефект от едновременното или последователното им прилагане. Интегрирането на АИК в политиките за регионално и градско развитие, включително в жилищната политика и строителството, ще увеличи ефективността на регионалните политики и ще осигури опазването на земята в пространственото и градското планиране и развитие.</w:t>
      </w:r>
    </w:p>
    <w:p w:rsidR="00AA4661" w:rsidRPr="00B73D7E" w:rsidRDefault="00AA4661" w:rsidP="00CF297A">
      <w:pPr>
        <w:pStyle w:val="BodyText"/>
        <w:numPr>
          <w:ilvl w:val="0"/>
          <w:numId w:val="41"/>
        </w:numPr>
        <w:ind w:left="0" w:firstLine="0"/>
        <w:rPr>
          <w:lang w:val="bg-BG"/>
        </w:rPr>
      </w:pPr>
      <w:r w:rsidRPr="00B73D7E">
        <w:rPr>
          <w:lang w:val="bg-BG"/>
        </w:rPr>
        <w:t>Подобряването на процеса на предоставяне на информация, ускоряването на изпълнението на Закона за достъп до пространствени данни и обмена на информация ще подпомогне развитието на научните изследвания, ще направи процеса на вземане на решения относно градското развитие и опазването на средата по-прозрачен и надежден и ще увеличи капацитета на научните институции и различните експерти.</w:t>
      </w:r>
    </w:p>
    <w:p w:rsidR="00AA4661" w:rsidRPr="00B73D7E" w:rsidRDefault="00AA4661" w:rsidP="00CF297A">
      <w:pPr>
        <w:pStyle w:val="BodyText"/>
        <w:numPr>
          <w:ilvl w:val="0"/>
          <w:numId w:val="41"/>
        </w:numPr>
        <w:ind w:left="0" w:firstLine="0"/>
        <w:rPr>
          <w:lang w:val="bg-BG"/>
        </w:rPr>
      </w:pPr>
      <w:r w:rsidRPr="00B73D7E">
        <w:rPr>
          <w:lang w:val="bg-BG"/>
        </w:rPr>
        <w:t>Развитието на урбанистичните изследвания ще даде нови аргументи за защитата на публичните интереси и ще подобри средата за живот и отдих. Изследванията върху новаторски строителни технологии, конструкции и материали ще помогнат на проектантите и строителите да създадат интелигентни сгради и съоръжения, по-устойчиви на климатичните промени и екстремните явления.</w:t>
      </w:r>
    </w:p>
    <w:p w:rsidR="00AA4661" w:rsidRPr="00B73D7E" w:rsidRDefault="00AA4661" w:rsidP="00CF297A">
      <w:pPr>
        <w:pStyle w:val="BodyText"/>
        <w:numPr>
          <w:ilvl w:val="0"/>
          <w:numId w:val="41"/>
        </w:numPr>
        <w:ind w:left="0" w:firstLine="0"/>
        <w:rPr>
          <w:lang w:val="bg-BG"/>
        </w:rPr>
      </w:pPr>
      <w:r w:rsidRPr="00B73D7E">
        <w:rPr>
          <w:lang w:val="bg-BG"/>
        </w:rPr>
        <w:t>Институционалното развитие, подобрената хоризонтална и вертикална координация и интеграция, сътрудничеството между властите на национално, регионално и местно ниво ще подобрят качеството на работата им, същевременно свързвайки секторните политики с пространственото планиране. Това ще допринесе също за успешното осъществяване на интегриран и по-всеобхватен подход към градското обновяване и развитие.</w:t>
      </w:r>
    </w:p>
    <w:p w:rsidR="00AA4661" w:rsidRPr="00B73D7E" w:rsidRDefault="00AA4661" w:rsidP="00CF297A">
      <w:pPr>
        <w:pStyle w:val="BodyText"/>
        <w:numPr>
          <w:ilvl w:val="0"/>
          <w:numId w:val="41"/>
        </w:numPr>
        <w:ind w:left="0" w:firstLine="0"/>
        <w:rPr>
          <w:lang w:val="bg-BG"/>
        </w:rPr>
      </w:pPr>
      <w:r w:rsidRPr="00B73D7E">
        <w:rPr>
          <w:lang w:val="bg-BG"/>
        </w:rPr>
        <w:t>Законодателната промяна, в която се предвижда да залегнат изискванията за градове, устойчиви на климатичните промени, ще засили значението на регионалното, пространственото и градското планиране и инвестиционно проектиране, както и на съпътстващите стратегически екологични оценки и ОВОС. Нарасналият контрол върху качеството на изпълнение на тези документи се очаква да допринесе за общото намаляване на неблагоприятните въздействия и за подобряване на качеството на градската среда, а оттук и на качеството на живот. Предложеното изменение на нормите за градско планиране ще ограничи хаотичното застрояване и презастрояването, ще запази плодородната земя, ще подобри облика на градовете и ще направи градските зони по-сигурни в случай на природни бедствия.</w:t>
      </w:r>
    </w:p>
    <w:p w:rsidR="00AA4661" w:rsidRPr="00B73D7E" w:rsidRDefault="00AA4661" w:rsidP="00CF297A">
      <w:pPr>
        <w:pStyle w:val="BodyText"/>
        <w:numPr>
          <w:ilvl w:val="0"/>
          <w:numId w:val="41"/>
        </w:numPr>
        <w:ind w:left="0" w:firstLine="0"/>
        <w:rPr>
          <w:lang w:val="bg-BG"/>
        </w:rPr>
      </w:pPr>
      <w:r w:rsidRPr="00B73D7E">
        <w:rPr>
          <w:lang w:val="bg-BG"/>
        </w:rPr>
        <w:t>Вариантите за адаптация, предвидени в сферата на финансовата политика, се очаква да променят общата нагласа към застраховането и собствеността и съответно да облекчат тежестта върху общините и държавата при отстраняване на щетите от природни бедствия. Създаването на нови финансови инструменти се очаква да увеличи социалната защита на бедните, най-непривилегированите и маргинални уязвими групи на обществото, които биват най-силно засегнати от природни бедствия и екстремни климатични явления.</w:t>
      </w:r>
    </w:p>
    <w:p w:rsidR="00AA4661" w:rsidRPr="00B73D7E" w:rsidRDefault="00AA4661" w:rsidP="00CF297A">
      <w:pPr>
        <w:pStyle w:val="BodyText"/>
        <w:numPr>
          <w:ilvl w:val="0"/>
          <w:numId w:val="41"/>
        </w:numPr>
        <w:ind w:left="0" w:firstLine="0"/>
        <w:rPr>
          <w:lang w:val="bg-BG"/>
        </w:rPr>
      </w:pPr>
      <w:r w:rsidRPr="00B73D7E">
        <w:rPr>
          <w:lang w:val="bg-BG"/>
        </w:rPr>
        <w:t>Образователните варианти за адаптация разкриват нови възможности за училищата, университетите, професионалните организации и частните компании да подобряват учебните си програми, да въведат нови методи на обучение и нови програми. Това ще повиши равнището на знания и качеството на работата. Задължителният достъп до информационни и комуникационни технологии ще позволи на градовете, които са далеч от академичните институции да получават крайно необходимите образователни услуги. Партньорството и сътрудничеството между НПО и общините ще подобри работата по градската адаптация към климатичните промени, ще засили експертния потенциал и ще ограничи действието на културните бариери.</w:t>
      </w:r>
    </w:p>
    <w:p w:rsidR="00AA4661" w:rsidRPr="00B73D7E" w:rsidRDefault="00AA4661" w:rsidP="00CF297A">
      <w:pPr>
        <w:pStyle w:val="BodyText"/>
        <w:numPr>
          <w:ilvl w:val="0"/>
          <w:numId w:val="41"/>
        </w:numPr>
        <w:ind w:left="0" w:firstLine="0"/>
        <w:rPr>
          <w:lang w:val="bg-BG"/>
        </w:rPr>
      </w:pPr>
      <w:r w:rsidRPr="00B73D7E">
        <w:rPr>
          <w:lang w:val="bg-BG"/>
        </w:rPr>
        <w:t>Технологичните  варианти и мерките, предвидени в тях за планиране и проектиране на по-устойчиви, интелигентни, зелени и здравословни градове, ще подобрят качеството на градската среда, комфорта в сградите и качеството на живот, същевременно увеличавайки потенциала за по-добър контакт с природата чрез възможности за отдих, намаляване на заболеваемостта и подобряване на човешкото здраве.</w:t>
      </w:r>
    </w:p>
    <w:p w:rsidR="00AA4661" w:rsidRPr="00B73D7E" w:rsidRDefault="00AA4661" w:rsidP="00CF297A">
      <w:pPr>
        <w:pStyle w:val="BodyText"/>
        <w:numPr>
          <w:ilvl w:val="0"/>
          <w:numId w:val="41"/>
        </w:numPr>
        <w:ind w:left="0" w:firstLine="0"/>
        <w:rPr>
          <w:lang w:val="bg-BG"/>
        </w:rPr>
      </w:pPr>
      <w:r w:rsidRPr="00B73D7E">
        <w:rPr>
          <w:lang w:val="bg-BG"/>
        </w:rPr>
        <w:t>Вариантите за адаптация чрез изграждане на институционален, административен и експертен капацитет са от ключово значение за осъществяването на всички други варианти. Те са пряко свързани с останалите и повишават съзнанието, ангажираността, познанието за вариантите за АИК и културата на комуникация между политиците, администраторите, специалистите по градско планиране и проектиране и широката публика.</w:t>
      </w:r>
    </w:p>
    <w:p w:rsidR="00AA4661" w:rsidRPr="00B73D7E" w:rsidRDefault="00AA4661" w:rsidP="00CF297A">
      <w:pPr>
        <w:pStyle w:val="BodyText"/>
        <w:numPr>
          <w:ilvl w:val="0"/>
          <w:numId w:val="41"/>
        </w:numPr>
        <w:ind w:left="0" w:firstLine="0"/>
        <w:rPr>
          <w:lang w:val="bg-BG"/>
        </w:rPr>
      </w:pPr>
      <w:r w:rsidRPr="00B73D7E">
        <w:rPr>
          <w:lang w:val="bg-BG"/>
        </w:rPr>
        <w:t>Съдействието за партньорствата, работата в  мрежи и сътрудничеството между различни възрасти, полове, етноси, професионални и социални групи, включително непривилегированите, и успешната работа с медиите и НПО, ще увеличи синергетичния ефект и резултатността на съвместните усилия за осъществяване на мерките по АИК. Доброто взаимодействие между всички гореизброени участници, включително звената за помощ при бедствия, ще намали щетите, ще ускори коригиращите мерки и ще улесни преодоляването на стреса.</w:t>
      </w:r>
    </w:p>
    <w:p w:rsidR="00AA4661" w:rsidRPr="00B73D7E" w:rsidRDefault="00AA4661" w:rsidP="00CF297A">
      <w:pPr>
        <w:pStyle w:val="BodyText"/>
        <w:numPr>
          <w:ilvl w:val="0"/>
          <w:numId w:val="41"/>
        </w:numPr>
        <w:ind w:left="0" w:firstLine="0"/>
        <w:rPr>
          <w:rFonts w:ascii="Calibri" w:hAnsi="Calibri"/>
          <w:i/>
          <w:iCs/>
          <w:color w:val="365F91"/>
          <w:lang w:val="bg-BG"/>
        </w:rPr>
      </w:pPr>
      <w:r w:rsidRPr="00B73D7E">
        <w:rPr>
          <w:lang w:val="bg-BG"/>
        </w:rPr>
        <w:t xml:space="preserve">Успехът на действията с цел адаптация на градската среда към климатичните промени, намаляването на ограниченията и увеличаването на ползите, зависи също от ефективното лидерство, добре координираното многопластово управление на градовете и активността на гражданството, всички от решаващо значение за България. </w:t>
      </w:r>
      <w:bookmarkStart w:id="726" w:name="_Toc486513842"/>
    </w:p>
    <w:p w:rsidR="00AA4661" w:rsidRPr="00F8728A" w:rsidRDefault="00AA4661" w:rsidP="00676435">
      <w:pPr>
        <w:keepNext/>
        <w:keepLines/>
        <w:spacing w:before="60" w:after="0" w:line="264" w:lineRule="auto"/>
        <w:jc w:val="both"/>
        <w:outlineLvl w:val="3"/>
        <w:rPr>
          <w:rFonts w:ascii="Calibri" w:hAnsi="Calibri"/>
          <w:i/>
          <w:iCs/>
          <w:color w:val="365F91"/>
          <w:sz w:val="24"/>
          <w:szCs w:val="24"/>
        </w:rPr>
      </w:pPr>
      <w:r w:rsidRPr="00F8728A">
        <w:rPr>
          <w:rFonts w:ascii="Calibri" w:hAnsi="Calibri"/>
          <w:i/>
          <w:iCs/>
          <w:color w:val="365F91"/>
          <w:sz w:val="24"/>
          <w:szCs w:val="24"/>
        </w:rPr>
        <w:t>Последствия на бездействието/несполучливата адаптация</w:t>
      </w:r>
      <w:bookmarkEnd w:id="726"/>
    </w:p>
    <w:p w:rsidR="00AA4661" w:rsidRPr="00B73D7E" w:rsidRDefault="00AA4661" w:rsidP="00CF297A">
      <w:pPr>
        <w:pStyle w:val="BodyText"/>
        <w:numPr>
          <w:ilvl w:val="0"/>
          <w:numId w:val="41"/>
        </w:numPr>
        <w:ind w:left="0" w:firstLine="0"/>
        <w:rPr>
          <w:lang w:val="bg-BG"/>
        </w:rPr>
      </w:pPr>
      <w:r w:rsidRPr="00B73D7E">
        <w:rPr>
          <w:lang w:val="bg-BG"/>
        </w:rPr>
        <w:t>Последствията от неосъществяването на предложените варианти за адаптация могат да засегнат здравето и живота на градското население, сградите и съоръженията, зелените и откритите пространства, транспортната и техническата инфраструктура, културните и природните ценности и всички човешки дейности, включително обитаването, труда, отдиха, мобилността, услугите.</w:t>
      </w:r>
    </w:p>
    <w:p w:rsidR="00AA4661" w:rsidRPr="00B73D7E" w:rsidRDefault="00AA4661" w:rsidP="00CF297A">
      <w:pPr>
        <w:pStyle w:val="BodyText"/>
        <w:numPr>
          <w:ilvl w:val="0"/>
          <w:numId w:val="41"/>
        </w:numPr>
        <w:ind w:left="0" w:firstLine="0"/>
        <w:rPr>
          <w:lang w:val="bg-BG"/>
        </w:rPr>
      </w:pPr>
      <w:r w:rsidRPr="00B73D7E">
        <w:rPr>
          <w:lang w:val="bg-BG"/>
        </w:rPr>
        <w:t>Подходът към оценката на последствията от несполучливата адаптация или неосъществяването на вариантите за адаптация трябва да се основава на обоснованите предвиждания за екстремни явления (екстремни температури, наводнения, бури, свлачища, пожари, аварии на водоснабдяването и т.н.) и техните въздействия върху всички елементи на средата.</w:t>
      </w:r>
    </w:p>
    <w:p w:rsidR="00AA4661" w:rsidRPr="00B73D7E" w:rsidRDefault="00AA4661" w:rsidP="00CF297A">
      <w:pPr>
        <w:pStyle w:val="BodyText"/>
        <w:numPr>
          <w:ilvl w:val="0"/>
          <w:numId w:val="41"/>
        </w:numPr>
        <w:ind w:left="0" w:firstLine="0"/>
        <w:rPr>
          <w:lang w:val="bg-BG"/>
        </w:rPr>
      </w:pPr>
      <w:r w:rsidRPr="00B73D7E">
        <w:rPr>
          <w:lang w:val="bg-BG"/>
        </w:rPr>
        <w:t>Неосъществяването на мерките за намаляване на последиците от екстремните температури (високи и ниски) или неподходящата адаптация на градската среда ще причини вреди за човешкото здраве и ще увеличи риска от загуба на човешки живот. Заобикалянето на Еврокодовете или слабият контрол върху прилагането им ще увеличи разходите за енергия на бизнеса и домакинствата за отопление и/или охлаждане. Същият ефект ще възникне в случай на лошо изпълнение на обновяването и разпоредбите за енергоспестяване в жилищните и обществените сгради.</w:t>
      </w:r>
    </w:p>
    <w:p w:rsidR="00AA4661" w:rsidRPr="00B73D7E" w:rsidRDefault="00AA4661" w:rsidP="00CF297A">
      <w:pPr>
        <w:pStyle w:val="BodyText"/>
        <w:numPr>
          <w:ilvl w:val="0"/>
          <w:numId w:val="41"/>
        </w:numPr>
        <w:ind w:left="0" w:firstLine="0"/>
        <w:rPr>
          <w:lang w:val="bg-BG"/>
        </w:rPr>
      </w:pPr>
      <w:r w:rsidRPr="00B73D7E">
        <w:rPr>
          <w:lang w:val="bg-BG"/>
        </w:rPr>
        <w:t>В случай на лошо изпълнение на мерките за намаляване на риска от наводнения, бури и градушки, щетите за материалното обкръжение (сгради, съоръжения, транспортна инфраструктура, зелени и открити градски пространства) ще бъдат значително по-големи и възстановяването им ще изисква повече време и усилия.</w:t>
      </w:r>
    </w:p>
    <w:p w:rsidR="00AA4661" w:rsidRPr="00B73D7E" w:rsidRDefault="00AA4661" w:rsidP="00CF297A">
      <w:pPr>
        <w:pStyle w:val="BodyText"/>
        <w:numPr>
          <w:ilvl w:val="0"/>
          <w:numId w:val="41"/>
        </w:numPr>
        <w:ind w:left="0" w:firstLine="0"/>
        <w:rPr>
          <w:lang w:val="bg-BG"/>
        </w:rPr>
      </w:pPr>
      <w:r w:rsidRPr="00B73D7E">
        <w:rPr>
          <w:lang w:val="bg-BG"/>
        </w:rPr>
        <w:t>Неподходящо планираните градове и градски територии, включително пренебрегнатите зони с висок риск, както са дефинирани в Плановете за управление на риска от наводнения на басейновите дирекции, ще увеличат риска от загуба на човешки живот. Пренебрегването на превантивните действия за премахване на незаконните строежи близо до реките и деретата, по разчистване на речните корита и ремонтиране на язовирните стени в непосредствена близост до градовете може да има същите последици. Забавяне изграждането на разделна канализационна система за дъждовните води в градовете ще увеличи риска от наводнения при силни валежи, поради състоянието и капацитета на остарялата градска инфраструктура. Наводняването на публичните открити пространства и транспортната инфраструктура може да парализира градския живот и да наруши електроснабдяването за дълго време, като причини значителни стопански щети и на частни лица, и на фирми.</w:t>
      </w:r>
    </w:p>
    <w:p w:rsidR="00AA4661" w:rsidRPr="00B73D7E" w:rsidRDefault="00AA4661" w:rsidP="00CF297A">
      <w:pPr>
        <w:pStyle w:val="BodyText"/>
        <w:numPr>
          <w:ilvl w:val="0"/>
          <w:numId w:val="41"/>
        </w:numPr>
        <w:ind w:left="0" w:firstLine="0"/>
        <w:rPr>
          <w:lang w:val="bg-BG"/>
        </w:rPr>
      </w:pPr>
      <w:r w:rsidRPr="00B73D7E">
        <w:rPr>
          <w:lang w:val="bg-BG"/>
        </w:rPr>
        <w:t xml:space="preserve">Увеличеният брой дни с </w:t>
      </w:r>
      <w:r w:rsidR="007F030B" w:rsidRPr="00F8728A">
        <w:rPr>
          <w:lang w:val="bg-BG"/>
        </w:rPr>
        <w:t xml:space="preserve">нетипични за района </w:t>
      </w:r>
      <w:r w:rsidRPr="00B73D7E">
        <w:rPr>
          <w:lang w:val="bg-BG"/>
        </w:rPr>
        <w:t xml:space="preserve">поройни дъждове активира свлачищата. </w:t>
      </w:r>
      <w:r w:rsidR="007F030B" w:rsidRPr="00F8728A">
        <w:rPr>
          <w:lang w:val="bg-BG"/>
        </w:rPr>
        <w:t>Неизградените или старите и амортизирани водопроводни и канализационни мрежи също са фактор за си</w:t>
      </w:r>
      <w:r w:rsidR="00C22BB6" w:rsidRPr="00F8728A">
        <w:rPr>
          <w:lang w:val="bg-BG"/>
        </w:rPr>
        <w:t>с</w:t>
      </w:r>
      <w:r w:rsidR="007F030B" w:rsidRPr="00F8728A">
        <w:rPr>
          <w:lang w:val="bg-BG"/>
        </w:rPr>
        <w:t>темно овлажняване на терена и предизвикване на свлачишни процеси. Липсата на значителни ресурси за осъществяване на геозащитни дейности са причина за забавяне на ук</w:t>
      </w:r>
      <w:r w:rsidR="00346372" w:rsidRPr="00F8728A">
        <w:rPr>
          <w:lang w:val="bg-BG"/>
        </w:rPr>
        <w:t>репването на някои свлачища, кое</w:t>
      </w:r>
      <w:r w:rsidR="007F030B" w:rsidRPr="00F8728A">
        <w:rPr>
          <w:lang w:val="bg-BG"/>
        </w:rPr>
        <w:t xml:space="preserve">то от своя страна води до разширяване на засегнатата територия във времето. </w:t>
      </w:r>
      <w:r w:rsidR="00C95473" w:rsidRPr="00F8728A">
        <w:rPr>
          <w:lang w:val="bg-BG"/>
        </w:rPr>
        <w:t>Големите свлачищ</w:t>
      </w:r>
      <w:r w:rsidR="007F030B" w:rsidRPr="00F8728A">
        <w:rPr>
          <w:lang w:val="bg-BG"/>
        </w:rPr>
        <w:t>ни процеси по Северното Черноморско крайбрежие</w:t>
      </w:r>
      <w:r w:rsidRPr="00B73D7E">
        <w:rPr>
          <w:lang w:val="bg-BG"/>
        </w:rPr>
        <w:t xml:space="preserve"> уврежда</w:t>
      </w:r>
      <w:r w:rsidR="00AC5398" w:rsidRPr="00F8728A">
        <w:rPr>
          <w:lang w:val="bg-BG"/>
        </w:rPr>
        <w:t>т</w:t>
      </w:r>
      <w:r w:rsidRPr="00B73D7E">
        <w:rPr>
          <w:lang w:val="bg-BG"/>
        </w:rPr>
        <w:t xml:space="preserve"> рекреационните ресурси</w:t>
      </w:r>
      <w:r w:rsidR="00C95473" w:rsidRPr="00F8728A">
        <w:rPr>
          <w:lang w:val="bg-BG"/>
        </w:rPr>
        <w:t xml:space="preserve"> и </w:t>
      </w:r>
      <w:r w:rsidR="00AC5398" w:rsidRPr="00F8728A">
        <w:rPr>
          <w:lang w:val="bg-BG"/>
        </w:rPr>
        <w:t xml:space="preserve">по този начин намаляват </w:t>
      </w:r>
      <w:r w:rsidR="00C95473" w:rsidRPr="00F8728A">
        <w:rPr>
          <w:lang w:val="bg-BG"/>
        </w:rPr>
        <w:t xml:space="preserve">привлекателността на курортите и </w:t>
      </w:r>
      <w:r w:rsidR="00AC5398" w:rsidRPr="00F8728A">
        <w:rPr>
          <w:lang w:val="bg-BG"/>
        </w:rPr>
        <w:t xml:space="preserve">тяхната конкурентоспособност </w:t>
      </w:r>
      <w:r w:rsidRPr="00B73D7E">
        <w:rPr>
          <w:lang w:val="bg-BG"/>
        </w:rPr>
        <w:t>.</w:t>
      </w:r>
    </w:p>
    <w:p w:rsidR="00AA4661" w:rsidRPr="00B73D7E" w:rsidRDefault="00AA4661" w:rsidP="00CF297A">
      <w:pPr>
        <w:pStyle w:val="BodyText"/>
        <w:numPr>
          <w:ilvl w:val="0"/>
          <w:numId w:val="41"/>
        </w:numPr>
        <w:ind w:left="0" w:firstLine="0"/>
        <w:rPr>
          <w:lang w:val="bg-BG"/>
        </w:rPr>
      </w:pPr>
      <w:r w:rsidRPr="00B73D7E">
        <w:rPr>
          <w:lang w:val="bg-BG"/>
        </w:rPr>
        <w:t>Забавянето на мерките за намаляване на риска от пожари в горите и земеделските земи и ограничените човешки ресурси за упражняване на ефективен контрол в горите увеличават вероятността пожарите да се пренасят до близките урбанизирани територии. Рискът е по-голям за градове, където екстензивното застрояване е стигнало до горските територии (София, Пловдив, Варна и т.н.).</w:t>
      </w:r>
    </w:p>
    <w:p w:rsidR="00AA4661" w:rsidRPr="00B73D7E" w:rsidRDefault="00AA4661" w:rsidP="00CF297A">
      <w:pPr>
        <w:pStyle w:val="BodyText"/>
        <w:numPr>
          <w:ilvl w:val="0"/>
          <w:numId w:val="41"/>
        </w:numPr>
        <w:ind w:left="0" w:firstLine="0"/>
        <w:rPr>
          <w:lang w:val="bg-BG"/>
        </w:rPr>
      </w:pPr>
      <w:r w:rsidRPr="00B73D7E">
        <w:rPr>
          <w:lang w:val="bg-BG"/>
        </w:rPr>
        <w:t>С оглед на очакваното изменение на климата лошото стопанисване на системите за градско водоснабдяване ще увеличи риска от недостиг на качествена вода за градското население. Забавянето на реконструкцията на водопроводната мрежа в някои градове ще доведе до недостиг на вода за населението за по-дълги периоди. Най-драстично е положението в Добрич, където според експертите, които работят по Общия устройствен план, загубите на вода се оценяват на повече от 70 процента.</w:t>
      </w:r>
    </w:p>
    <w:p w:rsidR="00AA4661" w:rsidRPr="00B73D7E" w:rsidRDefault="00AA4661" w:rsidP="00CF297A">
      <w:pPr>
        <w:pStyle w:val="BodyText"/>
        <w:numPr>
          <w:ilvl w:val="0"/>
          <w:numId w:val="41"/>
        </w:numPr>
        <w:ind w:left="0" w:firstLine="0"/>
        <w:rPr>
          <w:lang w:val="bg-BG"/>
        </w:rPr>
      </w:pPr>
      <w:r w:rsidRPr="00B73D7E">
        <w:rPr>
          <w:lang w:val="bg-BG"/>
        </w:rPr>
        <w:t>Забавянето на доставката на нужното оборудване и на създаването на капацитет на звената за овладяване на риска от природни бедствия</w:t>
      </w:r>
      <w:r w:rsidRPr="00B73D7E">
        <w:rPr>
          <w:i/>
          <w:lang w:val="bg-BG"/>
        </w:rPr>
        <w:t xml:space="preserve"> </w:t>
      </w:r>
      <w:r w:rsidRPr="00B73D7E">
        <w:rPr>
          <w:lang w:val="bg-BG"/>
        </w:rPr>
        <w:t>и центровете за възстановяване при бедствия ще затрудни много работата им, ще доведе до загуба на персонал, ще направи намесата при спешни случаи неадекватна и може да увеличи броя на жертвите и обхвата на щетите.</w:t>
      </w:r>
    </w:p>
    <w:p w:rsidR="00AA4661" w:rsidRPr="00B73D7E" w:rsidRDefault="00AA4661" w:rsidP="00CF297A">
      <w:pPr>
        <w:pStyle w:val="BodyText"/>
        <w:numPr>
          <w:ilvl w:val="0"/>
          <w:numId w:val="41"/>
        </w:numPr>
        <w:ind w:left="0" w:firstLine="0"/>
        <w:rPr>
          <w:lang w:val="bg-BG"/>
        </w:rPr>
      </w:pPr>
      <w:r w:rsidRPr="00B73D7E">
        <w:rPr>
          <w:lang w:val="bg-BG"/>
        </w:rPr>
        <w:t xml:space="preserve">В допълнение към специфичните мерки е необходимо да се проследят последиците от неизпълнението на регионалните и пространствени политики за развитие и НКПР, които са непряко свързани с въздействието на климатичните промени върху градската среда, природните и човешките ресурси. Точно това е идеята, която стои зад предложените индикатори за оценка на вариантите за адаптация на национално и регионално ниво. Забавянето или неизпълнението на необходимите политики и мерки за спиране на тенденциите за моноцентрично развитие създава опасност от концентриране на населението в главните градове. Това концентриране на хора ще създаде огромен натиск върху тези градове и техните социални системи, върху трафика и мобилността, върху градските и зелените пространства. Концентрирането на инвестиции в тези градове ще засили конкуренцията за ресурси и ще доведе до разрастването им върху плодородни земи. </w:t>
      </w:r>
    </w:p>
    <w:p w:rsidR="00AA4661" w:rsidRPr="00B73D7E" w:rsidRDefault="00AA4661" w:rsidP="00CF297A">
      <w:pPr>
        <w:pStyle w:val="BodyText"/>
        <w:numPr>
          <w:ilvl w:val="0"/>
          <w:numId w:val="41"/>
        </w:numPr>
        <w:ind w:left="0" w:firstLine="0"/>
        <w:rPr>
          <w:lang w:val="bg-BG"/>
        </w:rPr>
      </w:pPr>
      <w:r w:rsidRPr="00B73D7E">
        <w:rPr>
          <w:lang w:val="bg-BG"/>
        </w:rPr>
        <w:t>Неприлагането на полицентричния урбанистичен модел в България ще причини разпадане на развилата се с годините хомогенната мрежа от градове в страната и ще остави много пустеещи територии. Това ще засили регионалните различия, ще остави застаряващото и безпомощно население в малките и периферните градове без достатъчна и подходяща грижа и ще го изложи на по-висок риск от климатичните промени. Зле поддържаната транспортна и техническа инфраструктура в тези градове е изложена на риск от още по-големи въздействия от  природни бедствия.</w:t>
      </w:r>
    </w:p>
    <w:p w:rsidR="00AA4661" w:rsidRPr="00B73D7E" w:rsidRDefault="00AA4661" w:rsidP="001451FC">
      <w:pPr>
        <w:pStyle w:val="Heading2"/>
        <w:spacing w:line="240" w:lineRule="auto"/>
        <w:rPr>
          <w:szCs w:val="20"/>
          <w:lang w:val="bg-BG"/>
        </w:rPr>
      </w:pPr>
      <w:bookmarkStart w:id="727" w:name="_Toc486513843"/>
      <w:bookmarkStart w:id="728" w:name="_Toc486942218"/>
      <w:bookmarkStart w:id="729" w:name="_Toc501454895"/>
      <w:bookmarkStart w:id="730" w:name="_Toc522030598"/>
      <w:bookmarkStart w:id="731" w:name="_Toc529285583"/>
      <w:r w:rsidRPr="00B73D7E">
        <w:rPr>
          <w:lang w:val="bg-BG"/>
        </w:rPr>
        <w:t>Междутематични проблеми, компромиси и синергия на възможностите за адаптация</w:t>
      </w:r>
      <w:bookmarkEnd w:id="727"/>
      <w:bookmarkEnd w:id="728"/>
      <w:bookmarkEnd w:id="729"/>
      <w:bookmarkEnd w:id="730"/>
      <w:bookmarkEnd w:id="731"/>
    </w:p>
    <w:p w:rsidR="00AA4661" w:rsidRPr="00B73D7E" w:rsidRDefault="00AA4661" w:rsidP="00CF297A">
      <w:pPr>
        <w:pStyle w:val="BodyText"/>
        <w:numPr>
          <w:ilvl w:val="0"/>
          <w:numId w:val="41"/>
        </w:numPr>
        <w:ind w:left="0" w:firstLine="0"/>
        <w:rPr>
          <w:lang w:val="bg-BG"/>
        </w:rPr>
      </w:pPr>
      <w:r w:rsidRPr="00B73D7E">
        <w:rPr>
          <w:lang w:val="bg-BG"/>
        </w:rPr>
        <w:t>Традиционните и съвременните действия за градска хигиена и екология отчитат очакваните промени в климата, свързани с високите температури и топлинните вълни, бързите промени в температурите, студените зимни месеци, заледяването, интензивните валежи и бури, наводненията и други природни явления. Средствата за справяне с тези явления са от различно естество и попадат в отговорностите на различните сектори (транспорт, водоснабдяване, енергетика, промишленост и др.). Обаче в градска среда те следва да се съчетават по подходящ начин с инструментите и подходите за градско планиране (</w:t>
      </w:r>
      <w:r w:rsidRPr="00B73D7E">
        <w:rPr>
          <w:b/>
          <w:i/>
          <w:lang w:val="bg-BG"/>
        </w:rPr>
        <w:t>п</w:t>
      </w:r>
      <w:r w:rsidRPr="00B73D7E">
        <w:rPr>
          <w:b/>
          <w:i/>
          <w:iCs/>
          <w:lang w:val="bg-BG"/>
        </w:rPr>
        <w:t>риложение 1</w:t>
      </w:r>
      <w:r w:rsidR="00CD0C26" w:rsidRPr="00B73D7E">
        <w:rPr>
          <w:b/>
          <w:i/>
          <w:iCs/>
          <w:lang w:val="bg-BG"/>
        </w:rPr>
        <w:t>2</w:t>
      </w:r>
      <w:r w:rsidRPr="00B73D7E">
        <w:rPr>
          <w:lang w:val="bg-BG"/>
        </w:rPr>
        <w:t>).</w:t>
      </w:r>
    </w:p>
    <w:p w:rsidR="00AA4661" w:rsidRPr="00B73D7E" w:rsidRDefault="00AA4661" w:rsidP="00CF297A">
      <w:pPr>
        <w:pStyle w:val="BodyText"/>
        <w:numPr>
          <w:ilvl w:val="0"/>
          <w:numId w:val="41"/>
        </w:numPr>
        <w:ind w:left="0" w:firstLine="0"/>
        <w:rPr>
          <w:lang w:val="bg-BG"/>
        </w:rPr>
      </w:pPr>
      <w:r w:rsidRPr="00B73D7E">
        <w:rPr>
          <w:lang w:val="bg-BG"/>
        </w:rPr>
        <w:t>Организацията на градския транспорт оказва решаващо влияние върху развитието на градската структура, поддържа функционалните връзки между градските структурни части и осигурява ефективното им функциониране. От друга страна, градският транспорт има отрицателно въздействие върху компонентите на околната среда и човешките възприятия, тъй като причинява замърсяване на въздуха, шум, вибрации, стрес и травматизъм. Промените в климата вероятно ще усложнят проблемите на градската среда и ще повишат отрицателните въздействия на транспорта. Следователно ефективното планиране на риска и управление на градския транспорт е от основно значение за понижаването на въздействието на промените в климата. Предложената възможност за адаптация, за интегрирано планиране и управление на градския транспорт в българските градове също така ще намали емисиите на ПГ, което е цел за ограничаване на промените в климата и замърсяването на въздуха, а следователно и въздействията върху човешкото здраве.</w:t>
      </w:r>
    </w:p>
    <w:p w:rsidR="00AA4661" w:rsidRPr="00B73D7E" w:rsidRDefault="00AA4661" w:rsidP="00CF297A">
      <w:pPr>
        <w:pStyle w:val="BodyText"/>
        <w:numPr>
          <w:ilvl w:val="0"/>
          <w:numId w:val="41"/>
        </w:numPr>
        <w:ind w:left="0" w:firstLine="0"/>
        <w:rPr>
          <w:lang w:val="bg-BG"/>
        </w:rPr>
      </w:pPr>
      <w:r w:rsidRPr="00B73D7E">
        <w:rPr>
          <w:lang w:val="bg-BG"/>
        </w:rPr>
        <w:t>Управлението на водните ресурси и водния баланс в градската среда е важна дейност, пряко свързана с градската среда и градското планиране. То е важно за предотвратяване на наводненията, които са характерни за градовете с реки, стръмни долини и тези в близост до изкуствени водни басейни (резервоари, язовири и канали). Промените в климата могат да подсилят отрицателните въздействия, свързани със силните дъждове и наводняванията. Следователно превантивните мерки като част от управлението на водните ресурси в съчетание с градското планиране, базирано на риска, са от основно значение. Редовното предоставяне на качествена питейна вода изисква координиране на водоснабдяването с градското планиране и подобряването на водоснабдителните и водоразпределителните мрежи в градската среда.</w:t>
      </w:r>
    </w:p>
    <w:p w:rsidR="00AA4661" w:rsidRPr="00B73D7E" w:rsidRDefault="00AA4661" w:rsidP="00CF297A">
      <w:pPr>
        <w:pStyle w:val="BodyText"/>
        <w:numPr>
          <w:ilvl w:val="0"/>
          <w:numId w:val="41"/>
        </w:numPr>
        <w:ind w:left="0" w:firstLine="0"/>
        <w:rPr>
          <w:lang w:val="bg-BG"/>
        </w:rPr>
      </w:pPr>
      <w:r w:rsidRPr="00B73D7E">
        <w:rPr>
          <w:lang w:val="bg-BG"/>
        </w:rPr>
        <w:t>Енергоснабдяването на градската среда е предпоставка за нормалното функциониране на съвременните градове и реализирането на функциите им в сферите на производството, бита, транспорта и комуникациите. Потреблението на енергия в градската среда се повишава прогресивно с развитието на обществото. Това е придружено от отрицателни въздействия върху околната среда, докато промените в климата предполагат повишаване на тези отрицателни въздействия. Технологичните подобрения в производството, транспорта и домакинствата, понижават потреблението на енергия от една страна, докато от друга се признават нуждите на обществото от повече енергия. Следователно пестенето на енергия в градските зони е важно и пряко свързано с риска градско планиране и проектирането на сгради.</w:t>
      </w:r>
    </w:p>
    <w:p w:rsidR="00AA4661" w:rsidRPr="00B73D7E" w:rsidRDefault="00AA4661" w:rsidP="00CF297A">
      <w:pPr>
        <w:pStyle w:val="BodyText"/>
        <w:numPr>
          <w:ilvl w:val="0"/>
          <w:numId w:val="41"/>
        </w:numPr>
        <w:ind w:left="0" w:firstLine="0"/>
        <w:rPr>
          <w:lang w:val="bg-BG"/>
        </w:rPr>
      </w:pPr>
      <w:r w:rsidRPr="00B73D7E">
        <w:rPr>
          <w:lang w:val="bg-BG"/>
        </w:rPr>
        <w:t>Градското развитие е пряко свързано с човешкото здраве, биоразнообразието, земеделието и туризма. Градовете по света приютяват 53,8 процента от световното население (Световна банка, 2015 г.) и в допълнение към водещата им роля в икономиката те са място за личностно развитие, за радост и вдъхновение. В България, делът на градското население е още по-голям (73,2 процента). Здравословното състояние и работоспособността на градското население зависи от състоянието на околната средата, нивото на замърсеност и градските фактори на стреса. Подходящата АИК на градовете и свързаното с риска градско планиране, ще понижат въздействието върху здравето на хората, което ще им позволи да живеят по-дълго и ще им осигури по-добър живот.</w:t>
      </w:r>
    </w:p>
    <w:p w:rsidR="00AA4661" w:rsidRPr="00B73D7E" w:rsidRDefault="00AA4661" w:rsidP="00CF297A">
      <w:pPr>
        <w:pStyle w:val="BodyText"/>
        <w:numPr>
          <w:ilvl w:val="0"/>
          <w:numId w:val="41"/>
        </w:numPr>
        <w:ind w:left="0" w:firstLine="0"/>
        <w:rPr>
          <w:lang w:val="bg-BG"/>
        </w:rPr>
      </w:pPr>
      <w:r w:rsidRPr="00B73D7E">
        <w:rPr>
          <w:lang w:val="bg-BG"/>
        </w:rPr>
        <w:t>Градската среда осигурява  местообитания за разнообразни видове и тяхната защита е важна за глобалната устойчивост. Местообитанията и биоразнообразието</w:t>
      </w:r>
      <w:r w:rsidRPr="00B73D7E">
        <w:rPr>
          <w:i/>
          <w:lang w:val="bg-BG"/>
        </w:rPr>
        <w:t xml:space="preserve"> </w:t>
      </w:r>
      <w:r w:rsidRPr="00B73D7E">
        <w:rPr>
          <w:lang w:val="bg-BG"/>
        </w:rPr>
        <w:t>подобряват общото качество на градската среда, правейки градовете по-здравословни, подкрепяйки изпълнението на зелените им политики. Флората и фауната в големите градове осигуряват допълнителни атракции за децата. Опазването на местните видове е сред целите за околната среда, наскоро развита от устройствените планове на общините и схемите им за зелени системи.</w:t>
      </w:r>
    </w:p>
    <w:p w:rsidR="00AA4661" w:rsidRPr="00B73D7E" w:rsidRDefault="00AA4661" w:rsidP="00CF297A">
      <w:pPr>
        <w:pStyle w:val="BodyText"/>
        <w:numPr>
          <w:ilvl w:val="0"/>
          <w:numId w:val="41"/>
        </w:numPr>
        <w:ind w:left="0" w:firstLine="0"/>
        <w:rPr>
          <w:lang w:val="bg-BG"/>
        </w:rPr>
      </w:pPr>
      <w:r w:rsidRPr="00B73D7E">
        <w:rPr>
          <w:lang w:val="bg-BG"/>
        </w:rPr>
        <w:t>Земеделските земи са най-засегнати от неконтролираното застрояване и разрастването на градовете. Почти всички наскоро завършени Общи устройствени планове предвиждат разширяване на урбанизираните зони за сметка на плодородна земя дори в ситуации на демографска криза и намаляване на градското население в по-малките градове. Промишленото застрояване от линеарен тип по протежението на магистрали също заема селскостопанска земя, което прави снабдяването с хранителни продукти по-сложно, като възпрепятства достъпа до полетата за производство на хранителни продукти. Отговор на този феномен в наши дни е значителното развитие на градско земеделие. Взаимоотношенията село-град ще бъдат още по-важни в условията на бъдещите климатични промени и трябва да бъдат наложени чрез инструменти за свързано с риска пространствено и градско планиране.</w:t>
      </w:r>
    </w:p>
    <w:p w:rsidR="00AA4661" w:rsidRPr="00B73D7E" w:rsidRDefault="00AA4661" w:rsidP="00CF297A">
      <w:pPr>
        <w:pStyle w:val="BodyText"/>
        <w:numPr>
          <w:ilvl w:val="0"/>
          <w:numId w:val="41"/>
        </w:numPr>
        <w:ind w:left="0" w:firstLine="0"/>
        <w:rPr>
          <w:lang w:val="bg-BG"/>
        </w:rPr>
      </w:pPr>
      <w:r w:rsidRPr="00B73D7E">
        <w:rPr>
          <w:lang w:val="bg-BG"/>
        </w:rPr>
        <w:t>Понастоящем</w:t>
      </w:r>
      <w:r w:rsidRPr="00B73D7E">
        <w:rPr>
          <w:i/>
          <w:lang w:val="bg-BG"/>
        </w:rPr>
        <w:t xml:space="preserve"> </w:t>
      </w:r>
      <w:r w:rsidRPr="00B73D7E">
        <w:rPr>
          <w:lang w:val="bg-BG"/>
        </w:rPr>
        <w:t xml:space="preserve">градският туризъм заема значителна част от градските маркетингови стратегии, насочени към местното население, инвеститори, както и посетители и туристи. Последните, при предлагане на висококачествени туристически продукти, могат да имат ценен принос към градската икономика. В допълнение на дружелюбното и гостоприемно население общините се нуждаят от чиста и зелена среда, добре организиран градски транспорт, висококачествени и добре разположени места за настаняване, съхранено културно наследство и добре развити атракции. Защитата на уязвимите културни атракции, откритите археологически обекти и старите  паметници на културата, са основна грижа по време на наводнения, бури и пожари, за това и се нуждаят от подход за планиране въз основа на риска. Това е още по-важно в ситуация на климатични промени, тъй като при неблагоприятни климатични условия туристите е вероятно да са склонни да прекарват повече време (и да харчат повече пари) в градовете. </w:t>
      </w:r>
    </w:p>
    <w:p w:rsidR="00AA4661" w:rsidRPr="00B73D7E" w:rsidRDefault="00AA4661" w:rsidP="00CF297A">
      <w:pPr>
        <w:pStyle w:val="BodyText"/>
        <w:numPr>
          <w:ilvl w:val="0"/>
          <w:numId w:val="41"/>
        </w:numPr>
        <w:ind w:left="0" w:firstLine="0"/>
        <w:rPr>
          <w:lang w:val="bg-BG"/>
        </w:rPr>
      </w:pPr>
      <w:r w:rsidRPr="00B73D7E">
        <w:rPr>
          <w:lang w:val="bg-BG"/>
        </w:rPr>
        <w:t xml:space="preserve">Тези и други допълнителни зависимости между градската среда и други сектори са обобщени в </w:t>
      </w:r>
      <w:r w:rsidRPr="00B73D7E">
        <w:rPr>
          <w:b/>
          <w:i/>
          <w:iCs/>
          <w:lang w:val="bg-BG"/>
        </w:rPr>
        <w:t>таблица 1</w:t>
      </w:r>
      <w:r w:rsidR="00654BFE" w:rsidRPr="00B73D7E">
        <w:rPr>
          <w:b/>
          <w:i/>
          <w:iCs/>
          <w:lang w:val="bg-BG"/>
        </w:rPr>
        <w:t>7</w:t>
      </w:r>
      <w:r w:rsidRPr="00B73D7E">
        <w:rPr>
          <w:b/>
          <w:lang w:val="bg-BG"/>
        </w:rPr>
        <w:t>.</w:t>
      </w:r>
    </w:p>
    <w:p w:rsidR="00B51FED" w:rsidRPr="00B73D7E" w:rsidRDefault="00B51FED">
      <w:pPr>
        <w:spacing w:after="0"/>
        <w:rPr>
          <w:rFonts w:ascii="Calibri" w:eastAsia="MS Mincho" w:hAnsi="Calibri"/>
          <w:b/>
          <w:i/>
          <w:iCs/>
          <w:color w:val="44546A"/>
          <w:sz w:val="22"/>
          <w:szCs w:val="18"/>
          <w:lang w:eastAsia="x-none"/>
        </w:rPr>
      </w:pPr>
      <w:r w:rsidRPr="00F8728A">
        <w:rPr>
          <w:rFonts w:ascii="Calibri" w:hAnsi="Calibri"/>
          <w:b/>
          <w:i/>
          <w:iCs/>
          <w:color w:val="44546A"/>
          <w:sz w:val="22"/>
          <w:szCs w:val="18"/>
        </w:rPr>
        <w:br w:type="page"/>
      </w:r>
    </w:p>
    <w:p w:rsidR="00AA4661" w:rsidRPr="008E7DAC" w:rsidRDefault="00AA4661" w:rsidP="00B73D7E">
      <w:pPr>
        <w:pStyle w:val="FiguresTablesCaption"/>
      </w:pPr>
      <w:bookmarkStart w:id="732" w:name="_Toc529286644"/>
      <w:r w:rsidRPr="008E7DAC">
        <w:t xml:space="preserve">Таблица </w:t>
      </w:r>
      <w:r w:rsidRPr="008E7DAC">
        <w:fldChar w:fldCharType="begin"/>
      </w:r>
      <w:r w:rsidRPr="008E7DAC">
        <w:instrText xml:space="preserve"> SEQ Table \* ARABIC </w:instrText>
      </w:r>
      <w:r w:rsidRPr="008E7DAC">
        <w:fldChar w:fldCharType="separate"/>
      </w:r>
      <w:r w:rsidR="00485D6A" w:rsidRPr="00B73D7E">
        <w:t>17</w:t>
      </w:r>
      <w:r w:rsidRPr="008E7DAC">
        <w:fldChar w:fldCharType="end"/>
      </w:r>
      <w:r w:rsidRPr="008E7DAC">
        <w:t>. Межусекторни зависимости</w:t>
      </w:r>
      <w:bookmarkEnd w:id="732"/>
    </w:p>
    <w:tbl>
      <w:tblPr>
        <w:tblW w:w="5000"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1412"/>
        <w:gridCol w:w="474"/>
        <w:gridCol w:w="3671"/>
        <w:gridCol w:w="3671"/>
      </w:tblGrid>
      <w:tr w:rsidR="00AA4661" w:rsidRPr="00F8728A" w:rsidTr="00B51FED">
        <w:trPr>
          <w:tblHeader/>
          <w:jc w:val="center"/>
        </w:trPr>
        <w:tc>
          <w:tcPr>
            <w:tcW w:w="5000" w:type="pct"/>
            <w:gridSpan w:val="4"/>
            <w:shd w:val="clear" w:color="auto" w:fill="365F91"/>
            <w:tcMar>
              <w:left w:w="72" w:type="dxa"/>
              <w:right w:w="72" w:type="dxa"/>
            </w:tcMar>
          </w:tcPr>
          <w:p w:rsidR="00AA4661" w:rsidRPr="00F8728A" w:rsidRDefault="00AA4661" w:rsidP="00B155A6">
            <w:pPr>
              <w:spacing w:before="60" w:after="60"/>
              <w:jc w:val="both"/>
              <w:rPr>
                <w:rFonts w:ascii="Calibri" w:hAnsi="Calibri" w:cs="Calibri"/>
                <w:sz w:val="22"/>
              </w:rPr>
            </w:pPr>
            <w:r w:rsidRPr="00F8728A">
              <w:rPr>
                <w:rFonts w:ascii="Calibri" w:hAnsi="Calibri" w:cs="Calibri"/>
                <w:b/>
                <w:color w:val="FFFFFF"/>
                <w:sz w:val="22"/>
              </w:rPr>
              <w:t xml:space="preserve">                          Засягащи</w:t>
            </w:r>
            <w:r w:rsidRPr="00F8728A">
              <w:rPr>
                <w:rFonts w:ascii="Calibri" w:hAnsi="Calibri" w:cs="Calibri"/>
                <w:color w:val="FFFFFF"/>
                <w:sz w:val="22"/>
              </w:rPr>
              <w:t xml:space="preserve"> </w:t>
            </w:r>
            <w:r w:rsidRPr="00F8728A">
              <w:rPr>
                <w:rFonts w:ascii="Calibri" w:hAnsi="Calibri" w:cs="Calibri"/>
                <w:color w:val="FFFFFF"/>
                <w:sz w:val="22"/>
              </w:rPr>
              <w:sym w:font="Wingdings" w:char="F0E8"/>
            </w:r>
            <w:r w:rsidRPr="00F8728A">
              <w:rPr>
                <w:rFonts w:ascii="Calibri" w:hAnsi="Calibri" w:cs="Calibri"/>
                <w:color w:val="FFFFFF"/>
                <w:sz w:val="22"/>
              </w:rPr>
              <w:t xml:space="preserve">                     </w:t>
            </w:r>
            <w:r w:rsidRPr="00F8728A">
              <w:rPr>
                <w:rFonts w:ascii="Calibri" w:hAnsi="Calibri" w:cs="Calibri"/>
                <w:b/>
                <w:color w:val="FFFFFF"/>
                <w:sz w:val="22"/>
              </w:rPr>
              <w:t xml:space="preserve">   градската среда          </w:t>
            </w:r>
          </w:p>
        </w:tc>
      </w:tr>
      <w:tr w:rsidR="00AA4661" w:rsidRPr="00F8728A" w:rsidTr="00B51FED">
        <w:trPr>
          <w:cantSplit/>
          <w:trHeight w:val="643"/>
          <w:tblHeader/>
          <w:jc w:val="center"/>
        </w:trPr>
        <w:tc>
          <w:tcPr>
            <w:tcW w:w="765" w:type="pct"/>
            <w:tcBorders>
              <w:right w:val="nil"/>
            </w:tcBorders>
            <w:shd w:val="clear" w:color="auto" w:fill="B8CCE4"/>
            <w:tcMar>
              <w:left w:w="72" w:type="dxa"/>
              <w:right w:w="72" w:type="dxa"/>
            </w:tcMar>
          </w:tcPr>
          <w:p w:rsidR="00AA4661" w:rsidRPr="00F8728A" w:rsidRDefault="00AA4661" w:rsidP="00B155A6">
            <w:pPr>
              <w:spacing w:before="20" w:after="20"/>
              <w:rPr>
                <w:rFonts w:ascii="Calibri" w:hAnsi="Calibri" w:cs="Calibri"/>
                <w:b/>
                <w:sz w:val="22"/>
              </w:rPr>
            </w:pPr>
            <w:r w:rsidRPr="00F8728A">
              <w:rPr>
                <w:rFonts w:ascii="Calibri" w:hAnsi="Calibri" w:cs="Calibri"/>
                <w:b/>
                <w:sz w:val="22"/>
              </w:rPr>
              <w:t>Влияние на ИК в...</w:t>
            </w:r>
          </w:p>
          <w:p w:rsidR="00AA4661" w:rsidRPr="00F8728A" w:rsidRDefault="00AA4661" w:rsidP="00B155A6">
            <w:pPr>
              <w:spacing w:before="20" w:after="20" w:line="216" w:lineRule="auto"/>
              <w:jc w:val="both"/>
              <w:rPr>
                <w:rFonts w:ascii="Calibri" w:hAnsi="Calibri" w:cs="Calibri"/>
                <w:b/>
                <w:i/>
                <w:sz w:val="22"/>
              </w:rPr>
            </w:pPr>
            <w:r w:rsidRPr="00F8728A">
              <w:rPr>
                <w:rFonts w:ascii="Calibri" w:hAnsi="Calibri" w:cs="Calibri"/>
                <w:b/>
                <w:i/>
                <w:sz w:val="22"/>
              </w:rPr>
              <w:t>(вж долу)</w:t>
            </w:r>
          </w:p>
        </w:tc>
        <w:tc>
          <w:tcPr>
            <w:tcW w:w="257" w:type="pct"/>
            <w:tcBorders>
              <w:left w:val="nil"/>
            </w:tcBorders>
            <w:shd w:val="clear" w:color="auto" w:fill="B8CCE4"/>
            <w:tcMar>
              <w:left w:w="72" w:type="dxa"/>
              <w:right w:w="72" w:type="dxa"/>
            </w:tcMar>
            <w:textDirection w:val="btLr"/>
          </w:tcPr>
          <w:p w:rsidR="00AA4661" w:rsidRPr="00F8728A" w:rsidRDefault="00AA4661" w:rsidP="00B155A6">
            <w:pPr>
              <w:spacing w:before="20" w:after="20"/>
              <w:jc w:val="center"/>
              <w:rPr>
                <w:rFonts w:ascii="Calibri" w:hAnsi="Calibri" w:cs="Calibri"/>
                <w:b/>
                <w:sz w:val="22"/>
              </w:rPr>
            </w:pPr>
            <w:r w:rsidRPr="00F8728A">
              <w:rPr>
                <w:rFonts w:ascii="Calibri" w:hAnsi="Calibri" w:cs="Calibri"/>
                <w:b/>
                <w:sz w:val="22"/>
              </w:rPr>
              <w:sym w:font="Wingdings" w:char="F0E8"/>
            </w:r>
          </w:p>
        </w:tc>
        <w:tc>
          <w:tcPr>
            <w:tcW w:w="1989" w:type="pct"/>
            <w:shd w:val="clear" w:color="auto" w:fill="D9D9D9"/>
            <w:tcMar>
              <w:left w:w="72" w:type="dxa"/>
              <w:right w:w="72" w:type="dxa"/>
            </w:tcMar>
            <w:vAlign w:val="center"/>
          </w:tcPr>
          <w:p w:rsidR="00AA4661" w:rsidRPr="00F8728A" w:rsidRDefault="00AA4661" w:rsidP="00B155A6">
            <w:pPr>
              <w:spacing w:before="20" w:after="20"/>
              <w:jc w:val="center"/>
              <w:rPr>
                <w:rFonts w:ascii="Calibri" w:hAnsi="Calibri" w:cs="Calibri"/>
                <w:b/>
                <w:sz w:val="22"/>
              </w:rPr>
            </w:pPr>
            <w:r w:rsidRPr="00F8728A">
              <w:rPr>
                <w:rFonts w:ascii="Calibri" w:hAnsi="Calibri" w:cs="Calibri"/>
                <w:b/>
                <w:sz w:val="22"/>
              </w:rPr>
              <w:t>Положително</w:t>
            </w:r>
          </w:p>
        </w:tc>
        <w:tc>
          <w:tcPr>
            <w:tcW w:w="1989" w:type="pct"/>
            <w:shd w:val="clear" w:color="auto" w:fill="D9D9D9"/>
            <w:tcMar>
              <w:left w:w="72" w:type="dxa"/>
              <w:right w:w="72" w:type="dxa"/>
            </w:tcMar>
            <w:vAlign w:val="center"/>
          </w:tcPr>
          <w:p w:rsidR="00AA4661" w:rsidRPr="00F8728A" w:rsidRDefault="00AA4661" w:rsidP="00B155A6">
            <w:pPr>
              <w:spacing w:before="20" w:after="20"/>
              <w:jc w:val="center"/>
              <w:rPr>
                <w:rFonts w:ascii="Calibri" w:hAnsi="Calibri" w:cs="Calibri"/>
                <w:b/>
                <w:sz w:val="22"/>
              </w:rPr>
            </w:pPr>
            <w:r w:rsidRPr="00F8728A">
              <w:rPr>
                <w:rFonts w:ascii="Calibri" w:hAnsi="Calibri" w:cs="Calibri"/>
                <w:b/>
                <w:sz w:val="22"/>
              </w:rPr>
              <w:t>Отрицателно</w:t>
            </w:r>
          </w:p>
        </w:tc>
      </w:tr>
      <w:tr w:rsidR="00AA4661" w:rsidRPr="00F8728A" w:rsidTr="00B51FED">
        <w:trPr>
          <w:trHeight w:val="96"/>
          <w:jc w:val="center"/>
        </w:trPr>
        <w:tc>
          <w:tcPr>
            <w:tcW w:w="1022" w:type="pct"/>
            <w:gridSpan w:val="2"/>
            <w:shd w:val="clear" w:color="auto" w:fill="B8CCE4"/>
            <w:tcMar>
              <w:left w:w="72" w:type="dxa"/>
              <w:right w:w="72" w:type="dxa"/>
            </w:tcMar>
            <w:vAlign w:val="center"/>
          </w:tcPr>
          <w:p w:rsidR="00AA4661" w:rsidRPr="00F8728A" w:rsidRDefault="00AA4661" w:rsidP="00B155A6">
            <w:pPr>
              <w:spacing w:before="20" w:after="20"/>
              <w:jc w:val="center"/>
              <w:rPr>
                <w:rFonts w:ascii="Calibri" w:hAnsi="Calibri" w:cs="Calibri"/>
                <w:b/>
                <w:sz w:val="22"/>
              </w:rPr>
            </w:pPr>
            <w:r w:rsidRPr="00F8728A">
              <w:rPr>
                <w:rFonts w:ascii="Calibri" w:hAnsi="Calibri" w:cs="Calibri"/>
                <w:b/>
                <w:sz w:val="22"/>
              </w:rPr>
              <w:t>Земеделие</w:t>
            </w:r>
          </w:p>
        </w:tc>
        <w:tc>
          <w:tcPr>
            <w:tcW w:w="1989" w:type="pct"/>
            <w:tcMar>
              <w:left w:w="72" w:type="dxa"/>
              <w:right w:w="72" w:type="dxa"/>
            </w:tcMar>
            <w:vAlign w:val="center"/>
          </w:tcPr>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Стимулиране на алтернативното производство на продукти и снабдяване на градското население с хранителни продукти</w:t>
            </w:r>
          </w:p>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 xml:space="preserve">Развитие на градското земеделие </w:t>
            </w:r>
          </w:p>
        </w:tc>
        <w:tc>
          <w:tcPr>
            <w:tcW w:w="1989" w:type="pct"/>
            <w:tcMar>
              <w:left w:w="72" w:type="dxa"/>
              <w:right w:w="72" w:type="dxa"/>
            </w:tcMar>
            <w:vAlign w:val="center"/>
          </w:tcPr>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Конкуренция за водни ресурси между селските райони за напояване и градските райони за водоснабдяване</w:t>
            </w:r>
          </w:p>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Опасност от пожари за прилежащите градски територии в случай на пожар</w:t>
            </w:r>
          </w:p>
        </w:tc>
      </w:tr>
      <w:tr w:rsidR="00AA4661" w:rsidRPr="00F8728A" w:rsidTr="00B51FED">
        <w:trPr>
          <w:trHeight w:val="851"/>
          <w:jc w:val="center"/>
        </w:trPr>
        <w:tc>
          <w:tcPr>
            <w:tcW w:w="1022" w:type="pct"/>
            <w:gridSpan w:val="2"/>
            <w:shd w:val="clear" w:color="auto" w:fill="B8CCE4"/>
            <w:tcMar>
              <w:left w:w="72" w:type="dxa"/>
              <w:right w:w="72" w:type="dxa"/>
            </w:tcMar>
            <w:vAlign w:val="center"/>
          </w:tcPr>
          <w:p w:rsidR="00AA4661" w:rsidRPr="00F8728A" w:rsidRDefault="00AA4661" w:rsidP="00B155A6">
            <w:pPr>
              <w:spacing w:before="20" w:after="20"/>
              <w:jc w:val="center"/>
              <w:rPr>
                <w:rFonts w:ascii="Calibri" w:hAnsi="Calibri" w:cs="Calibri"/>
                <w:b/>
                <w:sz w:val="22"/>
              </w:rPr>
            </w:pPr>
            <w:r w:rsidRPr="00F8728A">
              <w:rPr>
                <w:rFonts w:ascii="Calibri" w:hAnsi="Calibri" w:cs="Calibri"/>
                <w:b/>
                <w:sz w:val="22"/>
              </w:rPr>
              <w:t>Биоразнообразие и екосистеми</w:t>
            </w:r>
          </w:p>
        </w:tc>
        <w:tc>
          <w:tcPr>
            <w:tcW w:w="1989" w:type="pct"/>
            <w:tcMar>
              <w:left w:w="72" w:type="dxa"/>
              <w:right w:w="72" w:type="dxa"/>
            </w:tcMar>
            <w:vAlign w:val="center"/>
          </w:tcPr>
          <w:p w:rsidR="00AA4661" w:rsidRPr="00F8728A" w:rsidRDefault="00AA4661" w:rsidP="00CF297A">
            <w:pPr>
              <w:numPr>
                <w:ilvl w:val="0"/>
                <w:numId w:val="40"/>
              </w:numPr>
              <w:spacing w:before="40" w:after="40"/>
              <w:ind w:left="290" w:hanging="290"/>
              <w:rPr>
                <w:rFonts w:ascii="Calibri" w:hAnsi="Calibri" w:cs="Calibri"/>
                <w:sz w:val="22"/>
              </w:rPr>
            </w:pPr>
            <w:r w:rsidRPr="00F8728A">
              <w:rPr>
                <w:rFonts w:ascii="Calibri" w:hAnsi="Calibri" w:cs="Calibri"/>
                <w:sz w:val="22"/>
              </w:rPr>
              <w:t>Зелената инфраструктура и запазеното биоразнообразие подобряват общото качество на градската среда</w:t>
            </w:r>
          </w:p>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 xml:space="preserve">Рекреация и отдих </w:t>
            </w:r>
          </w:p>
        </w:tc>
        <w:tc>
          <w:tcPr>
            <w:tcW w:w="1989" w:type="pct"/>
            <w:tcMar>
              <w:left w:w="72" w:type="dxa"/>
              <w:right w:w="72" w:type="dxa"/>
            </w:tcMar>
            <w:vAlign w:val="center"/>
          </w:tcPr>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Въздействие върху общото биоразнообразие в региона</w:t>
            </w:r>
          </w:p>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Чужди видове и развъждане на вредители</w:t>
            </w:r>
          </w:p>
        </w:tc>
      </w:tr>
      <w:tr w:rsidR="00AA4661" w:rsidRPr="00F8728A" w:rsidTr="00B51FED">
        <w:trPr>
          <w:trHeight w:val="851"/>
          <w:jc w:val="center"/>
        </w:trPr>
        <w:tc>
          <w:tcPr>
            <w:tcW w:w="1022" w:type="pct"/>
            <w:gridSpan w:val="2"/>
            <w:shd w:val="clear" w:color="auto" w:fill="B8CCE4"/>
            <w:tcMar>
              <w:left w:w="72" w:type="dxa"/>
              <w:right w:w="72" w:type="dxa"/>
            </w:tcMar>
            <w:vAlign w:val="center"/>
          </w:tcPr>
          <w:p w:rsidR="00AA4661" w:rsidRPr="00F8728A" w:rsidRDefault="00AA4661" w:rsidP="00B155A6">
            <w:pPr>
              <w:spacing w:before="20" w:after="20"/>
              <w:jc w:val="center"/>
              <w:rPr>
                <w:rFonts w:ascii="Calibri" w:hAnsi="Calibri" w:cs="Calibri"/>
                <w:b/>
                <w:sz w:val="22"/>
              </w:rPr>
            </w:pPr>
            <w:r w:rsidRPr="00F8728A">
              <w:rPr>
                <w:rFonts w:ascii="Calibri" w:hAnsi="Calibri" w:cs="Calibri"/>
                <w:b/>
                <w:sz w:val="22"/>
              </w:rPr>
              <w:t>Енергетика</w:t>
            </w:r>
          </w:p>
        </w:tc>
        <w:tc>
          <w:tcPr>
            <w:tcW w:w="1989" w:type="pct"/>
            <w:tcMar>
              <w:left w:w="72" w:type="dxa"/>
              <w:right w:w="72" w:type="dxa"/>
            </w:tcMar>
            <w:vAlign w:val="center"/>
          </w:tcPr>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По-ниски разходи за електроснабдяване при по-топли зими</w:t>
            </w:r>
          </w:p>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 xml:space="preserve">По-малка опасност от наводнения при суша </w:t>
            </w:r>
          </w:p>
        </w:tc>
        <w:tc>
          <w:tcPr>
            <w:tcW w:w="1989" w:type="pct"/>
            <w:tcMar>
              <w:left w:w="72" w:type="dxa"/>
              <w:right w:w="72" w:type="dxa"/>
            </w:tcMar>
            <w:vAlign w:val="center"/>
          </w:tcPr>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По-високи разходи за електроснабдяване при горещи лета</w:t>
            </w:r>
          </w:p>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 xml:space="preserve">Щети по електроснабдителната мрежа поради бури, обледяване </w:t>
            </w:r>
          </w:p>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По-високо производство на слънчева енергия за нуждите на града</w:t>
            </w:r>
          </w:p>
        </w:tc>
      </w:tr>
      <w:tr w:rsidR="00AA4661" w:rsidRPr="00F8728A" w:rsidTr="00B51FED">
        <w:trPr>
          <w:trHeight w:val="851"/>
          <w:jc w:val="center"/>
        </w:trPr>
        <w:tc>
          <w:tcPr>
            <w:tcW w:w="1022" w:type="pct"/>
            <w:gridSpan w:val="2"/>
            <w:shd w:val="clear" w:color="auto" w:fill="B8CCE4"/>
            <w:tcMar>
              <w:left w:w="72" w:type="dxa"/>
              <w:right w:w="72" w:type="dxa"/>
            </w:tcMar>
            <w:vAlign w:val="center"/>
          </w:tcPr>
          <w:p w:rsidR="00AA4661" w:rsidRPr="00F8728A" w:rsidRDefault="00AA4661" w:rsidP="00B155A6">
            <w:pPr>
              <w:spacing w:before="20" w:after="20"/>
              <w:jc w:val="center"/>
              <w:rPr>
                <w:rFonts w:ascii="Calibri" w:hAnsi="Calibri" w:cs="Calibri"/>
                <w:b/>
                <w:sz w:val="22"/>
              </w:rPr>
            </w:pPr>
            <w:r w:rsidRPr="00F8728A">
              <w:rPr>
                <w:rFonts w:ascii="Calibri" w:hAnsi="Calibri" w:cs="Calibri"/>
                <w:b/>
                <w:sz w:val="22"/>
              </w:rPr>
              <w:t>Гори</w:t>
            </w:r>
          </w:p>
        </w:tc>
        <w:tc>
          <w:tcPr>
            <w:tcW w:w="1989" w:type="pct"/>
            <w:tcMar>
              <w:left w:w="72" w:type="dxa"/>
              <w:right w:w="72" w:type="dxa"/>
            </w:tcMar>
            <w:vAlign w:val="center"/>
          </w:tcPr>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 xml:space="preserve">Повече терени за строителство  и рекреация  за градските жители след пожар и обезлесяване </w:t>
            </w:r>
          </w:p>
        </w:tc>
        <w:tc>
          <w:tcPr>
            <w:tcW w:w="1989" w:type="pct"/>
            <w:tcMar>
              <w:left w:w="72" w:type="dxa"/>
              <w:right w:w="72" w:type="dxa"/>
            </w:tcMar>
            <w:vAlign w:val="center"/>
          </w:tcPr>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Прекъсване на зелените коридори след обезлесяване</w:t>
            </w:r>
          </w:p>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 xml:space="preserve">По-слаба защита на водните ресурси </w:t>
            </w:r>
          </w:p>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Опасност от пожари за прилежащите градски територии в случай на пожар</w:t>
            </w:r>
          </w:p>
        </w:tc>
      </w:tr>
      <w:tr w:rsidR="00AA4661" w:rsidRPr="00F8728A" w:rsidTr="00B51FED">
        <w:trPr>
          <w:trHeight w:val="851"/>
          <w:jc w:val="center"/>
        </w:trPr>
        <w:tc>
          <w:tcPr>
            <w:tcW w:w="1022" w:type="pct"/>
            <w:gridSpan w:val="2"/>
            <w:shd w:val="clear" w:color="auto" w:fill="B8CCE4"/>
            <w:tcMar>
              <w:left w:w="72" w:type="dxa"/>
              <w:right w:w="72" w:type="dxa"/>
            </w:tcMar>
            <w:vAlign w:val="center"/>
          </w:tcPr>
          <w:p w:rsidR="00AA4661" w:rsidRPr="00F8728A" w:rsidRDefault="00AA4661" w:rsidP="00B155A6">
            <w:pPr>
              <w:spacing w:before="20" w:after="20"/>
              <w:jc w:val="center"/>
              <w:rPr>
                <w:rFonts w:ascii="Calibri" w:hAnsi="Calibri" w:cs="Calibri"/>
                <w:b/>
                <w:sz w:val="22"/>
              </w:rPr>
            </w:pPr>
            <w:r w:rsidRPr="00F8728A">
              <w:rPr>
                <w:rFonts w:ascii="Calibri" w:hAnsi="Calibri" w:cs="Calibri"/>
                <w:b/>
                <w:sz w:val="22"/>
              </w:rPr>
              <w:t>Човешко здраве</w:t>
            </w:r>
          </w:p>
        </w:tc>
        <w:tc>
          <w:tcPr>
            <w:tcW w:w="1989" w:type="pct"/>
            <w:tcMar>
              <w:left w:w="72" w:type="dxa"/>
              <w:right w:w="72" w:type="dxa"/>
            </w:tcMar>
            <w:vAlign w:val="center"/>
          </w:tcPr>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По-дълъг сезон за дейности на открито и по-добро здраве</w:t>
            </w:r>
          </w:p>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 xml:space="preserve">Повече възможности за колоездене  </w:t>
            </w:r>
          </w:p>
        </w:tc>
        <w:tc>
          <w:tcPr>
            <w:tcW w:w="1989" w:type="pct"/>
            <w:tcMar>
              <w:left w:w="72" w:type="dxa"/>
              <w:right w:w="72" w:type="dxa"/>
            </w:tcMar>
            <w:vAlign w:val="center"/>
          </w:tcPr>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 xml:space="preserve">Натоварване за здравето и градските социални служби </w:t>
            </w:r>
          </w:p>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 xml:space="preserve">По-голям стрес за здравето на градското население </w:t>
            </w:r>
          </w:p>
        </w:tc>
      </w:tr>
      <w:tr w:rsidR="00AA4661" w:rsidRPr="00F8728A" w:rsidTr="00B51FED">
        <w:trPr>
          <w:trHeight w:val="851"/>
          <w:jc w:val="center"/>
        </w:trPr>
        <w:tc>
          <w:tcPr>
            <w:tcW w:w="1022" w:type="pct"/>
            <w:gridSpan w:val="2"/>
            <w:shd w:val="clear" w:color="auto" w:fill="B8CCE4"/>
            <w:tcMar>
              <w:left w:w="72" w:type="dxa"/>
              <w:right w:w="72" w:type="dxa"/>
            </w:tcMar>
            <w:vAlign w:val="center"/>
          </w:tcPr>
          <w:p w:rsidR="00AA4661" w:rsidRPr="00F8728A" w:rsidRDefault="00AA4661" w:rsidP="00B155A6">
            <w:pPr>
              <w:spacing w:before="20" w:after="20"/>
              <w:jc w:val="center"/>
              <w:rPr>
                <w:rFonts w:ascii="Calibri" w:hAnsi="Calibri" w:cs="Calibri"/>
                <w:b/>
                <w:sz w:val="22"/>
              </w:rPr>
            </w:pPr>
            <w:r w:rsidRPr="00F8728A">
              <w:rPr>
                <w:rFonts w:ascii="Calibri" w:hAnsi="Calibri" w:cs="Calibri"/>
                <w:b/>
                <w:sz w:val="22"/>
              </w:rPr>
              <w:t>Туризъм</w:t>
            </w:r>
          </w:p>
        </w:tc>
        <w:tc>
          <w:tcPr>
            <w:tcW w:w="1989" w:type="pct"/>
            <w:tcMar>
              <w:left w:w="72" w:type="dxa"/>
              <w:right w:w="72" w:type="dxa"/>
            </w:tcMar>
            <w:vAlign w:val="center"/>
          </w:tcPr>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Повече посетители и по-големи приходи за градовете, които привличат туристи от курорти при лошо време</w:t>
            </w:r>
          </w:p>
        </w:tc>
        <w:tc>
          <w:tcPr>
            <w:tcW w:w="1989" w:type="pct"/>
            <w:tcMar>
              <w:left w:w="72" w:type="dxa"/>
              <w:right w:w="72" w:type="dxa"/>
            </w:tcMar>
            <w:vAlign w:val="center"/>
          </w:tcPr>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Всички исторически и археологически обекти, както и защитени сгради застрашени от пожар, наводнения, земетресения и др.</w:t>
            </w:r>
          </w:p>
        </w:tc>
      </w:tr>
      <w:tr w:rsidR="00AA4661" w:rsidRPr="00F8728A" w:rsidTr="00B51FED">
        <w:trPr>
          <w:trHeight w:val="851"/>
          <w:jc w:val="center"/>
        </w:trPr>
        <w:tc>
          <w:tcPr>
            <w:tcW w:w="1022" w:type="pct"/>
            <w:gridSpan w:val="2"/>
            <w:shd w:val="clear" w:color="auto" w:fill="B8CCE4"/>
            <w:tcMar>
              <w:left w:w="72" w:type="dxa"/>
              <w:right w:w="72" w:type="dxa"/>
            </w:tcMar>
            <w:vAlign w:val="center"/>
          </w:tcPr>
          <w:p w:rsidR="00AA4661" w:rsidRPr="00F8728A" w:rsidRDefault="00AA4661" w:rsidP="00B155A6">
            <w:pPr>
              <w:spacing w:before="20" w:after="20"/>
              <w:jc w:val="center"/>
              <w:rPr>
                <w:rFonts w:ascii="Calibri" w:hAnsi="Calibri" w:cs="Calibri"/>
                <w:b/>
                <w:sz w:val="22"/>
              </w:rPr>
            </w:pPr>
            <w:r w:rsidRPr="00F8728A">
              <w:rPr>
                <w:rFonts w:ascii="Calibri" w:hAnsi="Calibri" w:cs="Calibri"/>
                <w:b/>
                <w:sz w:val="22"/>
              </w:rPr>
              <w:t>Транспорт</w:t>
            </w:r>
          </w:p>
        </w:tc>
        <w:tc>
          <w:tcPr>
            <w:tcW w:w="1989" w:type="pct"/>
            <w:tcMar>
              <w:left w:w="72" w:type="dxa"/>
              <w:right w:w="72" w:type="dxa"/>
            </w:tcMar>
            <w:vAlign w:val="center"/>
          </w:tcPr>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По-малко разходи за общината за поддържане на улиците и събиране на сняг на обществени открити пространства през зимата</w:t>
            </w:r>
          </w:p>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Повече пътници на метрото и по-малко трафик при тежки снеговалежи</w:t>
            </w:r>
          </w:p>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Повече възможности за мобилност през по-топлите сезони (пешеходна, велосипедна) и по-малко трафик и замърсяване</w:t>
            </w:r>
          </w:p>
        </w:tc>
        <w:tc>
          <w:tcPr>
            <w:tcW w:w="1989" w:type="pct"/>
            <w:tcMar>
              <w:left w:w="72" w:type="dxa"/>
              <w:right w:w="72" w:type="dxa"/>
            </w:tcMar>
            <w:vAlign w:val="center"/>
          </w:tcPr>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Лоши услуги на градския транспорт при екстремални метеорологични условия – дъждове, бури, силни снеговалежи, градушки.</w:t>
            </w:r>
          </w:p>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Затваряне на летища и липса на връзки с други градове</w:t>
            </w:r>
          </w:p>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Наводнени подлези</w:t>
            </w:r>
          </w:p>
        </w:tc>
      </w:tr>
      <w:tr w:rsidR="00AA4661" w:rsidRPr="00F8728A" w:rsidTr="00B51FED">
        <w:trPr>
          <w:trHeight w:val="96"/>
          <w:jc w:val="center"/>
        </w:trPr>
        <w:tc>
          <w:tcPr>
            <w:tcW w:w="1022" w:type="pct"/>
            <w:gridSpan w:val="2"/>
            <w:shd w:val="clear" w:color="auto" w:fill="B8CCE4"/>
            <w:tcMar>
              <w:left w:w="72" w:type="dxa"/>
              <w:right w:w="72" w:type="dxa"/>
            </w:tcMar>
            <w:vAlign w:val="center"/>
          </w:tcPr>
          <w:p w:rsidR="00AA4661" w:rsidRPr="00F8728A" w:rsidRDefault="00AA4661" w:rsidP="00B155A6">
            <w:pPr>
              <w:spacing w:before="20" w:after="20"/>
              <w:jc w:val="center"/>
              <w:rPr>
                <w:rFonts w:ascii="Calibri" w:hAnsi="Calibri" w:cs="Calibri"/>
                <w:b/>
                <w:sz w:val="22"/>
              </w:rPr>
            </w:pPr>
            <w:r w:rsidRPr="00F8728A">
              <w:rPr>
                <w:rFonts w:ascii="Calibri" w:hAnsi="Calibri" w:cs="Calibri"/>
                <w:b/>
                <w:sz w:val="22"/>
              </w:rPr>
              <w:t>Вода</w:t>
            </w:r>
          </w:p>
        </w:tc>
        <w:tc>
          <w:tcPr>
            <w:tcW w:w="1989" w:type="pct"/>
            <w:tcMar>
              <w:left w:w="72" w:type="dxa"/>
              <w:right w:w="72" w:type="dxa"/>
            </w:tcMar>
            <w:vAlign w:val="center"/>
          </w:tcPr>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При повече снеговалежи – повече вода за всички градски нужди</w:t>
            </w:r>
          </w:p>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Повече вода за развлечения и водни спортове при по-обилни валежи</w:t>
            </w:r>
          </w:p>
        </w:tc>
        <w:tc>
          <w:tcPr>
            <w:tcW w:w="1989" w:type="pct"/>
            <w:tcMar>
              <w:left w:w="72" w:type="dxa"/>
              <w:right w:w="72" w:type="dxa"/>
            </w:tcMar>
            <w:vAlign w:val="center"/>
          </w:tcPr>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Недостиг на вода и воден стрес</w:t>
            </w:r>
          </w:p>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Ниско качество на питейната вода</w:t>
            </w:r>
          </w:p>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 xml:space="preserve">Наводняване поради остаряла канализация </w:t>
            </w:r>
          </w:p>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 xml:space="preserve">По-висока конкуренция за водните ресурси–питейна вода, водни атракции на обществени открити пространства и паркове, за напояване на зелените системи, за къпане и плуване. </w:t>
            </w:r>
          </w:p>
        </w:tc>
      </w:tr>
    </w:tbl>
    <w:p w:rsidR="00AA4661" w:rsidRPr="00B73D7E" w:rsidRDefault="00AA4661" w:rsidP="00CF297A">
      <w:pPr>
        <w:pStyle w:val="BodyText"/>
        <w:numPr>
          <w:ilvl w:val="0"/>
          <w:numId w:val="41"/>
        </w:numPr>
        <w:spacing w:before="200"/>
        <w:ind w:left="0" w:firstLine="0"/>
        <w:rPr>
          <w:lang w:val="bg-BG"/>
        </w:rPr>
      </w:pPr>
      <w:r w:rsidRPr="00B73D7E">
        <w:rPr>
          <w:lang w:val="bg-BG"/>
        </w:rPr>
        <w:t>Основаното на риска градско планиране, в синергия със секторните градски дейности, може да намали отрицателните влияния на климатичните промени. То трябва по подходящ начин да  отчита отрицателното въздействие на някои урбанистични прогнози и реализации, и най-вече на прекомерното застрояване и технологично насищане на жилищните територии в най-големите градове.</w:t>
      </w:r>
    </w:p>
    <w:p w:rsidR="00AA4661" w:rsidRPr="00B73D7E" w:rsidRDefault="00AA4661" w:rsidP="00CF297A">
      <w:pPr>
        <w:pStyle w:val="BodyText"/>
        <w:numPr>
          <w:ilvl w:val="0"/>
          <w:numId w:val="41"/>
        </w:numPr>
        <w:spacing w:after="60"/>
        <w:ind w:left="0" w:firstLine="0"/>
        <w:rPr>
          <w:lang w:val="bg-BG"/>
        </w:rPr>
      </w:pPr>
      <w:r w:rsidRPr="00B73D7E">
        <w:rPr>
          <w:lang w:val="bg-BG"/>
        </w:rPr>
        <w:t>Дългият преходен период на България създаде условия за неустойчиво градско развитие, в частност в жилищните територии на градовете, както и за разрастването на градовете (Слаев и Ковачев, 2014 г.). Допустимата плътност на застрояване (например Законът за устройството и застрояването на столичната община</w:t>
      </w:r>
      <w:r w:rsidRPr="00B73D7E">
        <w:rPr>
          <w:vertAlign w:val="superscript"/>
          <w:lang w:val="bg-BG"/>
        </w:rPr>
        <w:footnoteReference w:id="154"/>
      </w:r>
      <w:r w:rsidRPr="00B73D7E">
        <w:rPr>
          <w:lang w:val="bg-BG"/>
        </w:rPr>
        <w:t xml:space="preserve"> с брутни стойности на коефициента на интензивност на застрояване от 2, 2,5, 3, 3,5) противоречи на всички екологични принципи. В съчетание с допълнителни нормативни изисквания, като това за осигуряване на паркоместа, това води до унищожаването на териториите с естествено растително покритие поради подземното застрояване на цялата площ на поземления имот. Това влошава качеството на околната среда и климатичния комфорт и представлява компромис с устойчивостта на градската среда в сферата на явленията, които се подсилват от климатичните промени. Стратегията за АИК следва да се концентрира особено върху дейността по градско планиране свързано с риска в съчетание със секторни действия в градската среда. Ето защо избраните варианти и действия за адаптация трябва да включват: </w:t>
      </w:r>
    </w:p>
    <w:p w:rsidR="00AA4661" w:rsidRPr="00F8728A" w:rsidRDefault="00AA4661" w:rsidP="00E21095">
      <w:pPr>
        <w:numPr>
          <w:ilvl w:val="0"/>
          <w:numId w:val="33"/>
        </w:numPr>
        <w:spacing w:after="60" w:line="276" w:lineRule="auto"/>
        <w:jc w:val="both"/>
        <w:rPr>
          <w:rFonts w:ascii="Times New Roman" w:hAnsi="Times New Roman" w:cs="Arial"/>
          <w:sz w:val="24"/>
          <w:szCs w:val="20"/>
          <w:lang w:eastAsia="bg-BG"/>
        </w:rPr>
      </w:pPr>
      <w:r w:rsidRPr="00F8728A">
        <w:rPr>
          <w:rFonts w:ascii="Times New Roman" w:hAnsi="Times New Roman" w:cs="Arial"/>
          <w:sz w:val="24"/>
          <w:szCs w:val="20"/>
          <w:lang w:eastAsia="bg-BG"/>
        </w:rPr>
        <w:t>Градски изследвания, проведени в междусекторно партньорство, насочени към очакваните климатични промени;</w:t>
      </w:r>
    </w:p>
    <w:p w:rsidR="00AA4661" w:rsidRPr="00F8728A" w:rsidRDefault="00AA4661" w:rsidP="00E21095">
      <w:pPr>
        <w:numPr>
          <w:ilvl w:val="0"/>
          <w:numId w:val="33"/>
        </w:numPr>
        <w:spacing w:after="60" w:line="276" w:lineRule="auto"/>
        <w:jc w:val="both"/>
        <w:rPr>
          <w:rFonts w:ascii="Times New Roman" w:hAnsi="Times New Roman" w:cs="Arial"/>
          <w:sz w:val="24"/>
          <w:szCs w:val="20"/>
          <w:lang w:eastAsia="bg-BG"/>
        </w:rPr>
      </w:pPr>
      <w:r w:rsidRPr="00F8728A">
        <w:rPr>
          <w:rFonts w:ascii="Times New Roman" w:hAnsi="Times New Roman" w:cs="Arial"/>
          <w:sz w:val="24"/>
          <w:szCs w:val="20"/>
          <w:lang w:eastAsia="bg-BG"/>
        </w:rPr>
        <w:t xml:space="preserve">Адаптиране на принципите на градското планиране към очакваните климатични промени; </w:t>
      </w:r>
    </w:p>
    <w:p w:rsidR="00AA4661" w:rsidRPr="00F8728A" w:rsidRDefault="00AA4661" w:rsidP="00E21095">
      <w:pPr>
        <w:numPr>
          <w:ilvl w:val="0"/>
          <w:numId w:val="33"/>
        </w:numPr>
        <w:spacing w:after="60" w:line="276" w:lineRule="auto"/>
        <w:jc w:val="both"/>
        <w:rPr>
          <w:rFonts w:ascii="Times New Roman" w:hAnsi="Times New Roman" w:cs="Arial"/>
          <w:sz w:val="24"/>
          <w:szCs w:val="20"/>
          <w:lang w:eastAsia="bg-BG"/>
        </w:rPr>
      </w:pPr>
      <w:r w:rsidRPr="00F8728A">
        <w:rPr>
          <w:rFonts w:ascii="Times New Roman" w:hAnsi="Times New Roman" w:cs="Arial"/>
          <w:sz w:val="24"/>
          <w:szCs w:val="20"/>
          <w:lang w:eastAsia="bg-BG"/>
        </w:rPr>
        <w:t>Адаптиране на законите и нормите за градското застрояване към климатичните промени;</w:t>
      </w:r>
    </w:p>
    <w:p w:rsidR="00AA4661" w:rsidRPr="00F8728A" w:rsidRDefault="00AA4661" w:rsidP="00E21095">
      <w:pPr>
        <w:numPr>
          <w:ilvl w:val="0"/>
          <w:numId w:val="33"/>
        </w:numPr>
        <w:spacing w:after="60" w:line="276" w:lineRule="auto"/>
        <w:jc w:val="both"/>
        <w:rPr>
          <w:rFonts w:ascii="Times New Roman" w:hAnsi="Times New Roman" w:cs="Arial"/>
          <w:sz w:val="24"/>
          <w:szCs w:val="20"/>
          <w:lang w:eastAsia="bg-BG"/>
        </w:rPr>
      </w:pPr>
      <w:r w:rsidRPr="00F8728A">
        <w:rPr>
          <w:rFonts w:ascii="Times New Roman" w:hAnsi="Times New Roman" w:cs="Arial"/>
          <w:sz w:val="24"/>
          <w:szCs w:val="20"/>
          <w:lang w:eastAsia="bg-BG"/>
        </w:rPr>
        <w:t>Адаптиране на градските планове към очакваните климатични промени; и</w:t>
      </w:r>
    </w:p>
    <w:p w:rsidR="00AA4661" w:rsidRPr="00F8728A" w:rsidRDefault="00AA4661" w:rsidP="00E21095">
      <w:pPr>
        <w:numPr>
          <w:ilvl w:val="0"/>
          <w:numId w:val="33"/>
        </w:numPr>
        <w:spacing w:after="120" w:line="276" w:lineRule="auto"/>
        <w:jc w:val="both"/>
        <w:rPr>
          <w:rFonts w:ascii="Times New Roman" w:hAnsi="Times New Roman" w:cs="Arial"/>
          <w:sz w:val="24"/>
          <w:szCs w:val="20"/>
          <w:lang w:eastAsia="bg-BG"/>
        </w:rPr>
      </w:pPr>
      <w:r w:rsidRPr="00F8728A">
        <w:rPr>
          <w:rFonts w:ascii="Times New Roman" w:hAnsi="Times New Roman" w:cs="Arial"/>
          <w:sz w:val="24"/>
          <w:szCs w:val="20"/>
          <w:lang w:eastAsia="bg-BG"/>
        </w:rPr>
        <w:t>Адаптиране на строителните норми за сгради и съоръжения в градската среда към очакваните климатични промени.</w:t>
      </w:r>
    </w:p>
    <w:p w:rsidR="00AA4661" w:rsidRPr="00B73D7E" w:rsidRDefault="00AA4661" w:rsidP="00CF297A">
      <w:pPr>
        <w:pStyle w:val="BodyText"/>
        <w:numPr>
          <w:ilvl w:val="0"/>
          <w:numId w:val="41"/>
        </w:numPr>
        <w:ind w:left="0" w:firstLine="0"/>
        <w:rPr>
          <w:lang w:val="bg-BG"/>
        </w:rPr>
      </w:pPr>
      <w:r w:rsidRPr="00B73D7E">
        <w:rPr>
          <w:lang w:val="bg-BG"/>
        </w:rPr>
        <w:t>Тези изводи показват нужда от съгласувано изпълнение на вариантите за АИК по отношение на изследвания, политики, законодателство, практики в градското планиране, проектиране и строителство.</w:t>
      </w:r>
    </w:p>
    <w:p w:rsidR="00AA4661" w:rsidRPr="00B73D7E" w:rsidRDefault="00AA4661" w:rsidP="00AA2BBD">
      <w:pPr>
        <w:pStyle w:val="Heading2"/>
        <w:rPr>
          <w:szCs w:val="20"/>
          <w:lang w:val="bg-BG"/>
        </w:rPr>
      </w:pPr>
      <w:bookmarkStart w:id="733" w:name="_Toc486513844"/>
      <w:bookmarkStart w:id="734" w:name="_Toc486942219"/>
      <w:bookmarkStart w:id="735" w:name="_Toc501454896"/>
      <w:bookmarkStart w:id="736" w:name="_Toc522030599"/>
      <w:bookmarkStart w:id="737" w:name="_Toc529285584"/>
      <w:r w:rsidRPr="00B73D7E">
        <w:rPr>
          <w:lang w:val="bg-BG"/>
        </w:rPr>
        <w:t>Подход за определяне на приоритети</w:t>
      </w:r>
      <w:bookmarkEnd w:id="733"/>
      <w:bookmarkEnd w:id="734"/>
      <w:bookmarkEnd w:id="735"/>
      <w:bookmarkEnd w:id="736"/>
      <w:bookmarkEnd w:id="737"/>
    </w:p>
    <w:p w:rsidR="00AA4661" w:rsidRPr="00B73D7E" w:rsidRDefault="00AA4661" w:rsidP="00CF297A">
      <w:pPr>
        <w:pStyle w:val="BodyText"/>
        <w:numPr>
          <w:ilvl w:val="0"/>
          <w:numId w:val="41"/>
        </w:numPr>
        <w:ind w:left="0" w:firstLine="0"/>
        <w:rPr>
          <w:lang w:val="bg-BG"/>
        </w:rPr>
      </w:pPr>
      <w:r w:rsidRPr="00B73D7E">
        <w:rPr>
          <w:lang w:val="bg-BG"/>
        </w:rPr>
        <w:t>Избраният подход за определяне на приоритети за АИК на градската среда отчита специфичните за сектора цели на предложените варианти за адаптация и използва набор от критерии, интерпретирани за тази цел.</w:t>
      </w:r>
      <w:r w:rsidRPr="00B73D7E">
        <w:rPr>
          <w:sz w:val="18"/>
          <w:vertAlign w:val="superscript"/>
          <w:lang w:val="bg-BG"/>
        </w:rPr>
        <w:footnoteReference w:id="155"/>
      </w:r>
      <w:r w:rsidRPr="00B73D7E">
        <w:rPr>
          <w:lang w:val="bg-BG"/>
        </w:rPr>
        <w:t xml:space="preserve"> Конкретните цели са свързани с общия спектър на градската среда от планирането до изграждането, управлението и ползването, и са насочени към понижаване на нежеланите въздействия на климатичните промени върху сгради и съоръжения, транспорт, техническа и социална инфраструктура, зелени и публични открити пространства, градско население и здраве.</w:t>
      </w:r>
    </w:p>
    <w:p w:rsidR="00AA4661" w:rsidRPr="00B73D7E" w:rsidRDefault="00AA4661" w:rsidP="00CF297A">
      <w:pPr>
        <w:pStyle w:val="BodyText"/>
        <w:numPr>
          <w:ilvl w:val="0"/>
          <w:numId w:val="41"/>
        </w:numPr>
        <w:spacing w:before="60" w:after="60"/>
        <w:ind w:left="0" w:firstLine="0"/>
        <w:rPr>
          <w:b/>
          <w:lang w:val="bg-BG"/>
        </w:rPr>
      </w:pPr>
      <w:r w:rsidRPr="00B73D7E">
        <w:rPr>
          <w:lang w:val="bg-BG"/>
        </w:rPr>
        <w:t>Подбраните критерии включват:</w:t>
      </w:r>
    </w:p>
    <w:p w:rsidR="00AA4661" w:rsidRPr="00F8728A" w:rsidRDefault="00AA4661" w:rsidP="00E21095">
      <w:pPr>
        <w:numPr>
          <w:ilvl w:val="0"/>
          <w:numId w:val="34"/>
        </w:numPr>
        <w:spacing w:before="60" w:after="60" w:line="276" w:lineRule="auto"/>
        <w:ind w:left="720"/>
        <w:jc w:val="both"/>
        <w:rPr>
          <w:rFonts w:ascii="Times New Roman" w:hAnsi="Times New Roman" w:cs="Arial"/>
          <w:sz w:val="24"/>
          <w:szCs w:val="20"/>
        </w:rPr>
      </w:pPr>
      <w:r w:rsidRPr="00F8728A">
        <w:rPr>
          <w:rFonts w:ascii="Times New Roman" w:hAnsi="Times New Roman"/>
          <w:b/>
          <w:sz w:val="24"/>
          <w:szCs w:val="20"/>
        </w:rPr>
        <w:t>Спешност</w:t>
      </w:r>
      <w:r w:rsidRPr="00F8728A">
        <w:rPr>
          <w:rFonts w:ascii="Times New Roman" w:hAnsi="Times New Roman"/>
          <w:sz w:val="24"/>
          <w:szCs w:val="20"/>
        </w:rPr>
        <w:t xml:space="preserve"> – необходимостта от спешни действия и мерки за незабавно започване на изпълнението на АИК и/или за спиране на деградирането в градската среда на определени структури или сгради;</w:t>
      </w:r>
    </w:p>
    <w:p w:rsidR="00AA4661" w:rsidRPr="00F8728A" w:rsidRDefault="00AA4661" w:rsidP="00E21095">
      <w:pPr>
        <w:numPr>
          <w:ilvl w:val="0"/>
          <w:numId w:val="34"/>
        </w:numPr>
        <w:spacing w:before="60" w:after="60" w:line="276" w:lineRule="auto"/>
        <w:ind w:left="720"/>
        <w:jc w:val="both"/>
        <w:rPr>
          <w:rFonts w:ascii="Times New Roman" w:hAnsi="Times New Roman" w:cs="Arial"/>
          <w:sz w:val="24"/>
          <w:szCs w:val="20"/>
        </w:rPr>
      </w:pPr>
      <w:r w:rsidRPr="00F8728A">
        <w:rPr>
          <w:rFonts w:ascii="Times New Roman" w:hAnsi="Times New Roman"/>
          <w:b/>
          <w:sz w:val="24"/>
          <w:szCs w:val="20"/>
        </w:rPr>
        <w:t>Значимост</w:t>
      </w:r>
      <w:r w:rsidRPr="00F8728A">
        <w:rPr>
          <w:rFonts w:ascii="Times New Roman" w:hAnsi="Times New Roman"/>
          <w:i/>
          <w:sz w:val="24"/>
          <w:szCs w:val="20"/>
        </w:rPr>
        <w:t xml:space="preserve"> </w:t>
      </w:r>
      <w:r w:rsidRPr="00F8728A">
        <w:rPr>
          <w:rFonts w:ascii="Times New Roman" w:hAnsi="Times New Roman"/>
          <w:sz w:val="24"/>
          <w:szCs w:val="20"/>
        </w:rPr>
        <w:t>– важността на възможността за постигане на качество на адаптацията на градската среда;</w:t>
      </w:r>
    </w:p>
    <w:p w:rsidR="00AA4661" w:rsidRPr="00F8728A" w:rsidRDefault="00AA4661" w:rsidP="00E21095">
      <w:pPr>
        <w:numPr>
          <w:ilvl w:val="0"/>
          <w:numId w:val="34"/>
        </w:numPr>
        <w:spacing w:before="60" w:after="60" w:line="276" w:lineRule="auto"/>
        <w:ind w:left="720"/>
        <w:jc w:val="both"/>
        <w:rPr>
          <w:rFonts w:ascii="Times New Roman" w:hAnsi="Times New Roman" w:cs="Arial"/>
          <w:sz w:val="24"/>
          <w:szCs w:val="20"/>
        </w:rPr>
      </w:pPr>
      <w:r w:rsidRPr="00F8728A">
        <w:rPr>
          <w:rFonts w:ascii="Times New Roman" w:hAnsi="Times New Roman"/>
          <w:b/>
          <w:sz w:val="24"/>
          <w:szCs w:val="20"/>
        </w:rPr>
        <w:t>Ефективност</w:t>
      </w:r>
      <w:r w:rsidRPr="00F8728A">
        <w:rPr>
          <w:rFonts w:ascii="Times New Roman" w:hAnsi="Times New Roman"/>
          <w:i/>
          <w:sz w:val="24"/>
          <w:szCs w:val="20"/>
        </w:rPr>
        <w:t xml:space="preserve"> – </w:t>
      </w:r>
      <w:r w:rsidRPr="00F8728A">
        <w:rPr>
          <w:rFonts w:ascii="Times New Roman" w:hAnsi="Times New Roman"/>
          <w:sz w:val="24"/>
          <w:szCs w:val="20"/>
        </w:rPr>
        <w:t>степента, при която възможността  успешно постига целите за понижаване на уязвимостта на градската среда и съответства на определените ресурси;</w:t>
      </w:r>
    </w:p>
    <w:p w:rsidR="00AA4661" w:rsidRPr="00F8728A" w:rsidRDefault="00AA4661" w:rsidP="00E21095">
      <w:pPr>
        <w:numPr>
          <w:ilvl w:val="0"/>
          <w:numId w:val="34"/>
        </w:numPr>
        <w:spacing w:before="60" w:after="60" w:line="276" w:lineRule="auto"/>
        <w:ind w:left="720"/>
        <w:jc w:val="both"/>
        <w:rPr>
          <w:rFonts w:ascii="Times New Roman" w:hAnsi="Times New Roman" w:cs="Arial"/>
          <w:sz w:val="24"/>
          <w:szCs w:val="20"/>
        </w:rPr>
      </w:pPr>
      <w:r w:rsidRPr="00F8728A">
        <w:rPr>
          <w:rFonts w:ascii="Times New Roman" w:hAnsi="Times New Roman"/>
          <w:b/>
          <w:sz w:val="24"/>
          <w:szCs w:val="20"/>
        </w:rPr>
        <w:t>Ефикасност</w:t>
      </w:r>
      <w:r w:rsidRPr="00F8728A">
        <w:rPr>
          <w:rFonts w:ascii="Times New Roman" w:hAnsi="Times New Roman"/>
          <w:i/>
          <w:sz w:val="24"/>
          <w:szCs w:val="20"/>
        </w:rPr>
        <w:t xml:space="preserve"> </w:t>
      </w:r>
      <w:r w:rsidRPr="00F8728A">
        <w:rPr>
          <w:rFonts w:ascii="Times New Roman" w:hAnsi="Times New Roman"/>
          <w:sz w:val="24"/>
          <w:szCs w:val="20"/>
        </w:rPr>
        <w:t>– постигнатото състояние или качество на градската среда с най-малко време и усилия;</w:t>
      </w:r>
    </w:p>
    <w:p w:rsidR="00AA4661" w:rsidRPr="00F8728A" w:rsidRDefault="00AA4661" w:rsidP="00E21095">
      <w:pPr>
        <w:numPr>
          <w:ilvl w:val="0"/>
          <w:numId w:val="34"/>
        </w:numPr>
        <w:spacing w:before="60" w:after="60" w:line="276" w:lineRule="auto"/>
        <w:ind w:left="720"/>
        <w:jc w:val="both"/>
        <w:rPr>
          <w:rFonts w:ascii="Times New Roman" w:hAnsi="Times New Roman" w:cs="Arial"/>
          <w:sz w:val="24"/>
          <w:szCs w:val="20"/>
        </w:rPr>
      </w:pPr>
      <w:r w:rsidRPr="00F8728A">
        <w:rPr>
          <w:rFonts w:ascii="Times New Roman" w:hAnsi="Times New Roman"/>
          <w:b/>
          <w:sz w:val="24"/>
          <w:szCs w:val="20"/>
        </w:rPr>
        <w:t>Гъвкавост</w:t>
      </w:r>
      <w:r w:rsidRPr="00F8728A">
        <w:rPr>
          <w:rFonts w:ascii="Times New Roman" w:hAnsi="Times New Roman"/>
          <w:i/>
          <w:sz w:val="24"/>
          <w:szCs w:val="20"/>
        </w:rPr>
        <w:t xml:space="preserve"> </w:t>
      </w:r>
      <w:r w:rsidRPr="00F8728A">
        <w:rPr>
          <w:rFonts w:ascii="Times New Roman" w:hAnsi="Times New Roman"/>
          <w:sz w:val="24"/>
          <w:szCs w:val="20"/>
        </w:rPr>
        <w:t>– свойството на възможностите за адаптация на градската среда за лесно модифициране и регулиране спрямо нивото и степента на климатичните промени;</w:t>
      </w:r>
    </w:p>
    <w:p w:rsidR="00AA4661" w:rsidRPr="00F8728A" w:rsidRDefault="00AA4661" w:rsidP="00E21095">
      <w:pPr>
        <w:numPr>
          <w:ilvl w:val="0"/>
          <w:numId w:val="34"/>
        </w:numPr>
        <w:spacing w:before="60" w:after="60" w:line="276" w:lineRule="auto"/>
        <w:ind w:left="720"/>
        <w:jc w:val="both"/>
        <w:rPr>
          <w:rFonts w:ascii="Times New Roman" w:hAnsi="Times New Roman" w:cs="Arial"/>
          <w:sz w:val="24"/>
          <w:szCs w:val="20"/>
        </w:rPr>
      </w:pPr>
      <w:r w:rsidRPr="00F8728A">
        <w:rPr>
          <w:rFonts w:ascii="Times New Roman" w:hAnsi="Times New Roman"/>
          <w:b/>
          <w:sz w:val="24"/>
          <w:szCs w:val="20"/>
        </w:rPr>
        <w:t>Устойчивост</w:t>
      </w:r>
      <w:r w:rsidRPr="00F8728A">
        <w:rPr>
          <w:rFonts w:ascii="Times New Roman" w:hAnsi="Times New Roman"/>
          <w:i/>
          <w:sz w:val="24"/>
          <w:szCs w:val="20"/>
        </w:rPr>
        <w:t xml:space="preserve"> </w:t>
      </w:r>
      <w:r w:rsidRPr="00F8728A">
        <w:rPr>
          <w:rFonts w:ascii="Times New Roman" w:hAnsi="Times New Roman"/>
          <w:sz w:val="24"/>
          <w:szCs w:val="20"/>
        </w:rPr>
        <w:t>– степента, до която мерките за адаптация предотвратяват изчерпването на природните ресурси с цел поддържане или възстановяване на екологичния баланс на градската среда;</w:t>
      </w:r>
    </w:p>
    <w:p w:rsidR="00AA4661" w:rsidRPr="00F8728A" w:rsidRDefault="00AA4661" w:rsidP="00E21095">
      <w:pPr>
        <w:numPr>
          <w:ilvl w:val="0"/>
          <w:numId w:val="34"/>
        </w:numPr>
        <w:spacing w:before="60" w:after="60" w:line="276" w:lineRule="auto"/>
        <w:ind w:left="720"/>
        <w:jc w:val="both"/>
        <w:rPr>
          <w:rFonts w:ascii="Times New Roman" w:hAnsi="Times New Roman" w:cs="Arial"/>
          <w:sz w:val="24"/>
          <w:szCs w:val="20"/>
        </w:rPr>
      </w:pPr>
      <w:r w:rsidRPr="00F8728A">
        <w:rPr>
          <w:rFonts w:ascii="Times New Roman" w:hAnsi="Times New Roman"/>
          <w:b/>
          <w:sz w:val="24"/>
          <w:szCs w:val="20"/>
        </w:rPr>
        <w:t>Разходи</w:t>
      </w:r>
      <w:r w:rsidRPr="00F8728A">
        <w:rPr>
          <w:rFonts w:ascii="Times New Roman" w:hAnsi="Times New Roman"/>
          <w:i/>
          <w:sz w:val="24"/>
          <w:szCs w:val="20"/>
        </w:rPr>
        <w:t xml:space="preserve"> </w:t>
      </w:r>
      <w:r w:rsidRPr="00F8728A">
        <w:rPr>
          <w:rFonts w:ascii="Times New Roman" w:hAnsi="Times New Roman"/>
          <w:sz w:val="24"/>
          <w:szCs w:val="20"/>
        </w:rPr>
        <w:t>– посочената стойност на финансови, материални, информационни и човешки ресурси, необходими за изпълняването на мерките за адаптация;</w:t>
      </w:r>
    </w:p>
    <w:p w:rsidR="00AA4661" w:rsidRPr="00F8728A" w:rsidRDefault="00AA4661" w:rsidP="00E21095">
      <w:pPr>
        <w:numPr>
          <w:ilvl w:val="0"/>
          <w:numId w:val="34"/>
        </w:numPr>
        <w:spacing w:before="60" w:after="60" w:line="276" w:lineRule="auto"/>
        <w:ind w:left="720"/>
        <w:jc w:val="both"/>
        <w:rPr>
          <w:rFonts w:ascii="Times New Roman" w:hAnsi="Times New Roman" w:cs="Arial"/>
          <w:sz w:val="24"/>
          <w:szCs w:val="20"/>
        </w:rPr>
      </w:pPr>
      <w:r w:rsidRPr="00F8728A">
        <w:rPr>
          <w:rFonts w:ascii="Times New Roman" w:hAnsi="Times New Roman"/>
          <w:b/>
          <w:sz w:val="24"/>
          <w:szCs w:val="20"/>
        </w:rPr>
        <w:t>Предимства</w:t>
      </w:r>
      <w:r w:rsidRPr="00F8728A">
        <w:rPr>
          <w:rFonts w:ascii="Times New Roman" w:hAnsi="Times New Roman"/>
          <w:sz w:val="24"/>
          <w:szCs w:val="20"/>
        </w:rPr>
        <w:t xml:space="preserve"> – предимствата или печалбите, получени от адаптирането на градската среда към климатичните промени;</w:t>
      </w:r>
    </w:p>
    <w:p w:rsidR="00AA4661" w:rsidRPr="00F8728A" w:rsidRDefault="00AA4661" w:rsidP="00E21095">
      <w:pPr>
        <w:numPr>
          <w:ilvl w:val="0"/>
          <w:numId w:val="34"/>
        </w:numPr>
        <w:spacing w:before="60" w:after="60" w:line="276" w:lineRule="auto"/>
        <w:ind w:left="720"/>
        <w:jc w:val="both"/>
        <w:rPr>
          <w:rFonts w:ascii="Times New Roman" w:hAnsi="Times New Roman" w:cs="Arial"/>
          <w:sz w:val="24"/>
          <w:szCs w:val="20"/>
        </w:rPr>
      </w:pPr>
      <w:r w:rsidRPr="00F8728A">
        <w:rPr>
          <w:rFonts w:ascii="Times New Roman" w:hAnsi="Times New Roman"/>
          <w:b/>
          <w:sz w:val="24"/>
          <w:szCs w:val="20"/>
        </w:rPr>
        <w:t>Приемливост</w:t>
      </w:r>
      <w:r w:rsidRPr="00F8728A">
        <w:rPr>
          <w:rFonts w:ascii="Times New Roman" w:hAnsi="Times New Roman"/>
          <w:i/>
          <w:sz w:val="24"/>
          <w:szCs w:val="20"/>
        </w:rPr>
        <w:t xml:space="preserve"> </w:t>
      </w:r>
      <w:r w:rsidRPr="00F8728A">
        <w:rPr>
          <w:rFonts w:ascii="Times New Roman" w:hAnsi="Times New Roman"/>
          <w:sz w:val="24"/>
          <w:szCs w:val="20"/>
        </w:rPr>
        <w:t>– степента на политическа, културна и социална приемливост на вариантите за адаптиране на градската среда; и</w:t>
      </w:r>
    </w:p>
    <w:p w:rsidR="00AA4661" w:rsidRPr="00F8728A" w:rsidRDefault="00AA4661" w:rsidP="00E21095">
      <w:pPr>
        <w:numPr>
          <w:ilvl w:val="0"/>
          <w:numId w:val="34"/>
        </w:numPr>
        <w:spacing w:before="60" w:after="120" w:line="276" w:lineRule="auto"/>
        <w:ind w:left="720"/>
        <w:jc w:val="both"/>
        <w:rPr>
          <w:rFonts w:ascii="Times New Roman" w:hAnsi="Times New Roman" w:cs="Arial"/>
          <w:color w:val="FF0000"/>
          <w:sz w:val="24"/>
          <w:szCs w:val="20"/>
        </w:rPr>
      </w:pPr>
      <w:r w:rsidRPr="00F8728A">
        <w:rPr>
          <w:rFonts w:ascii="Times New Roman" w:hAnsi="Times New Roman"/>
          <w:b/>
          <w:sz w:val="24"/>
          <w:szCs w:val="20"/>
        </w:rPr>
        <w:t>Последователност</w:t>
      </w:r>
      <w:r w:rsidRPr="00F8728A">
        <w:rPr>
          <w:rFonts w:ascii="Times New Roman" w:hAnsi="Times New Roman"/>
          <w:i/>
          <w:sz w:val="24"/>
          <w:szCs w:val="20"/>
        </w:rPr>
        <w:t xml:space="preserve"> </w:t>
      </w:r>
      <w:r w:rsidRPr="00F8728A">
        <w:rPr>
          <w:rFonts w:ascii="Times New Roman" w:hAnsi="Times New Roman"/>
          <w:sz w:val="24"/>
          <w:szCs w:val="20"/>
        </w:rPr>
        <w:t>– свойството на логичност и свързаност, създаване на съвместни предимства и добавена стойност чрез синергията, постигната с</w:t>
      </w:r>
      <w:r w:rsidRPr="00F8728A">
        <w:rPr>
          <w:rFonts w:ascii="Times New Roman" w:hAnsi="Times New Roman"/>
          <w:color w:val="000000"/>
          <w:sz w:val="24"/>
          <w:szCs w:val="20"/>
        </w:rPr>
        <w:t xml:space="preserve"> други приложени мерки.</w:t>
      </w:r>
    </w:p>
    <w:p w:rsidR="00AA4661" w:rsidRPr="00B73D7E" w:rsidRDefault="00AA4661" w:rsidP="00CF297A">
      <w:pPr>
        <w:pStyle w:val="BodyText"/>
        <w:numPr>
          <w:ilvl w:val="0"/>
          <w:numId w:val="41"/>
        </w:numPr>
        <w:ind w:left="0" w:firstLine="0"/>
        <w:rPr>
          <w:lang w:val="bg-BG"/>
        </w:rPr>
      </w:pPr>
      <w:r w:rsidRPr="00B73D7E">
        <w:rPr>
          <w:lang w:val="bg-BG"/>
        </w:rPr>
        <w:t xml:space="preserve">Този списък от критерии не е изчерпателен, а гъвкав и може да се прилага в различни конфигурации според мащаба на адаптацията и времевите </w:t>
      </w:r>
      <w:r w:rsidRPr="00B73D7E">
        <w:rPr>
          <w:rFonts w:ascii="Tahoma" w:hAnsi="Tahoma" w:cs="Tahoma"/>
          <w:lang w:val="bg-BG"/>
        </w:rPr>
        <w:t>ѝ</w:t>
      </w:r>
      <w:r w:rsidRPr="00B73D7E">
        <w:rPr>
          <w:lang w:val="bg-BG"/>
        </w:rPr>
        <w:t xml:space="preserve"> рамки. Тълкуването на критериите зависи също така от избрания сценарий за адаптация и целта: урбанистична мрежа на национално или регионално ниво, цял град  или функционална зона, градска инфраструктура или зелена система, различни видове сгради. Същевременно избраните 10 критерия отразяват състоянието на процеса на АИК на градската среда, всеобхватното естество на сектора, определените нужди и очакваните резултати.</w:t>
      </w:r>
    </w:p>
    <w:p w:rsidR="00AA4661" w:rsidRPr="00B73D7E" w:rsidRDefault="00AA4661" w:rsidP="00CF297A">
      <w:pPr>
        <w:pStyle w:val="BodyText"/>
        <w:numPr>
          <w:ilvl w:val="0"/>
          <w:numId w:val="41"/>
        </w:numPr>
        <w:ind w:left="0" w:firstLine="0"/>
        <w:rPr>
          <w:lang w:val="bg-BG"/>
        </w:rPr>
      </w:pPr>
      <w:r w:rsidRPr="00B73D7E">
        <w:rPr>
          <w:lang w:val="bg-BG"/>
        </w:rPr>
        <w:t>Релевантността на критериите бе оценена по третобална скала като най-високата оценка е дадена на възможностите за адаптация, свързани с информация, следвани от образователните и развиващите капацитета, които също са важни за всички други варианти.</w:t>
      </w:r>
    </w:p>
    <w:p w:rsidR="00AA4661" w:rsidRPr="00B73D7E" w:rsidRDefault="00AA4661" w:rsidP="00CF297A">
      <w:pPr>
        <w:pStyle w:val="BodyText"/>
        <w:numPr>
          <w:ilvl w:val="0"/>
          <w:numId w:val="41"/>
        </w:numPr>
        <w:ind w:left="0" w:firstLine="0"/>
        <w:rPr>
          <w:lang w:val="bg-BG"/>
        </w:rPr>
      </w:pPr>
      <w:r w:rsidRPr="00B73D7E">
        <w:rPr>
          <w:lang w:val="bg-BG"/>
        </w:rPr>
        <w:t>Налице са още два проблема, които трябва да се вземат предвид при оценяване на възможностите за АИК: несигурност и субективност. За справяне с първия проблем могат да се определят предварителни индивидуални тежестни коефициенти, както за вариантите, така и за критериите, докато за субективността е необходимо прилагане на подходящи техники за групово вземане на решения.</w:t>
      </w:r>
    </w:p>
    <w:p w:rsidR="00AA4661" w:rsidRPr="00B73D7E" w:rsidRDefault="00AA4661" w:rsidP="00CF297A">
      <w:pPr>
        <w:pStyle w:val="BodyText"/>
        <w:numPr>
          <w:ilvl w:val="0"/>
          <w:numId w:val="41"/>
        </w:numPr>
        <w:ind w:left="0" w:firstLine="0"/>
        <w:rPr>
          <w:lang w:val="bg-BG"/>
        </w:rPr>
      </w:pPr>
      <w:bookmarkStart w:id="738" w:name="_Toc486513845"/>
      <w:bookmarkStart w:id="739" w:name="_Toc486942220"/>
      <w:bookmarkStart w:id="740" w:name="_Toc501454897"/>
      <w:r w:rsidRPr="00B73D7E">
        <w:rPr>
          <w:lang w:val="bg-BG"/>
        </w:rPr>
        <w:t>В подкрепа на определянето на приоритетите бе организирана среща за приоритизиране на приоритетите в София през ноември 2017 г., като бяха поканени различни заинтересовани страни от сектора. Срещата използва основна версия на подхода за многокритериален анализ (MCA). MCA е подход, както и набор от техники, които имат за цел да осигурят цялостно подреждане на опциите, вариращи от най-предпочитаните до най-малко предпочитаните. Това представлява начин за разглеждане на сложни проблеми, характеризиращи се с комбинация от парични и непарични цели. MCA разбива опциите в по-лесно управляеми парчета, като използва набор от критерии. Двете групи от критерии, използвани за анализа, бяха тези на "Нетните ползи", допълнително разпределени в полза на икономическите, социалните и екологичните ползи, и "Рискове за изпълнение", допълнително разбити на финансови, социални, институционални, технически и технологични рискове , Този подход позволява данните и преценките да се съсредоточат върху отделните парчета, които след това се сглобяват, за да представят цялостна картина.</w:t>
      </w:r>
    </w:p>
    <w:p w:rsidR="00B51FED" w:rsidRPr="00B73D7E" w:rsidRDefault="00B51FED">
      <w:pPr>
        <w:spacing w:after="0"/>
        <w:rPr>
          <w:rFonts w:ascii="Times New Roman" w:eastAsia="MS Mincho" w:hAnsi="Times New Roman"/>
          <w:sz w:val="24"/>
          <w:szCs w:val="24"/>
          <w:lang w:eastAsia="x-none"/>
        </w:rPr>
      </w:pPr>
    </w:p>
    <w:p w:rsidR="00AA4661" w:rsidRPr="00B73D7E" w:rsidRDefault="00AA4661" w:rsidP="00CF297A">
      <w:pPr>
        <w:pStyle w:val="BodyText"/>
        <w:numPr>
          <w:ilvl w:val="0"/>
          <w:numId w:val="41"/>
        </w:numPr>
        <w:ind w:left="0" w:firstLine="0"/>
        <w:rPr>
          <w:lang w:val="bg-BG"/>
        </w:rPr>
      </w:pPr>
      <w:r w:rsidRPr="00B73D7E">
        <w:rPr>
          <w:lang w:val="bg-BG"/>
        </w:rPr>
        <w:t>При провеждането на МСА (т.е. оценяването на различните възможности за адаптиране) срещата се възползва от присъствието на заинтересовани страни с професионални знания и опит в сектора. Независимо от това, това усилие за определяне на приоритетите трябва да се разглежда като индикативно и ориентировъчно, поради три основни причини. Първо, усилията бяха осъществени на ранен етап от процеса на разработване на стратегически поглед и планиране на специфични за сектора опции за адаптиране към изменението на климата. На второ място, не всички, които бяха поканени на срещата за приоритизиране, използваха тази покана за участие. И трето, по-широкото разбиране на основната информация и понятия от страна на заинтересованите страни би било от полза, за да им позволи да направят по-обосновани оценки. Следователно настоящият списък с приоритети служи само като "първо усещане" за основната посока на действията, които трябва да бъдат предприети първо.</w:t>
      </w:r>
    </w:p>
    <w:p w:rsidR="00AA4661" w:rsidRPr="00B73D7E" w:rsidRDefault="00AA4661" w:rsidP="00CF297A">
      <w:pPr>
        <w:pStyle w:val="BodyText"/>
        <w:numPr>
          <w:ilvl w:val="0"/>
          <w:numId w:val="41"/>
        </w:numPr>
        <w:ind w:left="0" w:firstLine="0"/>
        <w:rPr>
          <w:lang w:val="bg-BG"/>
        </w:rPr>
      </w:pPr>
      <w:r w:rsidRPr="00B73D7E">
        <w:rPr>
          <w:lang w:val="bg-BG"/>
        </w:rPr>
        <w:t>На по-късен етап трябва да се обърне допълнително внимание на процеса на определяне на приоритети както за този сектор, така и във всички икономически сектори, които играят роля при планирането на действията на България за АИК.</w:t>
      </w:r>
    </w:p>
    <w:p w:rsidR="00AA4661" w:rsidRPr="00B73D7E" w:rsidRDefault="00AA4661" w:rsidP="00CF297A">
      <w:pPr>
        <w:pStyle w:val="BodyText"/>
        <w:numPr>
          <w:ilvl w:val="0"/>
          <w:numId w:val="41"/>
        </w:numPr>
        <w:ind w:left="0" w:firstLine="0"/>
        <w:rPr>
          <w:lang w:val="bg-BG"/>
        </w:rPr>
      </w:pPr>
      <w:r w:rsidRPr="00B73D7E">
        <w:rPr>
          <w:lang w:val="bg-BG"/>
        </w:rPr>
        <w:t xml:space="preserve">Петте основни приоритетни варианта за приспособяване, които бяха преднамерено и индикативно идентифицирани за градския сектор са описани в следващите параграфи. </w:t>
      </w:r>
    </w:p>
    <w:p w:rsidR="00AA4661" w:rsidRPr="00B73D7E" w:rsidRDefault="00AA4661" w:rsidP="00485D6A">
      <w:pPr>
        <w:pStyle w:val="ListParagraph1"/>
        <w:ind w:firstLine="708"/>
        <w:contextualSpacing w:val="0"/>
        <w:jc w:val="both"/>
        <w:rPr>
          <w:rFonts w:ascii="Times New Roman" w:hAnsi="Times New Roman"/>
          <w:b/>
          <w:i/>
          <w:sz w:val="24"/>
          <w:lang w:val="bg-BG"/>
        </w:rPr>
      </w:pPr>
      <w:r w:rsidRPr="00B73D7E">
        <w:rPr>
          <w:rFonts w:ascii="Times New Roman" w:hAnsi="Times New Roman"/>
          <w:b/>
          <w:i/>
          <w:sz w:val="24"/>
          <w:lang w:val="bg-BG"/>
        </w:rPr>
        <w:t>Категория „Политика“ - включване на АИК в политиката за регионално и градско развитие, включително в жилищната политика и строителството</w:t>
      </w:r>
    </w:p>
    <w:p w:rsidR="00AA4661" w:rsidRPr="00B73D7E" w:rsidRDefault="00AA4661" w:rsidP="00B51FED">
      <w:pPr>
        <w:pStyle w:val="ListParagraph1"/>
        <w:contextualSpacing w:val="0"/>
        <w:jc w:val="both"/>
        <w:rPr>
          <w:rFonts w:ascii="Times New Roman" w:hAnsi="Times New Roman"/>
          <w:i/>
          <w:sz w:val="24"/>
          <w:lang w:val="bg-BG"/>
        </w:rPr>
      </w:pPr>
      <w:r w:rsidRPr="00B73D7E">
        <w:rPr>
          <w:rFonts w:ascii="Times New Roman" w:hAnsi="Times New Roman"/>
          <w:b/>
          <w:sz w:val="24"/>
          <w:u w:val="single"/>
          <w:lang w:val="bg-BG"/>
        </w:rPr>
        <w:t>Вариант за адаптация</w:t>
      </w:r>
      <w:r w:rsidRPr="00B73D7E">
        <w:rPr>
          <w:rFonts w:ascii="Times New Roman" w:hAnsi="Times New Roman"/>
          <w:sz w:val="24"/>
          <w:lang w:val="bg-BG"/>
        </w:rPr>
        <w:t xml:space="preserve"> - </w:t>
      </w:r>
      <w:r w:rsidRPr="00B73D7E">
        <w:rPr>
          <w:rFonts w:ascii="Times New Roman" w:hAnsi="Times New Roman"/>
          <w:i/>
          <w:sz w:val="24"/>
          <w:lang w:val="bg-BG"/>
        </w:rPr>
        <w:t>включване на АИК в Националната жилищна стратегия (2017 - 2030 г.).</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 xml:space="preserve">Вариантът е считан за високоприоритетен, тъй като той може да бъде решаващ за цялостната реформа на регионалната политика на страната. Дебатите се очаква да започнат в началото на 2018 г. Това засяга политиките и действията както на национално, така и на местно равнище. Резултатите от прилагането ще окажат пряко въздействие върху градското население, живеещо в жилище с по-висок стандарт, с подобрен микроклиматичен комфорт и по-висока устойчивост спрямо екстремни метеорологични явления. </w:t>
      </w:r>
    </w:p>
    <w:p w:rsidR="00AA4661" w:rsidRPr="00B73D7E" w:rsidRDefault="00AA4661" w:rsidP="00CF297A">
      <w:pPr>
        <w:pStyle w:val="BodyText"/>
        <w:numPr>
          <w:ilvl w:val="0"/>
          <w:numId w:val="41"/>
        </w:numPr>
        <w:ind w:left="0" w:firstLine="0"/>
        <w:rPr>
          <w:lang w:val="bg-BG"/>
        </w:rPr>
      </w:pPr>
      <w:r w:rsidRPr="00B73D7E">
        <w:rPr>
          <w:lang w:val="bg-BG"/>
        </w:rPr>
        <w:t xml:space="preserve">Прилагането на приоритета ще се извърши посредством </w:t>
      </w:r>
      <w:r w:rsidR="00593968" w:rsidRPr="00F8728A">
        <w:rPr>
          <w:lang w:val="bg-BG"/>
        </w:rPr>
        <w:t xml:space="preserve">Националната програма за </w:t>
      </w:r>
      <w:r w:rsidR="00593968" w:rsidRPr="00B73D7E">
        <w:rPr>
          <w:color w:val="000000"/>
          <w:lang w:val="bg-BG"/>
        </w:rPr>
        <w:t>Енергийна</w:t>
      </w:r>
      <w:r w:rsidR="00593968" w:rsidRPr="00F8728A">
        <w:rPr>
          <w:lang w:val="bg-BG"/>
        </w:rPr>
        <w:t xml:space="preserve"> </w:t>
      </w:r>
      <w:r w:rsidR="00600515" w:rsidRPr="00F8728A">
        <w:rPr>
          <w:lang w:val="bg-BG"/>
        </w:rPr>
        <w:t>е</w:t>
      </w:r>
      <w:r w:rsidR="00593968" w:rsidRPr="00F8728A">
        <w:rPr>
          <w:lang w:val="bg-BG"/>
        </w:rPr>
        <w:t>фективност на многофамилни жилищни сгради, ръководена от МРРБ и изпълнявана от общините в България от</w:t>
      </w:r>
      <w:r w:rsidR="00593968" w:rsidRPr="00B73D7E">
        <w:rPr>
          <w:lang w:val="bg-BG"/>
        </w:rPr>
        <w:t xml:space="preserve"> 2015, </w:t>
      </w:r>
      <w:r w:rsidR="00593968" w:rsidRPr="00F8728A">
        <w:rPr>
          <w:lang w:val="bg-BG"/>
        </w:rPr>
        <w:t xml:space="preserve">както и от новите програми за обновяване на жилищния фонд като част от Националната жилищна стратегия </w:t>
      </w:r>
      <w:r w:rsidR="00593968" w:rsidRPr="00B73D7E">
        <w:rPr>
          <w:lang w:val="bg-BG"/>
        </w:rPr>
        <w:t xml:space="preserve"> (2017–2030). </w:t>
      </w:r>
      <w:r w:rsidRPr="00B73D7E">
        <w:rPr>
          <w:lang w:val="bg-BG"/>
        </w:rPr>
        <w:t>Предложенията за подобряване на социалната и икономическа ефикасност и ефективност са обект на провеждащи се в момента обществени и експертни консултации. Очакваните ползи от прилагането на приоритизираните възможности са намалени консумация на енергия и емисии, подобрени устойчивост на сградния фонд и качество на живота, както и изпълнени политически ангажименти за увеличаване енергийната ефективност с 25 процента до 2020 г. Главните заинтересовани страни са МРРБ, МЕ, МФ, Камарата на строителите, строителни фирми и общини, обитателите. Този вариант за адаптация с по-голямо покритие на градските райони, сградите и населението, ще изисква значителни човешки и финансови ресурси и време, но в дългосрочен план ще донесе значителни социални, екологични и икономически ползи.</w:t>
      </w:r>
    </w:p>
    <w:p w:rsidR="00AA4661" w:rsidRPr="00B73D7E" w:rsidRDefault="00AA4661" w:rsidP="00D17705">
      <w:pPr>
        <w:pStyle w:val="ListParagraph1"/>
        <w:contextualSpacing w:val="0"/>
        <w:jc w:val="both"/>
        <w:rPr>
          <w:rFonts w:ascii="Times New Roman" w:hAnsi="Times New Roman"/>
          <w:b/>
          <w:i/>
          <w:sz w:val="24"/>
          <w:lang w:val="bg-BG"/>
        </w:rPr>
      </w:pPr>
      <w:r w:rsidRPr="00B73D7E">
        <w:rPr>
          <w:rFonts w:ascii="Times New Roman" w:hAnsi="Times New Roman"/>
          <w:b/>
          <w:i/>
          <w:sz w:val="24"/>
          <w:lang w:val="bg-BG"/>
        </w:rPr>
        <w:tab/>
        <w:t>Категория „Законодателство“ - Преразглеждане и изменение на законодателни документи за въвеждане въпросите за АИК (след Оценка на въздействието на регулациите (ОВР), когато е приложимо и необходимо)</w:t>
      </w:r>
    </w:p>
    <w:p w:rsidR="00AA4661" w:rsidRPr="00B73D7E" w:rsidRDefault="00AA4661" w:rsidP="00D17705">
      <w:pPr>
        <w:pStyle w:val="ListParagraph1"/>
        <w:contextualSpacing w:val="0"/>
        <w:jc w:val="both"/>
        <w:rPr>
          <w:rFonts w:ascii="Times New Roman" w:hAnsi="Times New Roman"/>
          <w:sz w:val="24"/>
          <w:lang w:val="bg-BG"/>
        </w:rPr>
      </w:pPr>
      <w:r w:rsidRPr="00B73D7E">
        <w:rPr>
          <w:rFonts w:ascii="Times New Roman" w:hAnsi="Times New Roman"/>
          <w:b/>
          <w:sz w:val="24"/>
          <w:u w:val="single"/>
          <w:lang w:val="bg-BG"/>
        </w:rPr>
        <w:t>Вариант за адаптация</w:t>
      </w:r>
      <w:r w:rsidRPr="00B73D7E">
        <w:rPr>
          <w:rFonts w:ascii="Times New Roman" w:hAnsi="Times New Roman"/>
          <w:sz w:val="24"/>
          <w:lang w:val="bg-BG"/>
        </w:rPr>
        <w:t xml:space="preserve"> - </w:t>
      </w:r>
      <w:r w:rsidRPr="00B73D7E">
        <w:rPr>
          <w:rFonts w:ascii="Times New Roman" w:hAnsi="Times New Roman"/>
          <w:i/>
          <w:sz w:val="24"/>
          <w:lang w:val="bg-BG"/>
        </w:rPr>
        <w:t>включване на изискванията за АИК във всички свързани законодателни документи, отнасящи се до регионалното и пространственото/ градско планиране и опазването на околната среда (ЗУТ, ЗРР, Наредба № 4, 7 и 8, нормативни документи за устройството на територията, за ОВОС и ЕО).</w:t>
      </w:r>
    </w:p>
    <w:p w:rsidR="00AA4661" w:rsidRPr="00B73D7E" w:rsidRDefault="00AA4661" w:rsidP="00CF297A">
      <w:pPr>
        <w:pStyle w:val="BodyText"/>
        <w:numPr>
          <w:ilvl w:val="0"/>
          <w:numId w:val="41"/>
        </w:numPr>
        <w:ind w:left="0" w:firstLine="0"/>
        <w:rPr>
          <w:lang w:val="bg-BG"/>
        </w:rPr>
      </w:pPr>
      <w:r w:rsidRPr="00B73D7E">
        <w:rPr>
          <w:lang w:val="bg-BG"/>
        </w:rPr>
        <w:t>Този вариант с предложените му действия се отнася до националното равнище, очакваната промяна в климата и екстремните метеорологични явления. Закона за устройството на територията засяга климатичните характеристики в чл. 169, т. 4 в изменението от 2014 г., но има нужда от допълнителни малки изменения в чл. 104, чл. 106, чл. 107 и чл. 112, за да се въведе АИК в инструментите за устройство на територията, заедно със зонирането на риска от бедствия. По-детайлни изисквания за обхвата и съдържанието на подробните устройствени планове, детайлни планове и инвестиционни/архитектурни проекти ще бъдат представени в Наредба № 4 за обхвата и съдържанието на инвестиционните проекти и Наредба № 8 за обхвата и съдържанието за устройствените планове. Наредба № 7 за правила и нормативи за устройство на отделните видове територии и устройствени зони има нужда от много по-задълбочено изследване и оценяване за намаляване на обемите на застрояване в критичните зони на големите градове. Преразглеждане на свързаното с териториалното устройство законодателство за столицата и за черноморското крайбрежие ще намали конфликтите и ще увеличи устойчивостта на градската околна среда.</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Законодателството за ОВОС - Законът за опазване на околната среда и неговите наредби - също така се нуждаят от незначителни изменения, за да наложат прилагането на контрола върху мерките в плановете и проектите за намаляване на значителното въздействие на изменението на климата и водите върху компонентите на околната среда и човешкото здраве.</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Законът за регионално развитие се позовава на темата за АИК в чл. 11 и се нуждае от незначителни изменения на чл. 7б, 7в и 7г и съответните параграфи относно съдържанието на документите за пространствено планиране на национално, регионално и областно равнище.</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Основната отговорност за тези законодателни промени ще бъде на МРРБ, МОСВ и професионални органи като САБ, КАБ, Камара на инженерите в инвестиционното проектиране, СУБ и Камарата на строителите.</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Изпълнението на този вариант за адаптация ще изисква минимални усилия, ресурси и време, но ще постави основата за подобряване на качеството на плановете и проектите, за сътрудничество и контрол, както и за взаимовръзка между документите за регионално и териториално развитие и документите относно АИК, намалявайки рисковете и потенциалните загуби.</w:t>
      </w:r>
    </w:p>
    <w:p w:rsidR="00AA4661" w:rsidRPr="00B73D7E" w:rsidRDefault="00AA4661" w:rsidP="00D17705">
      <w:pPr>
        <w:pStyle w:val="ListParagraph1"/>
        <w:contextualSpacing w:val="0"/>
        <w:jc w:val="both"/>
        <w:rPr>
          <w:rFonts w:ascii="Times New Roman" w:hAnsi="Times New Roman"/>
          <w:b/>
          <w:i/>
          <w:sz w:val="24"/>
          <w:lang w:val="bg-BG"/>
        </w:rPr>
      </w:pPr>
      <w:r w:rsidRPr="00B73D7E">
        <w:rPr>
          <w:rFonts w:ascii="Times New Roman" w:hAnsi="Times New Roman"/>
          <w:b/>
          <w:i/>
          <w:sz w:val="24"/>
          <w:lang w:val="bg-BG"/>
        </w:rPr>
        <w:tab/>
        <w:t>Категория „Информация“ - Осигуряване на институционално регулиран обмен на информация и данни съгласно директивата INSPIRE</w:t>
      </w:r>
    </w:p>
    <w:p w:rsidR="00AA4661" w:rsidRPr="00B73D7E" w:rsidRDefault="00AA4661" w:rsidP="00D17705">
      <w:pPr>
        <w:pStyle w:val="ListParagraph1"/>
        <w:contextualSpacing w:val="0"/>
        <w:jc w:val="both"/>
        <w:rPr>
          <w:rFonts w:ascii="Times New Roman" w:hAnsi="Times New Roman"/>
          <w:sz w:val="24"/>
          <w:lang w:val="bg-BG"/>
        </w:rPr>
      </w:pPr>
      <w:r w:rsidRPr="00B73D7E">
        <w:rPr>
          <w:rFonts w:ascii="Times New Roman" w:hAnsi="Times New Roman"/>
          <w:b/>
          <w:sz w:val="24"/>
          <w:u w:val="single"/>
          <w:lang w:val="bg-BG"/>
        </w:rPr>
        <w:t>Вариант за адаптация</w:t>
      </w:r>
      <w:r w:rsidRPr="00B73D7E">
        <w:rPr>
          <w:rFonts w:ascii="Times New Roman" w:hAnsi="Times New Roman"/>
          <w:sz w:val="24"/>
          <w:lang w:val="bg-BG"/>
        </w:rPr>
        <w:t xml:space="preserve"> - </w:t>
      </w:r>
      <w:r w:rsidRPr="00B73D7E">
        <w:rPr>
          <w:rFonts w:ascii="Times New Roman" w:hAnsi="Times New Roman"/>
          <w:i/>
          <w:sz w:val="24"/>
          <w:lang w:val="bg-BG"/>
        </w:rPr>
        <w:t>Създаване на общи стандарти за типа, структурата, обхвата и формата на метаданните и данните, хармонизирани с ЕС на ниво град</w:t>
      </w:r>
      <w:r w:rsidRPr="00B73D7E">
        <w:rPr>
          <w:rFonts w:ascii="Times New Roman" w:hAnsi="Times New Roman"/>
          <w:sz w:val="24"/>
          <w:lang w:val="bg-BG"/>
        </w:rPr>
        <w:t>.</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Този вариант се отнася до точна и актуална информация, необходима за научно обосновани решения в областта на действията за АИК. България изостава в прилагането на Директивата INSPIRE и електронното правителство в политиката за регионално развитие и устройство на територията. Без този вариант, създаването на платформата за адаптиране към климата, като приоритет на ЕС и на национално равнище, няма да бъде възможно. Това е още по-важно за местните власти, които имат нужда от методическа подкрепа за подготовката на местните стратегии за адаптация, в допълнение към инициативата и подкрепата на ADAPT на Конвента на кметовете. Този вариант ще улесни обмена на информация и знания, създаването на мрежи от контакти, изграждането на капацитет и разпространяване на осведомеността. Надеждната информационна система ще обоснове обмена на информация с други страни и международни институции, ще подкрепи образованието, научните изследвания и практиките за АИК на национално и местно ниво. Основните заинтересовани страни в прилагането на варианта за адаптиране са МОСВ, МРРБ, МТИТС, ДАЕУ, БАН и общините.</w:t>
      </w:r>
    </w:p>
    <w:p w:rsidR="00AA4661" w:rsidRPr="00B73D7E" w:rsidRDefault="00AA4661" w:rsidP="00D17705">
      <w:pPr>
        <w:pStyle w:val="ListParagraph1"/>
        <w:contextualSpacing w:val="0"/>
        <w:jc w:val="both"/>
        <w:rPr>
          <w:rFonts w:ascii="Times New Roman" w:hAnsi="Times New Roman"/>
          <w:b/>
          <w:i/>
          <w:sz w:val="24"/>
          <w:lang w:val="bg-BG"/>
        </w:rPr>
      </w:pPr>
      <w:r w:rsidRPr="00B73D7E">
        <w:rPr>
          <w:rFonts w:ascii="Times New Roman" w:hAnsi="Times New Roman"/>
          <w:b/>
          <w:i/>
          <w:sz w:val="24"/>
          <w:lang w:val="bg-BG"/>
        </w:rPr>
        <w:tab/>
        <w:t>Категория „Научни изследвания“ - Осигуряване на обща дългосрочна визия и цели на изследванията за АИК в градската среда, чрез изменение на Националната стратегия за развитие на научните изследвания до 2020 г.</w:t>
      </w:r>
    </w:p>
    <w:p w:rsidR="00AA4661" w:rsidRPr="00B73D7E" w:rsidRDefault="00AA4661" w:rsidP="00D17705">
      <w:pPr>
        <w:pStyle w:val="ListParagraph1"/>
        <w:contextualSpacing w:val="0"/>
        <w:jc w:val="both"/>
        <w:rPr>
          <w:rFonts w:ascii="Times New Roman" w:hAnsi="Times New Roman"/>
          <w:sz w:val="24"/>
          <w:lang w:val="bg-BG"/>
        </w:rPr>
      </w:pPr>
      <w:r w:rsidRPr="00B73D7E">
        <w:rPr>
          <w:rFonts w:ascii="Times New Roman" w:hAnsi="Times New Roman"/>
          <w:b/>
          <w:sz w:val="24"/>
          <w:u w:val="single"/>
          <w:lang w:val="bg-BG"/>
        </w:rPr>
        <w:t>Вариант за адаптация</w:t>
      </w:r>
      <w:r w:rsidRPr="00B73D7E">
        <w:rPr>
          <w:rFonts w:ascii="Times New Roman" w:hAnsi="Times New Roman"/>
          <w:sz w:val="24"/>
          <w:lang w:val="bg-BG"/>
        </w:rPr>
        <w:t xml:space="preserve"> – </w:t>
      </w:r>
      <w:r w:rsidRPr="00B73D7E">
        <w:rPr>
          <w:rFonts w:ascii="Times New Roman" w:hAnsi="Times New Roman"/>
          <w:i/>
          <w:sz w:val="24"/>
          <w:lang w:val="bg-BG"/>
        </w:rPr>
        <w:t>Определяне на приоритетни научни теми, свързани с града, откритите и зелените пространства, сградите, инфраструктурата, строителните материали и човешкото здраве</w:t>
      </w:r>
      <w:r w:rsidRPr="00B73D7E">
        <w:rPr>
          <w:rFonts w:ascii="Times New Roman" w:hAnsi="Times New Roman"/>
          <w:sz w:val="24"/>
          <w:lang w:val="bg-BG"/>
        </w:rPr>
        <w:t>.</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Възможността за адаптиране е свързана със Задача 1, Мярка 2 от Националната стратегия за развитие на научните изследвания до 2020 г. за поставяне на приоритет върху научните изследвания и установяване на тематични приоритети до 2020 г. Промени в приоритети 1. Енергетика, енергийна ефективност и транспорт; 3. Нови материали и технологии; и 4. Наследство, биха могли да насочат повече внимание върху градската среда и адаптирането към изменението на климата. Основната отговорност за изпълнението ще бъде споделена по-добре между МОН и съответните академични институции, работещи в областта на планирането, архитектурата, строителното инженерство, УРБ и околната среда. Вариантът и дейностите за адаптация трябва да бъдат включени в програмата за научни изследвания на университетите и съответните институти на БАН. Стартиращите фирми, работещи в сферата на интелигентните и зелените технологии, ще играят роля в прилагането на варианта. Очакваните резултати от действията биха могли да бъдат по-голяма ефективност в научноизследователската и развойна дейност, по-добре информирани решения, по-иновативни строителни технологии и материали за градската среда, както и по-качествено образование.</w:t>
      </w:r>
    </w:p>
    <w:p w:rsidR="00B51FED" w:rsidRPr="00B73D7E" w:rsidRDefault="00B51FED">
      <w:pPr>
        <w:spacing w:after="0"/>
        <w:rPr>
          <w:rFonts w:ascii="Times New Roman" w:hAnsi="Times New Roman"/>
          <w:b/>
          <w:i/>
          <w:sz w:val="24"/>
          <w:szCs w:val="20"/>
          <w:lang w:eastAsia="x-none"/>
        </w:rPr>
      </w:pPr>
      <w:r w:rsidRPr="00F8728A">
        <w:rPr>
          <w:rFonts w:ascii="Times New Roman" w:hAnsi="Times New Roman"/>
          <w:b/>
          <w:i/>
          <w:sz w:val="24"/>
        </w:rPr>
        <w:br w:type="page"/>
      </w:r>
    </w:p>
    <w:p w:rsidR="00AA4661" w:rsidRPr="00B73D7E" w:rsidRDefault="00AA4661" w:rsidP="00D17705">
      <w:pPr>
        <w:pStyle w:val="ListParagraph1"/>
        <w:contextualSpacing w:val="0"/>
        <w:jc w:val="both"/>
        <w:rPr>
          <w:rFonts w:ascii="Times New Roman" w:hAnsi="Times New Roman"/>
          <w:b/>
          <w:i/>
          <w:sz w:val="24"/>
          <w:lang w:val="bg-BG"/>
        </w:rPr>
      </w:pPr>
      <w:r w:rsidRPr="00B73D7E">
        <w:rPr>
          <w:rFonts w:ascii="Times New Roman" w:hAnsi="Times New Roman"/>
          <w:b/>
          <w:i/>
          <w:sz w:val="24"/>
          <w:lang w:val="bg-BG"/>
        </w:rPr>
        <w:tab/>
        <w:t>Категория „Образование“ – „Обучение на обучителите“ за АИК</w:t>
      </w:r>
    </w:p>
    <w:p w:rsidR="00AA4661" w:rsidRPr="00B73D7E" w:rsidRDefault="00AA4661" w:rsidP="00D17705">
      <w:pPr>
        <w:pStyle w:val="ListParagraph1"/>
        <w:contextualSpacing w:val="0"/>
        <w:jc w:val="both"/>
        <w:rPr>
          <w:rFonts w:ascii="Times New Roman" w:hAnsi="Times New Roman"/>
          <w:sz w:val="24"/>
          <w:lang w:val="bg-BG"/>
        </w:rPr>
      </w:pPr>
      <w:r w:rsidRPr="00B73D7E">
        <w:rPr>
          <w:rFonts w:ascii="Times New Roman" w:hAnsi="Times New Roman"/>
          <w:b/>
          <w:sz w:val="24"/>
          <w:u w:val="single"/>
          <w:lang w:val="bg-BG"/>
        </w:rPr>
        <w:t>Вариант за адаптация</w:t>
      </w:r>
      <w:r w:rsidRPr="00B73D7E">
        <w:rPr>
          <w:rFonts w:ascii="Times New Roman" w:hAnsi="Times New Roman"/>
          <w:sz w:val="24"/>
          <w:lang w:val="bg-BG"/>
        </w:rPr>
        <w:t xml:space="preserve"> – </w:t>
      </w:r>
      <w:r w:rsidRPr="00B73D7E">
        <w:rPr>
          <w:rFonts w:ascii="Times New Roman" w:hAnsi="Times New Roman"/>
          <w:i/>
          <w:sz w:val="24"/>
          <w:lang w:val="bg-BG"/>
        </w:rPr>
        <w:t>Организиране на образование и обучение на всички нива в подходящи формати - от политици до широката общественост</w:t>
      </w:r>
      <w:r w:rsidRPr="00B73D7E">
        <w:rPr>
          <w:rFonts w:ascii="Times New Roman" w:hAnsi="Times New Roman"/>
          <w:sz w:val="24"/>
          <w:lang w:val="bg-BG"/>
        </w:rPr>
        <w:t>.</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По-широкото разбиране на този вариант за адаптация ще насърчи обединяването на всички приоритетни действия в рамките на тази категория в единна рамка или платформа, съответстващи на свиващия се опит в страната, спад в образованието и неблагоприятни демографски характеристики. Подобряването на знанията в такава специфична област като АИК ще изисква бърза оценка на потребностите и интензивно обучение на обучители, които ще поемат водеща роля в предлаганите интердисциплинарни краткосрочни и дългосрочни курсове в магистърски, докторски и отворени програми за обучение. Те трябва да бъдат насочени към политиците и лицата, вземащи решения, представителите на държавните и местните власти, експертите и специалистите, ангажирани с изграждането и управлението на градската среда, както и към обществеността. Нито едно от предложените действия в тази категория не трябва да се пренебрегва, тъй като е получило много висок резултат за очакваните социални и икономически ползи в процеса на оценяване и консултациите.</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 xml:space="preserve">Въпреки че е насочен към всички нива и участници в областта на АИК, при прилагането на този вариант академичните институции и професионалните организации ще поемат основната отговорност. Сред тях са МОН, Националната агенция за оценяване и акредитация, УАСГ, ТУ, ЛТУ, УНСС, СУ, БАН, Камари на архитектите и инженерите, частни висши училища и фирми за обучение и преквалификация. Очаква се резултатите да изградят експертен и институционален капацитет, да подобрят обмена на знания между архитектите, проектантите, инженерите, ландшафтните архитекти, икономистите, социолозите и еколозите, както и да гарантират по-добро качество и по-висока стойност при всички следващи действия за адаптация. Заедно със социалните и екологичните ползи, това ще донесе финансови ползи и ще стимулира изобретателността и академичното развитие в образователните институции. </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Повечето от горепосочените приоритетни варианти за приспособяване е трудно да бъдат приложени без финансова подкрепа. Разглежданите финансови, социални и застрахователни политики се отнасят до всички метеорологични явления и бедствия на всички нива от национално до индивидуално, не само в градската среда, но и във всички останали сектори – транспорт, туризъм, селско стопанство, горско стопанство, енергетика и човешкото здраве.</w:t>
      </w:r>
    </w:p>
    <w:p w:rsidR="00AA4661" w:rsidRPr="00B73D7E" w:rsidRDefault="00AA4661" w:rsidP="00D17705">
      <w:pPr>
        <w:pStyle w:val="ListParagraph1"/>
        <w:contextualSpacing w:val="0"/>
        <w:jc w:val="both"/>
        <w:rPr>
          <w:rFonts w:ascii="Times New Roman" w:hAnsi="Times New Roman"/>
          <w:b/>
          <w:i/>
          <w:sz w:val="24"/>
          <w:lang w:val="bg-BG"/>
        </w:rPr>
      </w:pPr>
      <w:r w:rsidRPr="00B73D7E">
        <w:rPr>
          <w:rFonts w:ascii="Times New Roman" w:hAnsi="Times New Roman"/>
          <w:b/>
          <w:i/>
          <w:sz w:val="24"/>
          <w:lang w:val="bg-BG"/>
        </w:rPr>
        <w:tab/>
        <w:t>Категория „Финанси“ - Промяна на финансовата, социалната и застрахователната политики</w:t>
      </w:r>
    </w:p>
    <w:p w:rsidR="00AA4661" w:rsidRPr="00B73D7E" w:rsidRDefault="00AA4661" w:rsidP="00D17705">
      <w:pPr>
        <w:pStyle w:val="ListParagraph1"/>
        <w:contextualSpacing w:val="0"/>
        <w:jc w:val="both"/>
        <w:rPr>
          <w:rFonts w:ascii="Times New Roman" w:hAnsi="Times New Roman"/>
          <w:i/>
          <w:sz w:val="24"/>
          <w:lang w:val="bg-BG"/>
        </w:rPr>
      </w:pPr>
      <w:r w:rsidRPr="00B73D7E">
        <w:rPr>
          <w:rFonts w:ascii="Times New Roman" w:hAnsi="Times New Roman"/>
          <w:b/>
          <w:sz w:val="24"/>
          <w:u w:val="single"/>
          <w:lang w:val="bg-BG"/>
        </w:rPr>
        <w:t>Вариант за адаптация</w:t>
      </w:r>
      <w:r w:rsidRPr="00B73D7E">
        <w:rPr>
          <w:rFonts w:ascii="Times New Roman" w:hAnsi="Times New Roman"/>
          <w:sz w:val="24"/>
          <w:lang w:val="bg-BG"/>
        </w:rPr>
        <w:t xml:space="preserve"> - </w:t>
      </w:r>
      <w:r w:rsidRPr="00B73D7E">
        <w:rPr>
          <w:rFonts w:ascii="Times New Roman" w:hAnsi="Times New Roman"/>
          <w:i/>
          <w:sz w:val="24"/>
          <w:lang w:val="bg-BG"/>
        </w:rPr>
        <w:t>Преразглеждане на съществуващите финансови инструменти и проектиране на нови за АИК и УРБ, включително за енергийно обновяване.</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Приложените в градската среда действия за приспособяване изискват подходящи финансови инструменти за привличане на инвестиции за обновяване на жилищния фонд, за прилагане на мерки за енергийна ефективност, за преразглеждане на документи за териториално планиране и за тяхната законова рамка. Освен методологичната подкрепа, новите отговорности на местните власти за АИК ще имат сериозна нужда от подкрепа от държавния бюджет. Предложеният нов подход към жилищната собственост ще изисква законови изменения на Закон за управление на етажната собственост, Кодекса за застраховането и Закона за местните данъци и такси. Основните заинтересовани страни в прилагането на тези действия са МФ, Националната агенция за приходите, общините и отделни лица и собственици. Очакваните резултати от прилагането са по-голяма социална справедливост, по-добро разпределение на отговорностите и финансовата тежест между държавата, местните власти и отделните лица и повишена информираност и ангажираност.</w:t>
      </w:r>
    </w:p>
    <w:p w:rsidR="00AA4661" w:rsidRPr="00B73D7E" w:rsidRDefault="00AA4661" w:rsidP="00CF297A">
      <w:pPr>
        <w:pStyle w:val="BodyText"/>
        <w:numPr>
          <w:ilvl w:val="0"/>
          <w:numId w:val="41"/>
        </w:numPr>
        <w:ind w:left="0" w:firstLine="0"/>
        <w:rPr>
          <w:lang w:val="bg-BG"/>
        </w:rPr>
      </w:pPr>
      <w:r w:rsidRPr="00B73D7E">
        <w:rPr>
          <w:lang w:val="bg-BG"/>
        </w:rPr>
        <w:t>Изброените варианти за приоритети създават обща рамка за АИК на градската среда. Препоръчва се по-подробно разработване на локалните стратегии, отчитащи местните ресурси, потребности, микроклимат в зависимост от размера и местоположението на града, неговото население, икономически и функционални характеристики, пространствено развитие и гъстота на застрояване (</w:t>
      </w:r>
      <w:r w:rsidRPr="00B73D7E">
        <w:rPr>
          <w:b/>
          <w:i/>
          <w:iCs/>
          <w:lang w:val="bg-BG"/>
        </w:rPr>
        <w:t>приложение 1</w:t>
      </w:r>
      <w:r w:rsidR="0008216C" w:rsidRPr="00B73D7E">
        <w:rPr>
          <w:b/>
          <w:i/>
          <w:iCs/>
          <w:lang w:val="bg-BG"/>
        </w:rPr>
        <w:t>2</w:t>
      </w:r>
      <w:r w:rsidRPr="00B73D7E">
        <w:rPr>
          <w:lang w:val="bg-BG"/>
        </w:rPr>
        <w:t>).</w:t>
      </w:r>
    </w:p>
    <w:p w:rsidR="000615CA" w:rsidRPr="00B73D7E" w:rsidRDefault="00B6465F" w:rsidP="00CF297A">
      <w:pPr>
        <w:pStyle w:val="ListParagraph1"/>
        <w:numPr>
          <w:ilvl w:val="0"/>
          <w:numId w:val="41"/>
        </w:numPr>
        <w:ind w:left="0" w:firstLine="0"/>
        <w:contextualSpacing w:val="0"/>
        <w:jc w:val="both"/>
        <w:rPr>
          <w:rFonts w:ascii="Times New Roman" w:hAnsi="Times New Roman"/>
          <w:sz w:val="24"/>
          <w:lang w:val="bg-BG"/>
        </w:rPr>
      </w:pPr>
      <w:bookmarkStart w:id="741" w:name="_Hlk517352524"/>
      <w:r w:rsidRPr="00B73D7E">
        <w:rPr>
          <w:rFonts w:ascii="Times New Roman" w:hAnsi="Times New Roman"/>
          <w:sz w:val="24"/>
          <w:lang w:val="bg-BG"/>
        </w:rPr>
        <w:t>Резултатите от АРП определят икономически най-ефективните действия за адаптиране и позволяват тяхната класификация. Мерките за адаптиране, за които ползите надвишават разходите, могат да се класифицират както следва: ЕЕ обновяване на жилища; Определяне на приоритетни научни теми; Насърчаване на партньорство, работа в мрежа и сътрудничество; Включване на АИК в политиките за регионално и градско развитие и др. Фигурата по-долу показва приблизителния принос на избрани мерки за адаптиране за постигане на цялостните положителни резултати от адаптирането към изменението на климата.</w:t>
      </w:r>
      <w:bookmarkEnd w:id="741"/>
    </w:p>
    <w:p w:rsidR="000615CA" w:rsidRPr="00B73D7E" w:rsidRDefault="00B6465F" w:rsidP="00B73D7E">
      <w:pPr>
        <w:pStyle w:val="FiguresTablesCaption"/>
        <w:rPr>
          <w:b w:val="0"/>
          <w:i w:val="0"/>
          <w:iCs w:val="0"/>
        </w:rPr>
      </w:pPr>
      <w:bookmarkStart w:id="742" w:name="_Toc517709479"/>
      <w:bookmarkStart w:id="743" w:name="_Toc529286494"/>
      <w:bookmarkStart w:id="744" w:name="_Toc529286569"/>
      <w:bookmarkStart w:id="745" w:name="_Hlk517279082"/>
      <w:r w:rsidRPr="008E7DAC">
        <w:t xml:space="preserve">Фигура </w:t>
      </w:r>
      <w:r w:rsidR="000615CA" w:rsidRPr="00B73D7E">
        <w:fldChar w:fldCharType="begin"/>
      </w:r>
      <w:r w:rsidR="000615CA" w:rsidRPr="00B73D7E">
        <w:instrText xml:space="preserve"> SEQ Figure \* ARABIC </w:instrText>
      </w:r>
      <w:r w:rsidR="000615CA" w:rsidRPr="00B73D7E">
        <w:fldChar w:fldCharType="separate"/>
      </w:r>
      <w:r w:rsidR="00485D6A" w:rsidRPr="00B73D7E">
        <w:t>19</w:t>
      </w:r>
      <w:r w:rsidR="000615CA" w:rsidRPr="00B73D7E">
        <w:fldChar w:fldCharType="end"/>
      </w:r>
      <w:r w:rsidR="000615CA" w:rsidRPr="00B73D7E">
        <w:t xml:space="preserve">. </w:t>
      </w:r>
      <w:r w:rsidRPr="00F8728A">
        <w:t>Приоритизиране на мерките за адаптиране в сектор градска среда</w:t>
      </w:r>
      <w:r w:rsidR="000615CA" w:rsidRPr="00B73D7E">
        <w:br/>
        <w:t>(</w:t>
      </w:r>
      <w:r w:rsidRPr="00F8728A">
        <w:t>общ НС ефект в м</w:t>
      </w:r>
      <w:r w:rsidR="00411EA6" w:rsidRPr="00F8728A">
        <w:t>лн.</w:t>
      </w:r>
      <w:r w:rsidRPr="00F8728A">
        <w:t xml:space="preserve"> евро</w:t>
      </w:r>
      <w:r w:rsidR="000615CA" w:rsidRPr="00B73D7E">
        <w:t>)</w:t>
      </w:r>
      <w:bookmarkEnd w:id="742"/>
      <w:bookmarkEnd w:id="743"/>
      <w:bookmarkEnd w:id="744"/>
    </w:p>
    <w:bookmarkEnd w:id="745"/>
    <w:p w:rsidR="000615CA" w:rsidRPr="00B73D7E" w:rsidRDefault="00485D6A" w:rsidP="000615CA">
      <w:pPr>
        <w:pStyle w:val="BodyText"/>
        <w:numPr>
          <w:ilvl w:val="0"/>
          <w:numId w:val="0"/>
        </w:numPr>
        <w:ind w:left="360" w:hanging="360"/>
        <w:rPr>
          <w:lang w:val="bg-BG"/>
        </w:rPr>
      </w:pPr>
      <w:r w:rsidRPr="00B73D7E">
        <w:rPr>
          <w:noProof/>
          <w:lang w:val="en-US" w:eastAsia="en-US"/>
        </w:rPr>
        <w:drawing>
          <wp:inline distT="0" distB="0" distL="0" distR="0" wp14:anchorId="1BDC39E2" wp14:editId="6AA54C1F">
            <wp:extent cx="5752465" cy="2673985"/>
            <wp:effectExtent l="19050" t="19050" r="19685" b="12065"/>
            <wp:docPr id="201" name="Picture 201" descr="C:\Users\WB507560\AppData\Local\Microsoft\Windows\INetCache\Content.Word\урбан дон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WB507560\AppData\Local\Microsoft\Windows\INetCache\Content.Word\урбан доне.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2465" cy="2673985"/>
                    </a:xfrm>
                    <a:prstGeom prst="rect">
                      <a:avLst/>
                    </a:prstGeom>
                    <a:noFill/>
                    <a:ln w="6350">
                      <a:solidFill>
                        <a:srgbClr val="5B9BD5"/>
                      </a:solidFill>
                    </a:ln>
                  </pic:spPr>
                </pic:pic>
              </a:graphicData>
            </a:graphic>
          </wp:inline>
        </w:drawing>
      </w:r>
    </w:p>
    <w:p w:rsidR="00AA4661" w:rsidRPr="00B73D7E" w:rsidRDefault="00AA4661" w:rsidP="00FB5DA0">
      <w:pPr>
        <w:pStyle w:val="Heading2"/>
        <w:spacing w:line="240" w:lineRule="auto"/>
        <w:rPr>
          <w:lang w:val="bg-BG"/>
        </w:rPr>
      </w:pPr>
      <w:bookmarkStart w:id="746" w:name="_Toc522030600"/>
      <w:bookmarkStart w:id="747" w:name="_Toc529285585"/>
      <w:r w:rsidRPr="00B73D7E">
        <w:rPr>
          <w:lang w:val="bg-BG"/>
        </w:rPr>
        <w:t>Заключени</w:t>
      </w:r>
      <w:bookmarkEnd w:id="738"/>
      <w:bookmarkEnd w:id="739"/>
      <w:bookmarkEnd w:id="740"/>
      <w:r w:rsidRPr="00B73D7E">
        <w:rPr>
          <w:lang w:val="bg-BG"/>
        </w:rPr>
        <w:t>я</w:t>
      </w:r>
      <w:bookmarkEnd w:id="746"/>
      <w:bookmarkEnd w:id="747"/>
    </w:p>
    <w:p w:rsidR="00AA4661" w:rsidRPr="00B73D7E" w:rsidRDefault="00AA4661" w:rsidP="00CF297A">
      <w:pPr>
        <w:pStyle w:val="BodyText"/>
        <w:numPr>
          <w:ilvl w:val="0"/>
          <w:numId w:val="41"/>
        </w:numPr>
        <w:ind w:left="0" w:firstLine="0"/>
        <w:rPr>
          <w:lang w:val="bg-BG"/>
        </w:rPr>
      </w:pPr>
      <w:r w:rsidRPr="00B73D7E">
        <w:rPr>
          <w:lang w:val="bg-BG"/>
        </w:rPr>
        <w:t xml:space="preserve">Националната стратегия за АИК в България е нов вид стратегически документ, който представя рамката за последващи действия и приложения. Няма прости и еднозначни решения за решаването на проблемите, свързани с ИК в градската среда. Всички те изискват всеобхватни действия и последователни политики за прилагането на система от законодателни, планови, технологични, строителни и социални мерки. С оглед приложимостта на приоритизираните варианти и идентифицираните действия за адаптация, процесът на адаптация в българската градска среда ще изисква значителни времеви, финансови и други ресурси. Пропуските и пречките, които среща адаптацията към климатичните промени, могат да бъдат преодолени, но вероятно ще срещнат съпротивата на институциите с ограничен експертен и финансов капацитет, както и този на професионалистите, които ще бъдат изправени пред нови предизвикателства и отговорности. Аналогично, строителният сектор ще се наложи да инвестира в нови технологии и материали. Подходът към последния следва да не подчертава разходите, а да се фокусира върху допълнителните ползи, които по-висококачествената жизнена среда с по-висок комфорт и степен на защита може да осигури в дългосрочен план, което в икономическо отношение добавя стойност и може да увеличи печалбата. В този контекст е важно отношението към адаптацията към климатичните промени да се превърне в нов начин на мислене и на живот, и така да се превърне в новата реалност. </w:t>
      </w:r>
    </w:p>
    <w:p w:rsidR="00AA4661" w:rsidRPr="00F8728A" w:rsidRDefault="00AA4661">
      <w:pPr>
        <w:widowControl w:val="0"/>
        <w:spacing w:after="0"/>
        <w:rPr>
          <w:rFonts w:ascii="Calibri" w:eastAsia="MS Gothic" w:hAnsi="Calibri"/>
          <w:b/>
          <w:bCs/>
          <w:color w:val="365F91"/>
          <w:sz w:val="32"/>
          <w:szCs w:val="28"/>
        </w:rPr>
      </w:pPr>
      <w:r w:rsidRPr="00F8728A">
        <w:br w:type="page"/>
      </w:r>
    </w:p>
    <w:p w:rsidR="00AA4661" w:rsidRPr="00B73D7E" w:rsidRDefault="00AA4661" w:rsidP="00B73D7E">
      <w:pPr>
        <w:pStyle w:val="Heading1"/>
        <w:spacing w:before="0" w:after="120"/>
        <w:jc w:val="both"/>
        <w:rPr>
          <w:rFonts w:eastAsia="Times New Roman"/>
          <w:bCs w:val="0"/>
          <w:color w:val="2F5496"/>
          <w:sz w:val="32"/>
          <w:szCs w:val="32"/>
          <w:lang w:val="bg-BG" w:eastAsia="en-US"/>
        </w:rPr>
      </w:pPr>
      <w:bookmarkStart w:id="748" w:name="_Toc522030601"/>
      <w:bookmarkStart w:id="749" w:name="_Toc529285586"/>
      <w:r w:rsidRPr="00B73D7E">
        <w:rPr>
          <w:rFonts w:eastAsia="Times New Roman"/>
          <w:bCs w:val="0"/>
          <w:color w:val="2F5496"/>
          <w:sz w:val="32"/>
          <w:szCs w:val="32"/>
          <w:lang w:val="bg-BG" w:eastAsia="en-US"/>
        </w:rPr>
        <w:t>Библиография</w:t>
      </w:r>
      <w:bookmarkEnd w:id="748"/>
      <w:bookmarkEnd w:id="749"/>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Adger, W.N., S. Agrawala, M.M.Q. Mirza, C. Conde, K. O’Brien, J. Pulhin, R. Pulwarty, B. Smit, and K. Takahashi. 2007. “Assessment of Adaptation Practices, Options, Constraints and Capacity.” </w:t>
      </w:r>
      <w:r w:rsidRPr="00F8728A">
        <w:rPr>
          <w:rFonts w:ascii="Times New Roman" w:hAnsi="Times New Roman"/>
          <w:i/>
          <w:sz w:val="24"/>
          <w:szCs w:val="24"/>
        </w:rPr>
        <w:t>Climate Change 2007: Impacts, Adaptation, and Vulnerability</w:t>
      </w:r>
      <w:r w:rsidRPr="00F8728A">
        <w:rPr>
          <w:rFonts w:ascii="Times New Roman" w:hAnsi="Times New Roman"/>
          <w:sz w:val="24"/>
          <w:szCs w:val="24"/>
        </w:rPr>
        <w:t xml:space="preserve">. Contribution of Working Group II to the Fourth Assessment Report of the IPCC (Intergovernmental Panel on Climate Change), M.L. Parry, O.F. Canziani, J.P. Palutikof, P.J. van der Linden and C.E. Hanson, Eds., Cambridge University Press, Cambridge, United Kingdom, pp. 717–743.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Akbari, H., H. Damon Matthews, and D. Seto. 2012. “The Long-Term Effect of Increasing the Albedo of 27 Urban Areas.” </w:t>
      </w:r>
      <w:r w:rsidRPr="00F8728A">
        <w:rPr>
          <w:rFonts w:ascii="Times New Roman" w:hAnsi="Times New Roman"/>
          <w:i/>
          <w:sz w:val="24"/>
          <w:szCs w:val="24"/>
        </w:rPr>
        <w:t>Environmental Research Letters</w:t>
      </w:r>
      <w:r w:rsidRPr="00F8728A">
        <w:rPr>
          <w:rFonts w:ascii="Times New Roman" w:hAnsi="Times New Roman"/>
          <w:sz w:val="24"/>
          <w:szCs w:val="24"/>
        </w:rPr>
        <w:t xml:space="preserve"> 7 (2): 024004.</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Alexandrov, V (ed.) 2010. </w:t>
      </w:r>
      <w:r w:rsidRPr="00F8728A">
        <w:rPr>
          <w:rFonts w:ascii="Times New Roman" w:hAnsi="Times New Roman"/>
          <w:i/>
          <w:sz w:val="24"/>
          <w:szCs w:val="24"/>
        </w:rPr>
        <w:t xml:space="preserve">Climate Change. </w:t>
      </w:r>
      <w:r w:rsidRPr="00F8728A">
        <w:rPr>
          <w:rFonts w:ascii="Times New Roman" w:hAnsi="Times New Roman"/>
          <w:sz w:val="24"/>
          <w:szCs w:val="24"/>
        </w:rPr>
        <w:t>National Institute of Meteorology and Climatology at the BAS, http://meteorology.meteo.bg/bro6ura.pdf</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Alexandrov, V., P. Simeonov, V. Kazandziev, G. Korchev, and A. Iotova. 2010. </w:t>
      </w:r>
      <w:r w:rsidRPr="00F8728A">
        <w:rPr>
          <w:rFonts w:ascii="Times New Roman" w:hAnsi="Times New Roman"/>
          <w:i/>
          <w:sz w:val="24"/>
          <w:szCs w:val="24"/>
        </w:rPr>
        <w:t>Climate Change</w:t>
      </w:r>
      <w:r w:rsidRPr="00F8728A">
        <w:rPr>
          <w:rFonts w:ascii="Times New Roman" w:hAnsi="Times New Roman"/>
          <w:sz w:val="24"/>
          <w:szCs w:val="24"/>
        </w:rPr>
        <w:t>. National Institute of Hydrology and Meteorology, Bulgarian Academy of Science, Sofia.</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i/>
          <w:sz w:val="24"/>
          <w:szCs w:val="24"/>
        </w:rPr>
        <w:t>An EU Strategy on Adaptation to Climate Change</w:t>
      </w:r>
      <w:r w:rsidRPr="00F8728A">
        <w:rPr>
          <w:rFonts w:ascii="Times New Roman" w:hAnsi="Times New Roman"/>
          <w:sz w:val="24"/>
          <w:szCs w:val="24"/>
        </w:rPr>
        <w:t xml:space="preserve">. 2013 (accessed April 21, 2017), </w:t>
      </w:r>
      <w:hyperlink r:id="rId46" w:history="1">
        <w:r w:rsidRPr="00F8728A">
          <w:rPr>
            <w:rFonts w:ascii="Times New Roman" w:hAnsi="Times New Roman"/>
            <w:color w:val="0000FF"/>
            <w:sz w:val="24"/>
            <w:szCs w:val="24"/>
            <w:u w:val="single"/>
          </w:rPr>
          <w:t>http://eur-lex.europa.eu/legal-content/EN/TXT/?uri=celex%3A52013DC0216</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Arnold, Jr. C.L. and C.J. Gibbons.  1996. “Impervious Surface Coverage: The Emergence of a Key Environmental Indicator.” </w:t>
      </w:r>
      <w:r w:rsidRPr="00F8728A">
        <w:rPr>
          <w:rFonts w:ascii="Times New Roman" w:hAnsi="Times New Roman"/>
          <w:i/>
          <w:sz w:val="24"/>
          <w:szCs w:val="24"/>
        </w:rPr>
        <w:t>Journal of the American Planning Association</w:t>
      </w:r>
      <w:r w:rsidRPr="00F8728A">
        <w:rPr>
          <w:rFonts w:ascii="Times New Roman" w:hAnsi="Times New Roman"/>
          <w:sz w:val="24"/>
          <w:szCs w:val="24"/>
        </w:rPr>
        <w:t xml:space="preserve"> 62 (2): 243–258, doi: 10.1080/01944369608975688.</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Berov, B., N. Dobrev, I. Brouchev, T. Fukuzono. 2002. “Landslides in Bulgaria.” </w:t>
      </w:r>
      <w:r w:rsidRPr="00F8728A">
        <w:rPr>
          <w:rFonts w:ascii="Times New Roman" w:hAnsi="Times New Roman"/>
          <w:i/>
          <w:sz w:val="24"/>
          <w:szCs w:val="24"/>
        </w:rPr>
        <w:t>Journal of the Japanese Landslide Society</w:t>
      </w:r>
      <w:r w:rsidRPr="00F8728A">
        <w:rPr>
          <w:rFonts w:ascii="Times New Roman" w:hAnsi="Times New Roman"/>
          <w:sz w:val="24"/>
          <w:szCs w:val="24"/>
        </w:rPr>
        <w:t xml:space="preserve"> 38 (4): 335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Biagini B., R. Biermaum, M. Stults, S. Dobardzic, S.M. McNeeley. 2014. “A Typology of Adaptation Actions: A Global Look at Climate Adaptation Actions financed through the Global Environment Facility.”</w:t>
      </w:r>
      <w:r w:rsidRPr="00F8728A">
        <w:rPr>
          <w:rFonts w:ascii="Times New Roman" w:hAnsi="Times New Roman"/>
          <w:i/>
          <w:sz w:val="24"/>
          <w:szCs w:val="24"/>
        </w:rPr>
        <w:t xml:space="preserve"> Global Environmental Change</w:t>
      </w:r>
      <w:r w:rsidRPr="00F8728A">
        <w:rPr>
          <w:rFonts w:ascii="Times New Roman" w:hAnsi="Times New Roman"/>
          <w:sz w:val="24"/>
          <w:szCs w:val="24"/>
        </w:rPr>
        <w:t xml:space="preserve"> 25 (2014): 97–108, </w:t>
      </w:r>
      <w:hyperlink r:id="rId47" w:history="1">
        <w:r w:rsidRPr="00F8728A">
          <w:rPr>
            <w:rFonts w:ascii="Times New Roman" w:hAnsi="Times New Roman"/>
            <w:color w:val="0000FF"/>
            <w:sz w:val="24"/>
            <w:szCs w:val="24"/>
            <w:u w:val="single"/>
          </w:rPr>
          <w:t>http://ac.els-cdn.com/S0959378014000065/1-s2.0-S0959378014000065-main.pdf?_tid=095d6238-3243-11e7-83a5-00000aacb362&amp;acdnat=1494065096_ebd89421283c00b1f80cdcc1afa906b1</w:t>
        </w:r>
      </w:hyperlink>
      <w:r w:rsidRPr="00F8728A">
        <w:rPr>
          <w:rFonts w:ascii="Times New Roman" w:hAnsi="Times New Roman"/>
          <w:color w:val="0000FF"/>
          <w:sz w:val="24"/>
          <w:szCs w:val="24"/>
          <w:u w:val="single"/>
        </w:rPr>
        <w:t>.</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Birkmann, J., M. Garschagen, F. Kraas, and N. Quang. 2010. “Adaptive Urban Governance: New Challenges for the Second Generation of Urban Adaptation Strategies to Climate Change.” In </w:t>
      </w:r>
      <w:r w:rsidRPr="00F8728A">
        <w:rPr>
          <w:rFonts w:ascii="Times New Roman" w:hAnsi="Times New Roman"/>
          <w:i/>
          <w:sz w:val="24"/>
          <w:szCs w:val="24"/>
        </w:rPr>
        <w:t>Sustainability Science</w:t>
      </w:r>
      <w:r w:rsidRPr="00F8728A">
        <w:rPr>
          <w:rFonts w:ascii="Times New Roman" w:hAnsi="Times New Roman"/>
          <w:sz w:val="24"/>
          <w:szCs w:val="24"/>
        </w:rPr>
        <w:t xml:space="preserve"> 5 (2): 185–206.</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i/>
          <w:sz w:val="24"/>
          <w:szCs w:val="24"/>
        </w:rPr>
        <w:t xml:space="preserve">Bulgaria: The Challenges of Poverty (Regional Analysis on the Data by the Multipurpose Observation of Households. </w:t>
      </w:r>
      <w:r w:rsidRPr="00F8728A">
        <w:rPr>
          <w:rFonts w:ascii="Times New Roman" w:hAnsi="Times New Roman"/>
          <w:sz w:val="24"/>
          <w:szCs w:val="24"/>
        </w:rPr>
        <w:t xml:space="preserve">2003. Published by NSI, Sofia 2005 </w:t>
      </w:r>
      <w:hyperlink r:id="rId48" w:history="1">
        <w:r w:rsidRPr="00F8728A">
          <w:rPr>
            <w:rFonts w:ascii="Times New Roman" w:hAnsi="Times New Roman"/>
            <w:color w:val="0000FF"/>
            <w:sz w:val="24"/>
            <w:szCs w:val="24"/>
            <w:u w:val="single"/>
          </w:rPr>
          <w:t>http://www.nsi.bg/sites/default/files/files/publications/Poverty_regio.pdf</w:t>
        </w:r>
      </w:hyperlink>
      <w:r w:rsidRPr="00F8728A">
        <w:rPr>
          <w:rFonts w:ascii="Times New Roman" w:hAnsi="Times New Roman"/>
          <w:color w:val="0000FF"/>
          <w:sz w:val="24"/>
          <w:szCs w:val="24"/>
          <w:u w:val="single"/>
        </w:rPr>
        <w:t>.</w:t>
      </w:r>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Burton, I. 1997.</w:t>
      </w:r>
      <w:r w:rsidRPr="00F8728A">
        <w:rPr>
          <w:rFonts w:ascii="Times New Roman" w:hAnsi="Times New Roman"/>
          <w:b/>
          <w:sz w:val="24"/>
          <w:szCs w:val="24"/>
        </w:rPr>
        <w:t xml:space="preserve"> </w:t>
      </w:r>
      <w:r w:rsidRPr="00F8728A">
        <w:rPr>
          <w:rFonts w:ascii="Times New Roman" w:hAnsi="Times New Roman"/>
          <w:sz w:val="24"/>
          <w:szCs w:val="24"/>
        </w:rPr>
        <w:t xml:space="preserve">“Vulnerability and Adaptive Response in the Context of Climate and Climate Change.” </w:t>
      </w:r>
      <w:r w:rsidRPr="00F8728A">
        <w:rPr>
          <w:rFonts w:ascii="Times New Roman" w:hAnsi="Times New Roman"/>
          <w:i/>
          <w:sz w:val="24"/>
          <w:szCs w:val="24"/>
        </w:rPr>
        <w:t xml:space="preserve">Climate Change </w:t>
      </w:r>
      <w:r w:rsidRPr="00F8728A">
        <w:rPr>
          <w:rFonts w:ascii="Times New Roman" w:hAnsi="Times New Roman"/>
          <w:sz w:val="24"/>
          <w:szCs w:val="24"/>
        </w:rPr>
        <w:t xml:space="preserve">36: 185–196.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Carter, G. 2011. “Climate Change Adaptation in European Cities”</w:t>
      </w:r>
      <w:r w:rsidRPr="00F8728A">
        <w:rPr>
          <w:rFonts w:ascii="Times New Roman" w:hAnsi="Times New Roman"/>
          <w:i/>
          <w:sz w:val="24"/>
          <w:szCs w:val="24"/>
        </w:rPr>
        <w:t xml:space="preserve"> </w:t>
      </w:r>
      <w:r w:rsidRPr="00F8728A">
        <w:rPr>
          <w:rFonts w:ascii="Times New Roman" w:hAnsi="Times New Roman"/>
          <w:sz w:val="24"/>
          <w:szCs w:val="24"/>
        </w:rPr>
        <w:t xml:space="preserve">Current opinion In </w:t>
      </w:r>
      <w:r w:rsidRPr="00F8728A">
        <w:rPr>
          <w:rFonts w:ascii="Times New Roman" w:hAnsi="Times New Roman"/>
          <w:i/>
          <w:sz w:val="24"/>
          <w:szCs w:val="24"/>
        </w:rPr>
        <w:t>Environmental Sustainability</w:t>
      </w:r>
      <w:r w:rsidRPr="00F8728A">
        <w:rPr>
          <w:rFonts w:ascii="Times New Roman" w:hAnsi="Times New Roman"/>
          <w:sz w:val="24"/>
          <w:szCs w:val="24"/>
        </w:rPr>
        <w:t xml:space="preserve"> 3 (3): 193–198.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Carter, J., C. Cavan, A. Connelly, S. Guy, J. Handley, A. Kazmierczak. 2015. “Climate Change and the City: Building Capacity for Urban Adaptation.” </w:t>
      </w:r>
      <w:r w:rsidRPr="00F8728A">
        <w:rPr>
          <w:rFonts w:ascii="Times New Roman" w:hAnsi="Times New Roman"/>
          <w:i/>
          <w:sz w:val="24"/>
          <w:szCs w:val="24"/>
        </w:rPr>
        <w:t>Progress in Planning</w:t>
      </w:r>
      <w:r w:rsidRPr="00F8728A">
        <w:rPr>
          <w:rFonts w:ascii="Times New Roman" w:hAnsi="Times New Roman"/>
          <w:sz w:val="24"/>
          <w:szCs w:val="24"/>
        </w:rPr>
        <w:t xml:space="preserve"> 95 (2015): 1–66.</w:t>
      </w:r>
    </w:p>
    <w:p w:rsidR="00AA4661" w:rsidRPr="00F8728A" w:rsidRDefault="00AA4661" w:rsidP="00CD6367">
      <w:pPr>
        <w:spacing w:before="120" w:after="120" w:line="276" w:lineRule="auto"/>
        <w:ind w:left="720" w:hanging="720"/>
        <w:jc w:val="both"/>
        <w:rPr>
          <w:rFonts w:ascii="Times New Roman" w:hAnsi="Times New Roman"/>
          <w:color w:val="000000"/>
          <w:sz w:val="24"/>
          <w:szCs w:val="24"/>
          <w:lang w:eastAsia="en-GB"/>
        </w:rPr>
      </w:pPr>
      <w:r w:rsidRPr="00F8728A">
        <w:rPr>
          <w:rFonts w:ascii="Times New Roman" w:hAnsi="Times New Roman"/>
          <w:color w:val="000000"/>
          <w:sz w:val="24"/>
          <w:szCs w:val="24"/>
          <w:lang w:eastAsia="en-GB"/>
        </w:rPr>
        <w:t xml:space="preserve">Carter, J. G., A. Connelly, J. Handley, S. Lindley. 2012. </w:t>
      </w:r>
      <w:r w:rsidRPr="00F8728A">
        <w:rPr>
          <w:rFonts w:ascii="Times New Roman" w:hAnsi="Times New Roman"/>
          <w:i/>
          <w:color w:val="000000"/>
          <w:sz w:val="24"/>
          <w:szCs w:val="24"/>
          <w:lang w:eastAsia="en-GB"/>
        </w:rPr>
        <w:t>European Cities in a Changing Climate: Exploring Climate Change Hazards, Impacts, and Vulnerabilities</w:t>
      </w:r>
      <w:r w:rsidRPr="00F8728A">
        <w:rPr>
          <w:rFonts w:ascii="Times New Roman" w:hAnsi="Times New Roman"/>
          <w:color w:val="000000"/>
          <w:sz w:val="24"/>
          <w:szCs w:val="24"/>
          <w:lang w:eastAsia="en-GB"/>
        </w:rPr>
        <w:t xml:space="preserve">. Centre for Urban and Regional Ecology, The University of Manchester.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CCC (Committee on Climate Change). 2016. </w:t>
      </w:r>
      <w:r w:rsidRPr="00F8728A">
        <w:rPr>
          <w:rFonts w:ascii="Times New Roman" w:hAnsi="Times New Roman"/>
          <w:i/>
          <w:sz w:val="24"/>
          <w:szCs w:val="24"/>
        </w:rPr>
        <w:t>U.K. Climate Change Risk Assessment 2017, Synthesis report: Priorities for the Next Five Years</w:t>
      </w:r>
      <w:r w:rsidRPr="00F8728A">
        <w:rPr>
          <w:rFonts w:ascii="Times New Roman" w:hAnsi="Times New Roman"/>
          <w:sz w:val="24"/>
          <w:szCs w:val="24"/>
        </w:rPr>
        <w:t>. Committee on Climate Change, London.</w:t>
      </w:r>
    </w:p>
    <w:p w:rsidR="00AA4661" w:rsidRPr="00F8728A" w:rsidRDefault="00AA4661" w:rsidP="00CD6367">
      <w:pPr>
        <w:spacing w:before="120" w:after="120" w:line="276" w:lineRule="auto"/>
        <w:ind w:left="720" w:hanging="720"/>
        <w:jc w:val="both"/>
        <w:rPr>
          <w:rFonts w:ascii="Times New Roman" w:hAnsi="Times New Roman"/>
          <w:i/>
          <w:sz w:val="24"/>
          <w:szCs w:val="24"/>
        </w:rPr>
      </w:pPr>
      <w:r w:rsidRPr="00F8728A">
        <w:rPr>
          <w:rFonts w:ascii="Times New Roman" w:hAnsi="Times New Roman"/>
          <w:sz w:val="24"/>
          <w:szCs w:val="24"/>
        </w:rPr>
        <w:t>COM (Commission of the European Communities Brussels). 2009.</w:t>
      </w:r>
      <w:r w:rsidRPr="00F8728A">
        <w:rPr>
          <w:rFonts w:ascii="Times New Roman" w:hAnsi="Times New Roman"/>
          <w:i/>
          <w:sz w:val="24"/>
          <w:szCs w:val="24"/>
        </w:rPr>
        <w:t xml:space="preserve"> </w:t>
      </w:r>
      <w:r w:rsidRPr="00F8728A">
        <w:rPr>
          <w:rFonts w:ascii="Times New Roman" w:hAnsi="Times New Roman"/>
          <w:sz w:val="24"/>
          <w:szCs w:val="24"/>
        </w:rPr>
        <w:t>“Adapting to Climate Change: Towards a European Framework for Action</w:t>
      </w:r>
      <w:r w:rsidRPr="00F8728A">
        <w:rPr>
          <w:rFonts w:ascii="Times New Roman" w:hAnsi="Times New Roman"/>
          <w:i/>
          <w:sz w:val="24"/>
          <w:szCs w:val="24"/>
        </w:rPr>
        <w:t>.</w:t>
      </w:r>
      <w:r w:rsidRPr="00F8728A">
        <w:rPr>
          <w:rFonts w:ascii="Times New Roman" w:hAnsi="Times New Roman"/>
          <w:sz w:val="24"/>
          <w:szCs w:val="24"/>
        </w:rPr>
        <w:t>”</w:t>
      </w:r>
      <w:r w:rsidRPr="00F8728A">
        <w:rPr>
          <w:rFonts w:ascii="Times New Roman" w:hAnsi="Times New Roman"/>
          <w:i/>
          <w:sz w:val="24"/>
          <w:szCs w:val="24"/>
        </w:rPr>
        <w:t xml:space="preserve"> </w:t>
      </w:r>
      <w:r w:rsidRPr="00F8728A">
        <w:rPr>
          <w:rFonts w:ascii="Times New Roman" w:hAnsi="Times New Roman"/>
          <w:sz w:val="24"/>
          <w:szCs w:val="24"/>
        </w:rPr>
        <w:t>White Paper 147/4.</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Couch, C. 2016. </w:t>
      </w:r>
      <w:r w:rsidRPr="00F8728A">
        <w:rPr>
          <w:rFonts w:ascii="Times New Roman" w:hAnsi="Times New Roman"/>
          <w:i/>
          <w:sz w:val="24"/>
          <w:szCs w:val="24"/>
        </w:rPr>
        <w:t>Urban Planning: An Introduction</w:t>
      </w:r>
      <w:r w:rsidRPr="00F8728A">
        <w:rPr>
          <w:rFonts w:ascii="Times New Roman" w:hAnsi="Times New Roman"/>
          <w:sz w:val="24"/>
          <w:szCs w:val="24"/>
        </w:rPr>
        <w:t>. Palgrave, London.</w:t>
      </w:r>
    </w:p>
    <w:p w:rsidR="00AA4661" w:rsidRPr="00F8728A" w:rsidRDefault="00AA4661" w:rsidP="00CD6367">
      <w:pPr>
        <w:spacing w:before="120" w:after="120" w:line="276" w:lineRule="auto"/>
        <w:ind w:left="720" w:hanging="720"/>
        <w:jc w:val="both"/>
        <w:rPr>
          <w:rFonts w:ascii="Times New Roman" w:hAnsi="Times New Roman"/>
          <w:color w:val="333333"/>
          <w:sz w:val="24"/>
          <w:szCs w:val="24"/>
          <w:shd w:val="clear" w:color="auto" w:fill="FFFFFF"/>
        </w:rPr>
      </w:pPr>
      <w:r w:rsidRPr="00F8728A">
        <w:rPr>
          <w:rFonts w:ascii="Times New Roman" w:hAnsi="Times New Roman"/>
          <w:sz w:val="24"/>
          <w:szCs w:val="24"/>
        </w:rPr>
        <w:t xml:space="preserve">Cullingworth, B. et al. 2010. </w:t>
      </w:r>
      <w:r w:rsidRPr="00F8728A">
        <w:rPr>
          <w:rFonts w:ascii="Times New Roman" w:hAnsi="Times New Roman"/>
          <w:i/>
          <w:sz w:val="24"/>
          <w:szCs w:val="24"/>
        </w:rPr>
        <w:t>Town and Country Planning in the U.K.</w:t>
      </w:r>
      <w:r w:rsidRPr="00F8728A">
        <w:rPr>
          <w:rFonts w:ascii="Times New Roman" w:hAnsi="Times New Roman"/>
          <w:sz w:val="24"/>
          <w:szCs w:val="24"/>
        </w:rPr>
        <w:t xml:space="preserve"> 15</w:t>
      </w:r>
      <w:r w:rsidRPr="00F8728A">
        <w:rPr>
          <w:rFonts w:ascii="Times New Roman" w:hAnsi="Times New Roman"/>
          <w:sz w:val="24"/>
          <w:szCs w:val="24"/>
          <w:vertAlign w:val="superscript"/>
        </w:rPr>
        <w:t>th</w:t>
      </w:r>
      <w:r w:rsidRPr="00F8728A">
        <w:rPr>
          <w:rFonts w:ascii="Times New Roman" w:hAnsi="Times New Roman"/>
          <w:sz w:val="24"/>
          <w:szCs w:val="24"/>
        </w:rPr>
        <w:t xml:space="preserve"> Ed. </w:t>
      </w:r>
      <w:r w:rsidRPr="00F8728A">
        <w:rPr>
          <w:rFonts w:ascii="Times New Roman" w:hAnsi="Times New Roman"/>
          <w:color w:val="333333"/>
          <w:sz w:val="24"/>
          <w:szCs w:val="24"/>
          <w:shd w:val="clear" w:color="auto" w:fill="FFFFFF"/>
        </w:rPr>
        <w:t>Routledge.</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De Bruin, K., R. B. Dellink, A. Ruijs, L. Bolwidt, A. van Buuren, J. Graveland, R. S. de Groot,  P.J. Kuikman, S. Reinhard, R. P. Roetter, V.C. Tassone, A. Verhagen, and E. C. van Ierland. 2009. “Adapting to climate change in The Netherlands: An Inventory of Climate Adaptation Options and Ranking of Alternatives.” </w:t>
      </w:r>
      <w:r w:rsidRPr="00F8728A">
        <w:rPr>
          <w:rFonts w:ascii="Times New Roman" w:hAnsi="Times New Roman"/>
          <w:i/>
          <w:sz w:val="24"/>
          <w:szCs w:val="24"/>
        </w:rPr>
        <w:t>Climate Change</w:t>
      </w:r>
      <w:r w:rsidRPr="00F8728A">
        <w:rPr>
          <w:rFonts w:ascii="Times New Roman" w:hAnsi="Times New Roman"/>
          <w:sz w:val="24"/>
          <w:szCs w:val="24"/>
        </w:rPr>
        <w:t xml:space="preserve"> 95: 23–45. </w:t>
      </w:r>
      <w:hyperlink r:id="rId49" w:history="1">
        <w:r w:rsidRPr="00F8728A">
          <w:rPr>
            <w:rStyle w:val="Hyperlink"/>
            <w:rFonts w:ascii="Times New Roman" w:hAnsi="Times New Roman"/>
            <w:sz w:val="24"/>
            <w:szCs w:val="24"/>
          </w:rPr>
          <w:t>https://www.weadapt.org/knowledge-base/economics-of-adaptation/adapting-to-climate-change-in-the-netherlands</w:t>
        </w:r>
      </w:hyperlink>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Dixit, A. 2013. </w:t>
      </w:r>
      <w:r w:rsidRPr="00F8728A">
        <w:rPr>
          <w:rFonts w:ascii="Times New Roman" w:hAnsi="Times New Roman"/>
          <w:i/>
          <w:sz w:val="24"/>
          <w:szCs w:val="24"/>
        </w:rPr>
        <w:t>From Assessment to Implementation</w:t>
      </w:r>
      <w:r w:rsidRPr="00F8728A">
        <w:rPr>
          <w:rFonts w:ascii="Times New Roman" w:hAnsi="Times New Roman"/>
          <w:sz w:val="24"/>
          <w:szCs w:val="24"/>
        </w:rPr>
        <w:t xml:space="preserve">: </w:t>
      </w:r>
      <w:r w:rsidRPr="00F8728A">
        <w:rPr>
          <w:rFonts w:ascii="Times New Roman" w:hAnsi="Times New Roman"/>
          <w:i/>
          <w:sz w:val="24"/>
          <w:szCs w:val="24"/>
        </w:rPr>
        <w:t>Approaches for Adaptation Options Analysis.</w:t>
      </w:r>
      <w:r w:rsidRPr="00F8728A">
        <w:rPr>
          <w:rFonts w:ascii="Times New Roman" w:hAnsi="Times New Roman"/>
          <w:sz w:val="24"/>
          <w:szCs w:val="24"/>
        </w:rPr>
        <w:t xml:space="preserve"> Washington, DC: U.S. Agency for International Development.</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Downes, N., H. Storch, H. Ruiner, M. Schmidt. 2011. “Spatial Indicators for Assessing Climate Risks and Opportunities within the Urban Environment of HoChiMinhCity, Vietnam” paper presented at 47th ISOCARP Congress,</w:t>
      </w:r>
      <w:r w:rsidRPr="00F8728A" w:rsidDel="008C602D">
        <w:rPr>
          <w:rFonts w:ascii="Times New Roman" w:hAnsi="Times New Roman"/>
          <w:sz w:val="24"/>
          <w:szCs w:val="24"/>
        </w:rPr>
        <w:t xml:space="preserve"> </w:t>
      </w:r>
      <w:r w:rsidRPr="00F8728A">
        <w:rPr>
          <w:rFonts w:ascii="Times New Roman" w:hAnsi="Times New Roman"/>
          <w:sz w:val="24"/>
          <w:szCs w:val="24"/>
        </w:rPr>
        <w:t xml:space="preserve">“Spatial Indicators for Assessing Climate Risks and Opportunities.”  </w:t>
      </w:r>
      <w:hyperlink r:id="rId50" w:history="1">
        <w:r w:rsidRPr="00F8728A">
          <w:rPr>
            <w:rStyle w:val="Hyperlink"/>
            <w:rFonts w:ascii="Times New Roman" w:hAnsi="Times New Roman"/>
            <w:sz w:val="24"/>
            <w:szCs w:val="24"/>
          </w:rPr>
          <w:t>http://www.isocarp.net/Data/case_studies/1928.pdf</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EC (European Commission). 1999. </w:t>
      </w:r>
      <w:r w:rsidRPr="00F8728A">
        <w:rPr>
          <w:rFonts w:ascii="Times New Roman" w:hAnsi="Times New Roman"/>
          <w:i/>
          <w:sz w:val="24"/>
          <w:szCs w:val="24"/>
        </w:rPr>
        <w:t>ESDP European Spatial Development Perspective</w:t>
      </w:r>
      <w:r w:rsidRPr="00F8728A">
        <w:rPr>
          <w:rFonts w:ascii="Times New Roman" w:hAnsi="Times New Roman"/>
          <w:sz w:val="24"/>
          <w:szCs w:val="24"/>
        </w:rPr>
        <w:t xml:space="preserve"> </w:t>
      </w:r>
      <w:r w:rsidRPr="00F8728A">
        <w:rPr>
          <w:rFonts w:ascii="Times New Roman" w:hAnsi="Times New Roman"/>
          <w:i/>
          <w:sz w:val="24"/>
          <w:szCs w:val="24"/>
        </w:rPr>
        <w:t>Towards Balanced and Sustainable Development of the Territory of the EU</w:t>
      </w:r>
      <w:r w:rsidRPr="00F8728A">
        <w:rPr>
          <w:rFonts w:ascii="Times New Roman" w:hAnsi="Times New Roman"/>
          <w:sz w:val="24"/>
          <w:szCs w:val="24"/>
        </w:rPr>
        <w:t xml:space="preserve">. Potsdam (accessed April 13, 2017), </w:t>
      </w:r>
      <w:hyperlink r:id="rId51" w:history="1">
        <w:r w:rsidRPr="00F8728A">
          <w:rPr>
            <w:rFonts w:ascii="Times New Roman" w:hAnsi="Times New Roman"/>
            <w:color w:val="0000FF"/>
            <w:sz w:val="24"/>
            <w:szCs w:val="24"/>
            <w:u w:val="single"/>
          </w:rPr>
          <w:t>http://ec.europa.eu/regional_policy/sources/docoffic/official/reports/pdf/sum_en.pdf</w:t>
        </w:r>
      </w:hyperlink>
      <w:r w:rsidRPr="00F8728A">
        <w:rPr>
          <w:rFonts w:ascii="Times New Roman" w:hAnsi="Times New Roman"/>
          <w:color w:val="0000FF"/>
          <w:sz w:val="24"/>
          <w:szCs w:val="24"/>
          <w:u w:val="single"/>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 2017. </w:t>
      </w:r>
      <w:r w:rsidRPr="00F8728A">
        <w:rPr>
          <w:rFonts w:ascii="Times New Roman" w:hAnsi="Times New Roman"/>
          <w:i/>
          <w:sz w:val="24"/>
          <w:szCs w:val="24"/>
        </w:rPr>
        <w:t>Country Report Bulgaria</w:t>
      </w:r>
      <w:r w:rsidRPr="00F8728A">
        <w:rPr>
          <w:rFonts w:ascii="Times New Roman" w:hAnsi="Times New Roman"/>
          <w:sz w:val="24"/>
          <w:szCs w:val="24"/>
        </w:rPr>
        <w:t xml:space="preserve">. </w:t>
      </w:r>
      <w:hyperlink r:id="rId52" w:history="1">
        <w:r w:rsidRPr="00F8728A">
          <w:rPr>
            <w:rFonts w:ascii="Times New Roman" w:hAnsi="Times New Roman"/>
            <w:color w:val="0000FF"/>
            <w:sz w:val="24"/>
            <w:szCs w:val="24"/>
            <w:u w:val="single"/>
          </w:rPr>
          <w:t>http://eur-lex.europa.eu/legal-content/EN/TXT/?uri=CELEX:52017SC0035</w:t>
        </w:r>
      </w:hyperlink>
      <w:r w:rsidRPr="00F8728A">
        <w:rPr>
          <w:rFonts w:ascii="Times New Roman" w:hAnsi="Times New Roman"/>
          <w:color w:val="0000FF"/>
          <w:sz w:val="24"/>
          <w:szCs w:val="24"/>
          <w:u w:val="single"/>
        </w:rPr>
        <w:t>.</w:t>
      </w:r>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EC (European Commission) European Construction Sector Observatory. 2016. </w:t>
      </w:r>
      <w:r w:rsidRPr="00F8728A">
        <w:rPr>
          <w:rFonts w:ascii="Times New Roman" w:hAnsi="Times New Roman"/>
          <w:i/>
          <w:sz w:val="24"/>
          <w:szCs w:val="24"/>
        </w:rPr>
        <w:t>Country Profile Bulgaria</w:t>
      </w:r>
      <w:r w:rsidRPr="00F8728A">
        <w:rPr>
          <w:rFonts w:ascii="Times New Roman" w:hAnsi="Times New Roman"/>
          <w:sz w:val="24"/>
          <w:szCs w:val="24"/>
        </w:rPr>
        <w:t xml:space="preserve">. </w:t>
      </w:r>
      <w:hyperlink r:id="rId53" w:history="1">
        <w:r w:rsidRPr="00F8728A">
          <w:rPr>
            <w:rFonts w:ascii="Times New Roman" w:hAnsi="Times New Roman"/>
            <w:color w:val="0000FF"/>
            <w:sz w:val="24"/>
            <w:szCs w:val="24"/>
            <w:u w:val="single"/>
          </w:rPr>
          <w:t>http://ec.europa.eu/growth/sectors/construction/observatory_en</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color w:val="244061"/>
          <w:sz w:val="24"/>
          <w:szCs w:val="24"/>
        </w:rPr>
      </w:pPr>
      <w:r w:rsidRPr="00F8728A">
        <w:rPr>
          <w:rFonts w:ascii="Times New Roman" w:hAnsi="Times New Roman"/>
          <w:sz w:val="24"/>
          <w:szCs w:val="24"/>
        </w:rPr>
        <w:t xml:space="preserve">EEA (European Environment Agency). 2013. </w:t>
      </w:r>
      <w:r w:rsidRPr="00F8728A">
        <w:rPr>
          <w:rFonts w:ascii="Times New Roman" w:hAnsi="Times New Roman"/>
          <w:i/>
          <w:sz w:val="24"/>
          <w:szCs w:val="24"/>
        </w:rPr>
        <w:t>Adaptation in Europe</w:t>
      </w:r>
      <w:r w:rsidRPr="00F8728A">
        <w:rPr>
          <w:rFonts w:ascii="Times New Roman" w:hAnsi="Times New Roman"/>
          <w:sz w:val="24"/>
          <w:szCs w:val="24"/>
        </w:rPr>
        <w:t xml:space="preserve"> - </w:t>
      </w:r>
      <w:r w:rsidRPr="00F8728A">
        <w:rPr>
          <w:rFonts w:ascii="Times New Roman" w:hAnsi="Times New Roman"/>
          <w:i/>
          <w:sz w:val="24"/>
          <w:szCs w:val="24"/>
        </w:rPr>
        <w:t>Addressing Risks and Opportunities from Climate Change in the Context of Socioeconomic Developments</w:t>
      </w:r>
      <w:r w:rsidRPr="00F8728A">
        <w:rPr>
          <w:rFonts w:ascii="Times New Roman" w:hAnsi="Times New Roman"/>
          <w:color w:val="244061"/>
          <w:sz w:val="24"/>
          <w:szCs w:val="24"/>
        </w:rPr>
        <w:t xml:space="preserve">. </w:t>
      </w:r>
      <w:hyperlink r:id="rId54" w:history="1">
        <w:r w:rsidRPr="00F8728A">
          <w:rPr>
            <w:rFonts w:ascii="Times New Roman" w:hAnsi="Times New Roman"/>
            <w:color w:val="0000FF"/>
            <w:sz w:val="24"/>
            <w:szCs w:val="24"/>
            <w:u w:val="single"/>
          </w:rPr>
          <w:t>https://www.eea.europa.eu/publications/adaptation-in-europe</w:t>
        </w:r>
      </w:hyperlink>
      <w:r w:rsidRPr="00F8728A">
        <w:rPr>
          <w:rFonts w:ascii="Times New Roman" w:hAnsi="Times New Roman"/>
          <w:color w:val="244061"/>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 2015. </w:t>
      </w:r>
      <w:r w:rsidRPr="00F8728A">
        <w:rPr>
          <w:rFonts w:ascii="Times New Roman" w:hAnsi="Times New Roman"/>
          <w:i/>
          <w:sz w:val="24"/>
          <w:szCs w:val="24"/>
        </w:rPr>
        <w:t>Bulgaria: Policy and Legal Framework. National Adaptation Strategy</w:t>
      </w:r>
      <w:r w:rsidRPr="00F8728A">
        <w:rPr>
          <w:rFonts w:ascii="Times New Roman" w:hAnsi="Times New Roman"/>
          <w:sz w:val="24"/>
          <w:szCs w:val="24"/>
        </w:rPr>
        <w:t xml:space="preserve"> (accessed April 13, 2017), </w:t>
      </w:r>
      <w:hyperlink r:id="rId55" w:history="1">
        <w:r w:rsidRPr="00F8728A">
          <w:rPr>
            <w:rFonts w:ascii="Times New Roman" w:hAnsi="Times New Roman"/>
            <w:color w:val="0000FF"/>
            <w:sz w:val="24"/>
            <w:szCs w:val="24"/>
            <w:u w:val="single"/>
          </w:rPr>
          <w:t>http://climate-adapt.eea.europa.eu/countries/bulgaria</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i/>
          <w:sz w:val="24"/>
          <w:szCs w:val="24"/>
        </w:rPr>
      </w:pPr>
      <w:r w:rsidRPr="00F8728A">
        <w:rPr>
          <w:rFonts w:ascii="Times New Roman" w:hAnsi="Times New Roman"/>
          <w:sz w:val="24"/>
          <w:szCs w:val="24"/>
        </w:rPr>
        <w:t xml:space="preserve">———. 2016a. </w:t>
      </w:r>
      <w:r w:rsidRPr="00F8728A">
        <w:rPr>
          <w:rFonts w:ascii="Times New Roman" w:hAnsi="Times New Roman"/>
          <w:i/>
          <w:sz w:val="24"/>
          <w:szCs w:val="24"/>
        </w:rPr>
        <w:t xml:space="preserve">Urban Adaptation to Climate Change in Europe 2016. Transforming Cities in a Changing Climate. </w:t>
      </w:r>
      <w:r w:rsidRPr="00F8728A">
        <w:rPr>
          <w:rFonts w:ascii="Times New Roman" w:hAnsi="Times New Roman"/>
          <w:sz w:val="24"/>
          <w:szCs w:val="24"/>
        </w:rPr>
        <w:t xml:space="preserve">EEA Report No. 12/2016. </w:t>
      </w:r>
      <w:hyperlink r:id="rId56" w:history="1">
        <w:r w:rsidRPr="00F8728A">
          <w:rPr>
            <w:rStyle w:val="Hyperlink"/>
            <w:rFonts w:ascii="Times New Roman" w:hAnsi="Times New Roman"/>
            <w:sz w:val="24"/>
            <w:szCs w:val="24"/>
          </w:rPr>
          <w:t>https://www.eea.europa.eu/publications/urban-adaptation-2016</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2016b. “Main themes and sectors addressed in the national State of Environment report”</w:t>
      </w:r>
      <w:r w:rsidRPr="00F8728A">
        <w:rPr>
          <w:rFonts w:ascii="Times New Roman" w:hAnsi="Times New Roman"/>
          <w:i/>
          <w:sz w:val="24"/>
          <w:szCs w:val="24"/>
        </w:rPr>
        <w:t xml:space="preserve"> </w:t>
      </w:r>
      <w:r w:rsidRPr="00F8728A">
        <w:rPr>
          <w:rFonts w:ascii="Times New Roman" w:hAnsi="Times New Roman"/>
          <w:sz w:val="24"/>
          <w:szCs w:val="24"/>
        </w:rPr>
        <w:t xml:space="preserve">In </w:t>
      </w:r>
      <w:r w:rsidRPr="00F8728A">
        <w:rPr>
          <w:rFonts w:ascii="Times New Roman" w:hAnsi="Times New Roman"/>
          <w:i/>
          <w:sz w:val="24"/>
          <w:szCs w:val="24"/>
        </w:rPr>
        <w:t>Bulgaria Country Report</w:t>
      </w:r>
      <w:r w:rsidRPr="00F8728A">
        <w:rPr>
          <w:rFonts w:ascii="Times New Roman" w:hAnsi="Times New Roman"/>
          <w:sz w:val="24"/>
          <w:szCs w:val="24"/>
        </w:rPr>
        <w:t xml:space="preserve">. </w:t>
      </w:r>
      <w:hyperlink r:id="rId57" w:history="1">
        <w:r w:rsidRPr="00F8728A">
          <w:rPr>
            <w:rFonts w:ascii="Times New Roman" w:hAnsi="Times New Roman"/>
            <w:color w:val="0000FF"/>
            <w:sz w:val="24"/>
            <w:szCs w:val="24"/>
            <w:u w:val="single"/>
          </w:rPr>
          <w:t>https://www.eea.europa.eu/soer-2015/countries/bulgaria</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 2017. </w:t>
      </w:r>
      <w:r w:rsidRPr="00F8728A">
        <w:rPr>
          <w:rFonts w:ascii="Times New Roman" w:hAnsi="Times New Roman"/>
          <w:i/>
          <w:sz w:val="24"/>
          <w:szCs w:val="24"/>
        </w:rPr>
        <w:t>Climate Change, Impacts, and Vulnerability in Europe 2016: An Indicator-based Report</w:t>
      </w:r>
      <w:r w:rsidRPr="00F8728A">
        <w:rPr>
          <w:rFonts w:ascii="Times New Roman" w:hAnsi="Times New Roman"/>
          <w:sz w:val="24"/>
          <w:szCs w:val="24"/>
        </w:rPr>
        <w:t>. EEA Report No 1/2017, Copenhagen.</w:t>
      </w:r>
    </w:p>
    <w:p w:rsidR="00AA4661" w:rsidRPr="00F8728A" w:rsidRDefault="00AA4661" w:rsidP="00CD6367">
      <w:pPr>
        <w:spacing w:before="120" w:after="120" w:line="276" w:lineRule="auto"/>
        <w:ind w:left="720" w:hanging="720"/>
        <w:jc w:val="both"/>
        <w:rPr>
          <w:rFonts w:ascii="Times New Roman" w:hAnsi="Times New Roman"/>
          <w:sz w:val="24"/>
          <w:szCs w:val="24"/>
          <w:lang w:eastAsia="x-none"/>
        </w:rPr>
      </w:pPr>
      <w:r w:rsidRPr="00F8728A">
        <w:rPr>
          <w:rFonts w:ascii="Times New Roman" w:hAnsi="Times New Roman"/>
          <w:sz w:val="24"/>
          <w:szCs w:val="24"/>
        </w:rPr>
        <w:t>EEA (European Environmental Agency) and</w:t>
      </w:r>
      <w:r w:rsidRPr="00F8728A">
        <w:rPr>
          <w:rFonts w:ascii="Times New Roman" w:hAnsi="Times New Roman"/>
          <w:sz w:val="24"/>
          <w:szCs w:val="24"/>
          <w:lang w:eastAsia="x-none"/>
        </w:rPr>
        <w:t xml:space="preserve"> SOER</w:t>
      </w:r>
      <w:r w:rsidRPr="00F8728A">
        <w:rPr>
          <w:rFonts w:ascii="Times New Roman" w:hAnsi="Times New Roman"/>
          <w:i/>
          <w:sz w:val="24"/>
          <w:szCs w:val="24"/>
          <w:lang w:eastAsia="x-none"/>
        </w:rPr>
        <w:t>.</w:t>
      </w:r>
      <w:r w:rsidRPr="00F8728A">
        <w:rPr>
          <w:rFonts w:ascii="Times New Roman" w:hAnsi="Times New Roman"/>
          <w:sz w:val="24"/>
          <w:szCs w:val="24"/>
          <w:lang w:eastAsia="x-none"/>
        </w:rPr>
        <w:t xml:space="preserve"> 2015. “The European Environment - State and Outlook 2015,” European briefings, Urban systems.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Geddes, P. 1904. </w:t>
      </w:r>
      <w:r w:rsidRPr="00F8728A">
        <w:rPr>
          <w:rFonts w:ascii="Times New Roman" w:hAnsi="Times New Roman"/>
          <w:i/>
          <w:sz w:val="24"/>
          <w:szCs w:val="24"/>
        </w:rPr>
        <w:t>City Development</w:t>
      </w:r>
      <w:r w:rsidRPr="00F8728A">
        <w:rPr>
          <w:rFonts w:ascii="Times New Roman" w:hAnsi="Times New Roman"/>
          <w:sz w:val="24"/>
          <w:szCs w:val="24"/>
        </w:rPr>
        <w:t>. Saint George Press.</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Geography Institute to BAS. 2002. </w:t>
      </w:r>
      <w:r w:rsidRPr="00F8728A">
        <w:rPr>
          <w:rFonts w:ascii="Times New Roman" w:hAnsi="Times New Roman"/>
          <w:i/>
          <w:sz w:val="24"/>
          <w:szCs w:val="24"/>
        </w:rPr>
        <w:t>Geography of Bulgaria. Physical and Socioeconomic Geography</w:t>
      </w:r>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i/>
          <w:sz w:val="24"/>
          <w:szCs w:val="24"/>
        </w:rPr>
      </w:pPr>
      <w:r w:rsidRPr="00F8728A">
        <w:rPr>
          <w:rFonts w:ascii="Times New Roman" w:hAnsi="Times New Roman"/>
          <w:sz w:val="24"/>
          <w:szCs w:val="24"/>
        </w:rPr>
        <w:t xml:space="preserve">Federal Government of Germany. 2008. </w:t>
      </w:r>
      <w:r w:rsidRPr="00F8728A">
        <w:rPr>
          <w:rFonts w:ascii="Times New Roman" w:hAnsi="Times New Roman"/>
          <w:i/>
          <w:sz w:val="24"/>
          <w:szCs w:val="24"/>
        </w:rPr>
        <w:t xml:space="preserve">German Strategy for Adaptation to Climate Change.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Flanagan, B.E., E.W. Gregory, E.J. Hallisey, J.L. Heitgerd, B. Lewis 2011. A Social Vulnerability Index for disaster management Journal of Homeland Security and Emergency Management, Vol. 8 (1) (2011), 10.2202/1547-7355.1792 http://www.bepress.com/jhsem/vol8/iss1/3</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Hague, C. 1984. </w:t>
      </w:r>
      <w:r w:rsidRPr="00F8728A">
        <w:rPr>
          <w:rFonts w:ascii="Times New Roman" w:hAnsi="Times New Roman"/>
          <w:i/>
          <w:sz w:val="24"/>
          <w:szCs w:val="24"/>
        </w:rPr>
        <w:t>The Development of Planning Thought: A Critical Perspective</w:t>
      </w:r>
      <w:r w:rsidRPr="00F8728A">
        <w:rPr>
          <w:rFonts w:ascii="Times New Roman" w:hAnsi="Times New Roman"/>
          <w:sz w:val="24"/>
          <w:szCs w:val="24"/>
        </w:rPr>
        <w:t>. Hutchinson, Ed.</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shd w:val="clear" w:color="auto" w:fill="FFFFFF"/>
        </w:rPr>
        <w:t xml:space="preserve">Hall, P. 2014. </w:t>
      </w:r>
      <w:r w:rsidRPr="00F8728A">
        <w:rPr>
          <w:rFonts w:ascii="Times New Roman" w:hAnsi="Times New Roman"/>
          <w:i/>
          <w:sz w:val="24"/>
          <w:szCs w:val="24"/>
          <w:shd w:val="clear" w:color="auto" w:fill="FFFFFF"/>
        </w:rPr>
        <w:t>Cities of Tomorrow: An Intellectual History of Urban Planning and Design Since 1880,</w:t>
      </w:r>
      <w:r w:rsidRPr="00F8728A">
        <w:rPr>
          <w:rFonts w:ascii="Times New Roman" w:hAnsi="Times New Roman"/>
          <w:sz w:val="24"/>
          <w:szCs w:val="24"/>
          <w:shd w:val="clear" w:color="auto" w:fill="FFFFFF"/>
        </w:rPr>
        <w:t xml:space="preserve"> 4th Ed. Wiley-Blackwell, London</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HEAL (Health and Environment Alliance). 2014.</w:t>
      </w:r>
      <w:r w:rsidRPr="00F8728A">
        <w:rPr>
          <w:rFonts w:ascii="Times New Roman" w:hAnsi="Times New Roman"/>
          <w:i/>
          <w:sz w:val="24"/>
          <w:szCs w:val="24"/>
        </w:rPr>
        <w:t xml:space="preserve"> Air Pollution and Health in Bulgaria Facts, Figures and Recommendations. </w:t>
      </w:r>
      <w:hyperlink r:id="rId58" w:history="1">
        <w:r w:rsidRPr="00F8728A">
          <w:rPr>
            <w:rFonts w:ascii="Times New Roman" w:hAnsi="Times New Roman"/>
            <w:color w:val="0000FF"/>
            <w:sz w:val="24"/>
            <w:szCs w:val="24"/>
            <w:u w:val="single"/>
          </w:rPr>
          <w:t>http://env-health.org/IMG/pdf/heal_briefing_air_bulgaria_eng.pdf</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HM Stationery Office. 2013. </w:t>
      </w:r>
      <w:r w:rsidRPr="00F8728A">
        <w:rPr>
          <w:rFonts w:ascii="Times New Roman" w:hAnsi="Times New Roman"/>
          <w:i/>
          <w:sz w:val="24"/>
          <w:szCs w:val="24"/>
        </w:rPr>
        <w:t>The National Adaptation Programme Making the Country Resilient to a Changing Climate</w:t>
      </w:r>
      <w:r w:rsidRPr="00F8728A">
        <w:rPr>
          <w:rFonts w:ascii="Times New Roman" w:hAnsi="Times New Roman"/>
          <w:sz w:val="24"/>
          <w:szCs w:val="24"/>
        </w:rPr>
        <w:t xml:space="preserve">, London.  </w:t>
      </w:r>
      <w:hyperlink r:id="rId59" w:history="1">
        <w:r w:rsidRPr="00F8728A">
          <w:rPr>
            <w:rFonts w:ascii="Times New Roman" w:hAnsi="Times New Roman"/>
            <w:color w:val="0000FF"/>
            <w:sz w:val="24"/>
            <w:szCs w:val="24"/>
            <w:u w:val="single"/>
          </w:rPr>
          <w:t>https://www.gov.uk/government/uploads/system/uploads/attachment_data/file/209866/pb13942-nap-20130701.pdf</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Howard, L. 1818. Climate of London. Meteorological Observations.”</w:t>
      </w:r>
      <w:r w:rsidRPr="00F8728A">
        <w:rPr>
          <w:rFonts w:ascii="Times New Roman" w:hAnsi="Times New Roman"/>
          <w:i/>
          <w:sz w:val="24"/>
          <w:szCs w:val="24"/>
        </w:rPr>
        <w:t xml:space="preserve"> Made at Different Places</w:t>
      </w:r>
      <w:r w:rsidRPr="00F8728A">
        <w:rPr>
          <w:rFonts w:ascii="Times New Roman" w:hAnsi="Times New Roman"/>
          <w:sz w:val="24"/>
          <w:szCs w:val="24"/>
        </w:rPr>
        <w:t xml:space="preserve">. Vol. I (accessed April 17, 2017), </w:t>
      </w:r>
      <w:hyperlink r:id="rId60" w:anchor="page/n4/mode/2up" w:history="1">
        <w:r w:rsidRPr="00F8728A">
          <w:rPr>
            <w:rFonts w:ascii="Times New Roman" w:hAnsi="Times New Roman"/>
            <w:color w:val="0000FF"/>
            <w:sz w:val="24"/>
            <w:szCs w:val="24"/>
            <w:u w:val="single"/>
          </w:rPr>
          <w:t>https://archive.org/stream/climatelondon00howagoog#page/n4/mode/2up</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Hulme, M., G.J. Jenkins, X. Lu, J.R. Turnpenny, T.D. Mitchell, R.G. Jones, J. Lowe, J.M. Murphy, D. Hassel, P. Boorman, R. McDonal, S. Hill, S. 2002 Climate Change Scenarios for the United Kingdom: The UKCIP02 Scientific Report. Tyndall Centre for Climate Change Research, School of Environmental Sciences, University of East Anglia, Norwich, UK. 120pp</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Hunt, A. and P. Watkiss. 2010. </w:t>
      </w:r>
      <w:r w:rsidRPr="00F8728A">
        <w:rPr>
          <w:rFonts w:ascii="Times New Roman" w:hAnsi="Times New Roman"/>
          <w:i/>
          <w:sz w:val="24"/>
          <w:szCs w:val="24"/>
        </w:rPr>
        <w:t xml:space="preserve">Climate Change Impacts and Adaptation in Cities: A Review of the Literature </w:t>
      </w:r>
      <w:r w:rsidRPr="00F8728A">
        <w:rPr>
          <w:rFonts w:ascii="Times New Roman" w:hAnsi="Times New Roman"/>
          <w:sz w:val="24"/>
          <w:szCs w:val="24"/>
        </w:rPr>
        <w:t xml:space="preserve">(accessed by April 21, 2017),  </w:t>
      </w:r>
      <w:hyperlink r:id="rId61" w:history="1">
        <w:r w:rsidRPr="00F8728A">
          <w:rPr>
            <w:rFonts w:ascii="Times New Roman" w:hAnsi="Times New Roman"/>
            <w:color w:val="0000FF"/>
            <w:sz w:val="24"/>
            <w:szCs w:val="24"/>
            <w:u w:val="single"/>
          </w:rPr>
          <w:t>http://link.springer.com/article/10.1007/s10584-010-9975-6</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color w:val="244061"/>
          <w:sz w:val="24"/>
          <w:szCs w:val="24"/>
        </w:rPr>
      </w:pPr>
      <w:r w:rsidRPr="00F8728A">
        <w:rPr>
          <w:rFonts w:ascii="Times New Roman" w:hAnsi="Times New Roman"/>
          <w:sz w:val="24"/>
          <w:szCs w:val="24"/>
        </w:rPr>
        <w:t xml:space="preserve">IPCC (Intergovernmental Panel on Climate Change). 2014. </w:t>
      </w:r>
      <w:r w:rsidRPr="00F8728A">
        <w:rPr>
          <w:rFonts w:ascii="Times New Roman" w:hAnsi="Times New Roman"/>
          <w:i/>
          <w:sz w:val="24"/>
          <w:szCs w:val="24"/>
        </w:rPr>
        <w:t>Climate Change 2014: Impacts, Adaptation, and Vulnerability</w:t>
      </w:r>
      <w:r w:rsidRPr="00F8728A">
        <w:rPr>
          <w:rFonts w:ascii="Times New Roman" w:hAnsi="Times New Roman"/>
          <w:sz w:val="24"/>
          <w:szCs w:val="24"/>
        </w:rPr>
        <w:t xml:space="preserve">. Part A: Global and Sectoral Aspects. Contribution of Working Group II to the Fifth Assessment Report of the IPCC [Field, C.B., V.R. Barros, D.J. Dokken, K.J. Mach, M.D. Mastrandrea, T.E. Bilir, M. Chatterjee, K.L. Ebi, Y.O. Estrada, R.C. Genova, B. Girma, E.S. Kissel, A.N. Levy, S. MacCracken, P.R. Mastrandrea, and L.L.White (eds.)]. Cambridge University Press, Cambridge, United Kingdom and New York, NY, United States of America, p.1132. </w:t>
      </w:r>
      <w:hyperlink r:id="rId62" w:history="1">
        <w:r w:rsidRPr="00F8728A">
          <w:rPr>
            <w:rFonts w:ascii="Times New Roman" w:hAnsi="Times New Roman"/>
            <w:color w:val="0000FF"/>
            <w:sz w:val="24"/>
            <w:szCs w:val="24"/>
            <w:u w:val="single"/>
          </w:rPr>
          <w:t>https://www.ipcc.ch/pdf/assessment-report/ar5/wg2/WGIIAR5-Chap14_FINAL.pdf</w:t>
        </w:r>
      </w:hyperlink>
      <w:r w:rsidRPr="00F8728A">
        <w:rPr>
          <w:rFonts w:ascii="Times New Roman" w:hAnsi="Times New Roman"/>
          <w:color w:val="244061"/>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Ivanov, P., B. Berov, N. Dobrev, R. Varbanov, M. Krastanov, R. Frangov. 2017. Analysis, Assessment, and Mapping of Geological Risks Stage II. Geological Risks Mapping Institute of Geology, BAS.</w:t>
      </w:r>
    </w:p>
    <w:p w:rsidR="00AA4661" w:rsidRPr="00F8728A" w:rsidRDefault="00AA4661" w:rsidP="00CD6367">
      <w:pPr>
        <w:spacing w:before="120" w:after="120" w:line="276" w:lineRule="auto"/>
        <w:ind w:left="720" w:hanging="720"/>
        <w:jc w:val="both"/>
        <w:rPr>
          <w:rFonts w:ascii="Times New Roman" w:hAnsi="Times New Roman"/>
          <w:color w:val="0000FF"/>
          <w:sz w:val="24"/>
          <w:szCs w:val="24"/>
          <w:u w:val="single"/>
        </w:rPr>
      </w:pPr>
      <w:r w:rsidRPr="00F8728A">
        <w:rPr>
          <w:rFonts w:ascii="Times New Roman" w:hAnsi="Times New Roman"/>
          <w:sz w:val="24"/>
          <w:szCs w:val="24"/>
        </w:rPr>
        <w:t xml:space="preserve">Jacobus, A. and Du Pisani. 2006. “Sustainable Development – Historical Roots of the Concept.” </w:t>
      </w:r>
      <w:r w:rsidRPr="00F8728A">
        <w:rPr>
          <w:rFonts w:ascii="Times New Roman" w:hAnsi="Times New Roman"/>
          <w:i/>
          <w:sz w:val="24"/>
          <w:szCs w:val="24"/>
        </w:rPr>
        <w:t>Environmental Sciences</w:t>
      </w:r>
      <w:r w:rsidRPr="00F8728A">
        <w:rPr>
          <w:rFonts w:ascii="Times New Roman" w:hAnsi="Times New Roman"/>
          <w:sz w:val="24"/>
          <w:szCs w:val="24"/>
        </w:rPr>
        <w:t xml:space="preserve"> 3 (2): 83–96, doi: 10.1080/15693430600688831 </w:t>
      </w:r>
      <w:hyperlink r:id="rId63" w:history="1">
        <w:r w:rsidRPr="00F8728A">
          <w:rPr>
            <w:rFonts w:ascii="Times New Roman" w:hAnsi="Times New Roman"/>
            <w:color w:val="0000FF"/>
            <w:sz w:val="24"/>
            <w:szCs w:val="24"/>
            <w:u w:val="single"/>
          </w:rPr>
          <w:t>http://dx.doi.org/10.1080/15693430600688831</w:t>
        </w:r>
      </w:hyperlink>
      <w:r w:rsidRPr="00F8728A">
        <w:rPr>
          <w:rFonts w:ascii="Times New Roman" w:hAnsi="Times New Roman"/>
          <w:color w:val="0000FF"/>
          <w:sz w:val="24"/>
          <w:szCs w:val="24"/>
          <w:u w:val="single"/>
        </w:rPr>
        <w:t>.</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Jankowski, P. and T. Nyerges. 2014. </w:t>
      </w:r>
      <w:r w:rsidRPr="00F8728A">
        <w:rPr>
          <w:rFonts w:ascii="Times New Roman" w:hAnsi="Times New Roman"/>
          <w:i/>
          <w:sz w:val="24"/>
          <w:szCs w:val="24"/>
        </w:rPr>
        <w:t>Geographic Information Systems for Group Decision Making</w:t>
      </w:r>
      <w:r w:rsidRPr="00F8728A">
        <w:rPr>
          <w:rFonts w:ascii="Times New Roman" w:hAnsi="Times New Roman"/>
          <w:sz w:val="24"/>
          <w:szCs w:val="24"/>
        </w:rPr>
        <w:t>. Taylor and Francis: London and New York.</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Keskitalo, E (ed.) 2010. </w:t>
      </w:r>
      <w:r w:rsidRPr="00F8728A">
        <w:rPr>
          <w:rFonts w:ascii="Times New Roman" w:hAnsi="Times New Roman"/>
          <w:i/>
          <w:sz w:val="24"/>
          <w:szCs w:val="24"/>
        </w:rPr>
        <w:t>Developing Adaptation Policy and Practice in Europe</w:t>
      </w:r>
      <w:r w:rsidRPr="00F8728A">
        <w:rPr>
          <w:rFonts w:ascii="Times New Roman" w:hAnsi="Times New Roman"/>
          <w:sz w:val="24"/>
          <w:szCs w:val="24"/>
        </w:rPr>
        <w:t xml:space="preserve">. </w:t>
      </w:r>
      <w:r w:rsidRPr="00F8728A">
        <w:rPr>
          <w:rFonts w:ascii="Times New Roman" w:hAnsi="Times New Roman"/>
          <w:i/>
          <w:sz w:val="24"/>
          <w:szCs w:val="24"/>
        </w:rPr>
        <w:t>Multi-Level Governance in Climate Change. Springer</w:t>
      </w:r>
      <w:r w:rsidRPr="00F8728A">
        <w:rPr>
          <w:rFonts w:ascii="Times New Roman" w:hAnsi="Times New Roman"/>
          <w:sz w:val="24"/>
          <w:szCs w:val="24"/>
        </w:rPr>
        <w:t xml:space="preserve"> </w:t>
      </w:r>
      <w:hyperlink r:id="rId64" w:anchor="v=onepage&amp;q=Current%20institutionalisation%20of%20the%20Climate%20Change%20adaptation%20in%20the%20UK&amp;f=false" w:history="1">
        <w:r w:rsidRPr="00F8728A">
          <w:rPr>
            <w:rFonts w:ascii="Times New Roman" w:hAnsi="Times New Roman"/>
            <w:color w:val="0000FF"/>
            <w:sz w:val="24"/>
            <w:szCs w:val="24"/>
            <w:u w:val="single"/>
          </w:rPr>
          <w:t>https://books.google.bg/books?id=H78uqYbtXSoC&amp;pg=PA113&amp;lpg=PA113&amp;dq=Current+institutionalisation+of+the+Climate+Change+adaptation+in+the+UK&amp;source=bl&amp;ots=UKPlJ4rMIH&amp;sig=cmnJEtOKytWkblUNRMO24kBTxcI&amp;hl=bg&amp;sa=X&amp;ved=0ahUKEwj0vv3qtbrTAhWDFCwKHSuaDrgQ6AEIOTAB#v=onepage&amp;q=Current%20institutionalisation%20of%20the%20Climate%20Change%20adaptation%20in%20the%20UK&amp;f=false</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Le Treut, H., R. Somerville, U. Cubasch, Y. Ding, C. Mauritzen, A. Mokssit, T. Peterson, and M. Prather. 2007. “Historical Overview of Climate Change.” In </w:t>
      </w:r>
      <w:r w:rsidRPr="00F8728A">
        <w:rPr>
          <w:rFonts w:ascii="Times New Roman" w:hAnsi="Times New Roman"/>
          <w:i/>
          <w:sz w:val="24"/>
          <w:szCs w:val="24"/>
        </w:rPr>
        <w:t>Climate Change 2007: The Physical Science Basis.</w:t>
      </w:r>
      <w:r w:rsidRPr="00F8728A">
        <w:rPr>
          <w:rFonts w:ascii="Times New Roman" w:hAnsi="Times New Roman"/>
          <w:sz w:val="24"/>
          <w:szCs w:val="24"/>
        </w:rPr>
        <w:t xml:space="preserve"> Contribution of Working Group I to the Fourth Assessment Report of the IPCC (Intergovernmental Panel on Climate Change) [Solomon, S., D. Qin, M. Manning, Z. Chen, M. Marquis, K.B. Averyt, M. Tignor and H.L. Miller (eds.)]. Cambridge University Press, Cambridge, United Kingdom and New York, NY, United States of America. </w:t>
      </w:r>
      <w:hyperlink r:id="rId65" w:history="1">
        <w:r w:rsidRPr="00F8728A">
          <w:rPr>
            <w:rStyle w:val="Hyperlink"/>
            <w:rFonts w:ascii="Times New Roman" w:hAnsi="Times New Roman"/>
            <w:sz w:val="24"/>
            <w:szCs w:val="24"/>
          </w:rPr>
          <w:t>https://www.ipcc.ch/pdf/assessment-report/ar4/wg1/ar4-wg1-chapter1.pdf</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Lee, T., E. Markowitz, P.D. Howe, C. Ko, A. Leiserowitz. 2015. “Predictors of Public Climate Change Awareness and Risk Perception Around the World.” </w:t>
      </w:r>
      <w:r w:rsidRPr="00F8728A">
        <w:rPr>
          <w:rFonts w:ascii="Times New Roman" w:hAnsi="Times New Roman"/>
          <w:i/>
          <w:sz w:val="24"/>
          <w:szCs w:val="24"/>
        </w:rPr>
        <w:t>Nature Climate Change</w:t>
      </w:r>
      <w:r w:rsidRPr="00F8728A">
        <w:rPr>
          <w:rFonts w:ascii="Times New Roman" w:hAnsi="Times New Roman"/>
          <w:sz w:val="24"/>
          <w:szCs w:val="24"/>
        </w:rPr>
        <w:t xml:space="preserve"> 5: 1014–1020.</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Maneva, E., B. Kamenova, I. Grozeva, M. Dimitrova, and S. Zhekova. 2012. </w:t>
      </w:r>
      <w:r w:rsidRPr="00F8728A">
        <w:rPr>
          <w:rFonts w:ascii="Times New Roman" w:hAnsi="Times New Roman"/>
          <w:i/>
          <w:sz w:val="24"/>
          <w:szCs w:val="24"/>
        </w:rPr>
        <w:t>Third National Climate Change Action Plan for the Period 2013–2020</w:t>
      </w:r>
      <w:r w:rsidRPr="00F8728A">
        <w:rPr>
          <w:rFonts w:ascii="Times New Roman" w:hAnsi="Times New Roman"/>
          <w:sz w:val="24"/>
          <w:szCs w:val="24"/>
        </w:rPr>
        <w:t>. MoEW (Ministry of Environment and Water, Sofia.</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Maneva, V and V. Ivanov. 2016. </w:t>
      </w:r>
      <w:r w:rsidRPr="00F8728A">
        <w:rPr>
          <w:rFonts w:ascii="Times New Roman" w:hAnsi="Times New Roman"/>
          <w:i/>
          <w:sz w:val="24"/>
          <w:szCs w:val="24"/>
        </w:rPr>
        <w:t>The Methodology for Energy Efficient Housing Areas</w:t>
      </w:r>
      <w:r w:rsidRPr="00F8728A">
        <w:rPr>
          <w:rFonts w:ascii="Times New Roman" w:hAnsi="Times New Roman"/>
          <w:sz w:val="24"/>
          <w:szCs w:val="24"/>
        </w:rPr>
        <w:t xml:space="preserve">. Annual of the University of Architecture, Civil Engineering and Geodesy, Sofia. 49 (1): 9–24. </w:t>
      </w:r>
    </w:p>
    <w:p w:rsidR="00AA4661" w:rsidRPr="00F8728A" w:rsidRDefault="00AA4661" w:rsidP="00587E08">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MI (Ministry of the Interior). 2011. </w:t>
      </w:r>
      <w:r w:rsidRPr="00F8728A">
        <w:rPr>
          <w:rFonts w:ascii="Times New Roman" w:hAnsi="Times New Roman"/>
          <w:i/>
          <w:sz w:val="24"/>
          <w:szCs w:val="24"/>
        </w:rPr>
        <w:t>Climate-Friendly Cities - A Handbook on the Tasks and Possibilities of the European Cities in Relation to Climate Change</w:t>
      </w:r>
      <w:r w:rsidRPr="00F8728A">
        <w:rPr>
          <w:rFonts w:ascii="Times New Roman" w:hAnsi="Times New Roman"/>
          <w:sz w:val="24"/>
          <w:szCs w:val="24"/>
        </w:rPr>
        <w:t xml:space="preserve">. Budapest, Hungary. </w:t>
      </w:r>
      <w:hyperlink r:id="rId66" w:history="1">
        <w:r w:rsidRPr="00F8728A">
          <w:rPr>
            <w:rFonts w:ascii="Times New Roman" w:hAnsi="Times New Roman"/>
            <w:color w:val="0000FF"/>
            <w:sz w:val="24"/>
            <w:szCs w:val="24"/>
            <w:u w:val="single"/>
          </w:rPr>
          <w:t>http://www.eukn.eu/fileadmin/Files/EU_Presidencies/Hungarian_Presidency/Climate-friendly_cities_2011.pdf</w:t>
        </w:r>
      </w:hyperlink>
      <w:r w:rsidRPr="00F8728A">
        <w:rPr>
          <w:rFonts w:ascii="Times New Roman" w:hAnsi="Times New Roman"/>
          <w:sz w:val="24"/>
          <w:szCs w:val="24"/>
        </w:rPr>
        <w:t xml:space="preserve"> </w:t>
      </w:r>
    </w:p>
    <w:p w:rsidR="00AA4661" w:rsidRPr="00F8728A" w:rsidRDefault="00AA4661" w:rsidP="00587E08">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MLSP (Ministry of Labour and Social Policy), 2013. </w:t>
      </w:r>
      <w:r w:rsidRPr="00F8728A">
        <w:rPr>
          <w:rFonts w:ascii="Times New Roman" w:hAnsi="Times New Roman"/>
          <w:i/>
          <w:sz w:val="24"/>
          <w:szCs w:val="24"/>
        </w:rPr>
        <w:t xml:space="preserve">National Strategy for Reducing Poverty and Promoting Social Inclusion 2020. </w:t>
      </w:r>
      <w:hyperlink r:id="rId67" w:history="1">
        <w:r w:rsidRPr="00F8728A">
          <w:rPr>
            <w:rStyle w:val="Hyperlink"/>
            <w:rFonts w:ascii="Times New Roman" w:hAnsi="Times New Roman"/>
            <w:sz w:val="24"/>
            <w:szCs w:val="24"/>
          </w:rPr>
          <w:t>https://www.mlsp.government.bg/index.php?section=POLICIES&amp;lang=_eng&amp;P=279</w:t>
        </w:r>
      </w:hyperlink>
      <w:r w:rsidRPr="00F8728A">
        <w:rPr>
          <w:rFonts w:ascii="Times New Roman" w:hAnsi="Times New Roman"/>
          <w:sz w:val="24"/>
          <w:szCs w:val="24"/>
        </w:rPr>
        <w:t xml:space="preserve">  (Accessed January, 14, 2018)</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MoEW (Ministry of Environment and Waters). [no date].</w:t>
      </w:r>
      <w:r w:rsidRPr="00F8728A">
        <w:rPr>
          <w:rFonts w:ascii="Times New Roman" w:hAnsi="Times New Roman"/>
          <w:i/>
          <w:sz w:val="24"/>
          <w:szCs w:val="24"/>
        </w:rPr>
        <w:t xml:space="preserve"> Summary of Implementation Program</w:t>
      </w:r>
      <w:r w:rsidRPr="00F8728A">
        <w:rPr>
          <w:rFonts w:ascii="Times New Roman" w:hAnsi="Times New Roman"/>
          <w:sz w:val="24"/>
          <w:szCs w:val="24"/>
        </w:rPr>
        <w:t>. MoEW, Sofia.</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 2014a. </w:t>
      </w:r>
      <w:r w:rsidRPr="00F8728A">
        <w:rPr>
          <w:rFonts w:ascii="Times New Roman" w:hAnsi="Times New Roman"/>
          <w:i/>
          <w:sz w:val="24"/>
          <w:szCs w:val="24"/>
        </w:rPr>
        <w:t>Analysis and Assessment of the Risk and Vulnerability of the Sectors in Bulgarian Economy</w:t>
      </w:r>
      <w:r w:rsidRPr="00F8728A">
        <w:rPr>
          <w:rFonts w:ascii="Times New Roman" w:hAnsi="Times New Roman"/>
          <w:sz w:val="24"/>
          <w:szCs w:val="24"/>
        </w:rPr>
        <w:t xml:space="preserve">. </w:t>
      </w:r>
      <w:hyperlink r:id="rId68" w:history="1">
        <w:r w:rsidRPr="00F8728A">
          <w:rPr>
            <w:rFonts w:ascii="Times New Roman" w:hAnsi="Times New Roman"/>
            <w:color w:val="0000FF"/>
            <w:sz w:val="24"/>
            <w:szCs w:val="24"/>
            <w:u w:val="single"/>
          </w:rPr>
          <w:t>http://www5.moew.government.bg/wp-content/uploads/file/Climate/Specialna_chat.pdf</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 2014b. </w:t>
      </w:r>
      <w:r w:rsidRPr="00F8728A">
        <w:rPr>
          <w:rFonts w:ascii="Times New Roman" w:hAnsi="Times New Roman"/>
          <w:i/>
          <w:sz w:val="24"/>
          <w:szCs w:val="24"/>
        </w:rPr>
        <w:t>Risk and Vulnerability Analysis and Assessment of the Bulgarian Economic Sectors to Climate Change</w:t>
      </w:r>
      <w:r w:rsidRPr="00F8728A">
        <w:rPr>
          <w:rFonts w:ascii="Times New Roman" w:hAnsi="Times New Roman"/>
          <w:sz w:val="24"/>
          <w:szCs w:val="24"/>
        </w:rPr>
        <w:t>. MoEW, Sofia.</w:t>
      </w:r>
    </w:p>
    <w:p w:rsidR="00AA4661" w:rsidRPr="00F8728A" w:rsidRDefault="00AA4661" w:rsidP="00587E08">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MRDPW (Ministry of Regional Development and Public Works). 2011. National Strategy for regional Development of the Republic of Bulgaria (2012 – 2022). MRDPW, Sofia. </w:t>
      </w:r>
      <w:hyperlink r:id="rId69" w:history="1">
        <w:r w:rsidRPr="00F8728A">
          <w:rPr>
            <w:rStyle w:val="Hyperlink"/>
            <w:rFonts w:ascii="Times New Roman" w:hAnsi="Times New Roman"/>
            <w:sz w:val="24"/>
            <w:szCs w:val="24"/>
          </w:rPr>
          <w:t>http://www.mrrb.government.bg/docs/310bfbe48ed5017ab7b4e386b01ca437.doc</w:t>
        </w:r>
      </w:hyperlink>
      <w:r w:rsidRPr="00F8728A">
        <w:rPr>
          <w:rFonts w:ascii="Times New Roman" w:hAnsi="Times New Roman"/>
          <w:sz w:val="24"/>
          <w:szCs w:val="24"/>
        </w:rPr>
        <w:t xml:space="preserve"> 2012a. National Concept for Spatial Development for the Period 2013–2025 (Accessed June 5, 2017),   http://www.bgregio.eu/media/programirane/nkpr_28012013_last_en.pdf .</w:t>
      </w:r>
    </w:p>
    <w:p w:rsidR="00AA4661" w:rsidRPr="00F8728A" w:rsidRDefault="00AA4661" w:rsidP="00CD6367">
      <w:pPr>
        <w:spacing w:before="120" w:after="120" w:line="276" w:lineRule="auto"/>
        <w:ind w:left="720" w:hanging="720"/>
        <w:jc w:val="both"/>
        <w:rPr>
          <w:rFonts w:ascii="Times New Roman" w:hAnsi="Times New Roman"/>
          <w:sz w:val="24"/>
          <w:szCs w:val="24"/>
          <w:lang w:eastAsia="x-none"/>
        </w:rPr>
      </w:pPr>
      <w:r w:rsidRPr="00F8728A">
        <w:rPr>
          <w:rFonts w:ascii="Times New Roman" w:hAnsi="Times New Roman"/>
          <w:sz w:val="24"/>
          <w:szCs w:val="24"/>
          <w:lang w:eastAsia="x-none"/>
        </w:rPr>
        <w:t xml:space="preserve">Moon, K., N. Downes, H. Ruiner, H. Storch. 2009. </w:t>
      </w:r>
      <w:r w:rsidRPr="00F8728A">
        <w:rPr>
          <w:rFonts w:ascii="Times New Roman" w:hAnsi="Times New Roman"/>
          <w:i/>
          <w:sz w:val="24"/>
          <w:szCs w:val="24"/>
          <w:lang w:eastAsia="x-none"/>
        </w:rPr>
        <w:t>Adaptation of the Urban Structure Type Approach for the Assessment of Climate Change Risks</w:t>
      </w:r>
      <w:r w:rsidRPr="00F8728A">
        <w:rPr>
          <w:rFonts w:ascii="Times New Roman" w:hAnsi="Times New Roman"/>
          <w:sz w:val="24"/>
          <w:szCs w:val="24"/>
          <w:lang w:eastAsia="x-none"/>
        </w:rPr>
        <w:t xml:space="preserve">. </w:t>
      </w:r>
      <w:hyperlink r:id="rId70" w:history="1">
        <w:r w:rsidRPr="00F8728A">
          <w:rPr>
            <w:rFonts w:ascii="Times New Roman" w:hAnsi="Times New Roman"/>
            <w:color w:val="0000FF"/>
            <w:sz w:val="24"/>
            <w:szCs w:val="24"/>
            <w:u w:val="single"/>
            <w:lang w:eastAsia="x-none"/>
          </w:rPr>
          <w:t>http://www.isocarp.net/Data/case_studies/1596.pdf</w:t>
        </w:r>
      </w:hyperlink>
      <w:r w:rsidRPr="00F8728A">
        <w:rPr>
          <w:rFonts w:ascii="Times New Roman" w:hAnsi="Times New Roman"/>
          <w:sz w:val="24"/>
          <w:szCs w:val="24"/>
          <w:lang w:eastAsia="x-none"/>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Morlot J., C. Clapp. 2010. </w:t>
      </w:r>
      <w:r w:rsidRPr="00F8728A">
        <w:rPr>
          <w:rFonts w:ascii="Times New Roman" w:hAnsi="Times New Roman"/>
          <w:i/>
          <w:sz w:val="24"/>
          <w:szCs w:val="24"/>
        </w:rPr>
        <w:t>Multilevel Risk Governance and Urban Adaptation Policy</w:t>
      </w:r>
      <w:r w:rsidRPr="00F8728A">
        <w:rPr>
          <w:rFonts w:ascii="Times New Roman" w:hAnsi="Times New Roman"/>
          <w:sz w:val="24"/>
          <w:szCs w:val="24"/>
        </w:rPr>
        <w:t xml:space="preserve"> (accessed April 21, 2017), </w:t>
      </w:r>
      <w:hyperlink r:id="rId71" w:history="1">
        <w:r w:rsidRPr="00F8728A">
          <w:rPr>
            <w:rFonts w:ascii="Times New Roman" w:hAnsi="Times New Roman"/>
            <w:color w:val="0000FF"/>
            <w:sz w:val="24"/>
            <w:szCs w:val="24"/>
            <w:u w:val="single"/>
          </w:rPr>
          <w:t>http://link.springer.com/article/10.1007/s10584-010-9980-9</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lang w:eastAsia="x-none"/>
        </w:rPr>
      </w:pPr>
      <w:r w:rsidRPr="00F8728A">
        <w:rPr>
          <w:rFonts w:ascii="Times New Roman" w:hAnsi="Times New Roman"/>
          <w:i/>
          <w:sz w:val="24"/>
          <w:szCs w:val="24"/>
          <w:lang w:eastAsia="x-none"/>
        </w:rPr>
        <w:t>Municipal Property Act.</w:t>
      </w:r>
      <w:r w:rsidRPr="00F8728A">
        <w:rPr>
          <w:rFonts w:ascii="Times New Roman" w:hAnsi="Times New Roman"/>
          <w:sz w:val="24"/>
          <w:szCs w:val="24"/>
          <w:lang w:eastAsia="x-none"/>
        </w:rPr>
        <w:t xml:space="preserve"> Adopted in 1996. Last amended SG No. 13/07.02.2017.</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Nachmany, M., S. Fankhauser, J. Davidová, N. Kingsmill, T. Landesman, N. Roppongi, P. Schleifer, J. Setzer, A. Sharman, S. Singleton, J. Sundaresan, T. Townshend.2015. </w:t>
      </w:r>
      <w:r w:rsidRPr="00F8728A">
        <w:rPr>
          <w:rFonts w:ascii="Times New Roman" w:hAnsi="Times New Roman"/>
          <w:i/>
          <w:sz w:val="24"/>
          <w:szCs w:val="24"/>
        </w:rPr>
        <w:t>The 2015 Global Climate Legislation Study. A Review of Climate Change Legislation in 99 Countries</w:t>
      </w:r>
      <w:r w:rsidRPr="00F8728A">
        <w:rPr>
          <w:rFonts w:ascii="Times New Roman" w:hAnsi="Times New Roman"/>
          <w:sz w:val="24"/>
          <w:szCs w:val="24"/>
        </w:rPr>
        <w:t xml:space="preserve">. Grantham Research Institute on Climate Change and Environment. </w:t>
      </w:r>
      <w:hyperlink r:id="rId72" w:history="1">
        <w:r w:rsidRPr="00F8728A">
          <w:rPr>
            <w:rFonts w:ascii="Times New Roman" w:hAnsi="Times New Roman"/>
            <w:color w:val="0000FF"/>
            <w:sz w:val="24"/>
            <w:szCs w:val="24"/>
            <w:u w:val="single"/>
          </w:rPr>
          <w:t>http://www.lse.ac.uk/GranthamInstitute/wp-content/uploads/2015/05/SWEDEN.pdf</w:t>
        </w:r>
      </w:hyperlink>
      <w:r w:rsidRPr="00F8728A">
        <w:rPr>
          <w:rFonts w:ascii="Times New Roman" w:hAnsi="Times New Roman"/>
          <w:color w:val="0000FF"/>
          <w:sz w:val="24"/>
          <w:szCs w:val="24"/>
          <w:u w:val="single"/>
        </w:rPr>
        <w:t>.</w:t>
      </w:r>
    </w:p>
    <w:p w:rsidR="00AA4661" w:rsidRPr="00F8728A" w:rsidRDefault="00AA4661" w:rsidP="00AA2BBD">
      <w:pPr>
        <w:spacing w:before="120" w:after="120" w:line="276" w:lineRule="auto"/>
        <w:ind w:left="720" w:hanging="720"/>
        <w:rPr>
          <w:rFonts w:ascii="Times New Roman" w:hAnsi="Times New Roman"/>
          <w:sz w:val="24"/>
          <w:szCs w:val="24"/>
          <w:lang w:eastAsia="x-none"/>
        </w:rPr>
      </w:pPr>
      <w:r w:rsidRPr="00F8728A">
        <w:rPr>
          <w:rFonts w:ascii="Times New Roman" w:hAnsi="Times New Roman"/>
          <w:bCs/>
          <w:i/>
          <w:color w:val="000000"/>
          <w:sz w:val="24"/>
          <w:szCs w:val="24"/>
          <w:lang w:eastAsia="en-CA"/>
        </w:rPr>
        <w:t>National Disaster Protection Strategy (2014–2018).</w:t>
      </w:r>
      <w:r w:rsidRPr="00F8728A">
        <w:rPr>
          <w:rFonts w:ascii="Times New Roman" w:hAnsi="Times New Roman"/>
          <w:bCs/>
          <w:color w:val="000000"/>
          <w:sz w:val="24"/>
          <w:szCs w:val="24"/>
          <w:lang w:eastAsia="en-CA"/>
        </w:rPr>
        <w:t xml:space="preserve"> </w:t>
      </w:r>
      <w:hyperlink r:id="rId73" w:history="1">
        <w:r w:rsidRPr="00F8728A">
          <w:rPr>
            <w:rFonts w:ascii="Times New Roman" w:hAnsi="Times New Roman"/>
            <w:color w:val="0000FF"/>
            <w:sz w:val="24"/>
            <w:szCs w:val="24"/>
            <w:u w:val="single"/>
            <w:lang w:eastAsia="en-CA"/>
          </w:rPr>
          <w:t>http://www.nspbzn.mvr.bg/NR/rdonlyres/317033AA-E99D-4C51-AC8E-DB37272F2866/0/NPZB_20142018.pdf</w:t>
        </w:r>
      </w:hyperlink>
      <w:r w:rsidRPr="00F8728A">
        <w:rPr>
          <w:rFonts w:ascii="Times New Roman" w:hAnsi="Times New Roman"/>
          <w:color w:val="000000"/>
          <w:sz w:val="24"/>
          <w:szCs w:val="24"/>
          <w:lang w:eastAsia="en-CA"/>
        </w:rPr>
        <w:t>.</w:t>
      </w:r>
    </w:p>
    <w:p w:rsidR="00AA4661" w:rsidRPr="00F8728A" w:rsidRDefault="00AA4661" w:rsidP="00CD6367">
      <w:pPr>
        <w:spacing w:before="120" w:after="120" w:line="276" w:lineRule="auto"/>
        <w:ind w:left="720" w:hanging="720"/>
        <w:jc w:val="both"/>
        <w:rPr>
          <w:rFonts w:ascii="Times New Roman" w:hAnsi="Times New Roman"/>
          <w:color w:val="000000"/>
          <w:sz w:val="24"/>
          <w:szCs w:val="24"/>
        </w:rPr>
      </w:pPr>
      <w:r w:rsidRPr="00F8728A">
        <w:rPr>
          <w:rFonts w:ascii="Times New Roman" w:hAnsi="Times New Roman"/>
          <w:i/>
          <w:color w:val="000000"/>
          <w:sz w:val="24"/>
          <w:szCs w:val="24"/>
        </w:rPr>
        <w:t>National Long-Term Programme for Promoting Investments for Implementing Measures Aimed at Improving the Energy Characteristics of Public and Private Residential and Commercial Building Facilities</w:t>
      </w:r>
      <w:r w:rsidRPr="00F8728A">
        <w:rPr>
          <w:rFonts w:ascii="Times New Roman" w:hAnsi="Times New Roman"/>
          <w:color w:val="000000"/>
          <w:sz w:val="24"/>
          <w:szCs w:val="24"/>
        </w:rPr>
        <w:t xml:space="preserve"> (2016–2020).</w:t>
      </w:r>
    </w:p>
    <w:p w:rsidR="00AA4661" w:rsidRPr="00F8728A" w:rsidRDefault="00AA4661" w:rsidP="00CD6367">
      <w:pPr>
        <w:spacing w:before="120" w:after="120" w:line="276" w:lineRule="auto"/>
        <w:ind w:left="720" w:hanging="720"/>
        <w:jc w:val="both"/>
        <w:rPr>
          <w:rFonts w:ascii="Times New Roman" w:hAnsi="Times New Roman"/>
          <w:color w:val="000000"/>
          <w:sz w:val="24"/>
          <w:szCs w:val="24"/>
        </w:rPr>
      </w:pPr>
      <w:r w:rsidRPr="00F8728A">
        <w:rPr>
          <w:rFonts w:ascii="Times New Roman" w:hAnsi="Times New Roman"/>
          <w:i/>
          <w:color w:val="000000"/>
          <w:sz w:val="24"/>
          <w:szCs w:val="24"/>
        </w:rPr>
        <w:t>National Programme for Disaster Protection</w:t>
      </w:r>
      <w:r w:rsidRPr="00F8728A">
        <w:rPr>
          <w:rFonts w:ascii="Times New Roman" w:hAnsi="Times New Roman"/>
          <w:color w:val="000000"/>
          <w:sz w:val="24"/>
          <w:szCs w:val="24"/>
        </w:rPr>
        <w:t xml:space="preserve"> 2014–2018. </w:t>
      </w:r>
    </w:p>
    <w:p w:rsidR="00AA4661" w:rsidRPr="00F8728A" w:rsidRDefault="00AA4661" w:rsidP="00CD6367">
      <w:pPr>
        <w:spacing w:before="120" w:after="120" w:line="276" w:lineRule="auto"/>
        <w:ind w:left="720" w:hanging="720"/>
        <w:jc w:val="both"/>
        <w:rPr>
          <w:rFonts w:ascii="Times New Roman" w:hAnsi="Times New Roman"/>
          <w:i/>
          <w:color w:val="000000"/>
          <w:sz w:val="24"/>
          <w:szCs w:val="24"/>
        </w:rPr>
      </w:pPr>
      <w:r w:rsidRPr="00F8728A">
        <w:rPr>
          <w:rFonts w:ascii="Times New Roman" w:hAnsi="Times New Roman"/>
          <w:i/>
          <w:color w:val="000000"/>
          <w:sz w:val="24"/>
          <w:szCs w:val="24"/>
        </w:rPr>
        <w:t>National Programme for Energy Efficiency of Residential Buildings.</w:t>
      </w:r>
    </w:p>
    <w:p w:rsidR="00AA4661" w:rsidRPr="00F8728A" w:rsidRDefault="00AA4661" w:rsidP="00585E1B">
      <w:pPr>
        <w:spacing w:before="120" w:after="120" w:line="276" w:lineRule="auto"/>
        <w:jc w:val="both"/>
        <w:rPr>
          <w:rFonts w:ascii="Times New Roman" w:hAnsi="Times New Roman"/>
          <w:i/>
          <w:color w:val="000000"/>
          <w:sz w:val="24"/>
          <w:szCs w:val="24"/>
        </w:rPr>
      </w:pPr>
      <w:r w:rsidRPr="00F8728A">
        <w:rPr>
          <w:rFonts w:ascii="Times New Roman" w:hAnsi="Times New Roman"/>
          <w:sz w:val="24"/>
          <w:szCs w:val="24"/>
        </w:rPr>
        <w:t xml:space="preserve">Nilsson, A., A. Swartling, K. Eckerberg. 2012. “Knowledge for Local Climate Change Adaptation in Sweden: Challenges of Multilevel Governance.” </w:t>
      </w:r>
      <w:r w:rsidRPr="00F8728A">
        <w:rPr>
          <w:rFonts w:ascii="Times New Roman" w:hAnsi="Times New Roman"/>
          <w:i/>
          <w:sz w:val="24"/>
          <w:szCs w:val="24"/>
        </w:rPr>
        <w:t>Local Environment: The International Journal of Justice and Sustainability</w:t>
      </w:r>
      <w:r w:rsidRPr="00F8728A">
        <w:rPr>
          <w:rFonts w:ascii="Times New Roman" w:hAnsi="Times New Roman"/>
          <w:sz w:val="24"/>
          <w:szCs w:val="24"/>
        </w:rPr>
        <w:t xml:space="preserve"> 17 (6–7): Nordic Climate Change.</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NSI (National Statistics Institute). 2016a. </w:t>
      </w:r>
      <w:r w:rsidRPr="00F8728A">
        <w:rPr>
          <w:rFonts w:ascii="Times New Roman" w:hAnsi="Times New Roman"/>
          <w:i/>
          <w:sz w:val="24"/>
          <w:szCs w:val="24"/>
        </w:rPr>
        <w:t>Crisis Events for the Period 2010–2015</w:t>
      </w:r>
      <w:r w:rsidRPr="00F8728A">
        <w:rPr>
          <w:rFonts w:ascii="Times New Roman" w:hAnsi="Times New Roman"/>
          <w:sz w:val="24"/>
          <w:szCs w:val="24"/>
        </w:rPr>
        <w:t xml:space="preserve"> (accessed April 17, 2017), </w:t>
      </w:r>
      <w:hyperlink r:id="rId74" w:history="1">
        <w:r w:rsidRPr="00F8728A">
          <w:rPr>
            <w:rFonts w:ascii="Times New Roman" w:hAnsi="Times New Roman"/>
            <w:color w:val="0000FF"/>
            <w:sz w:val="24"/>
            <w:szCs w:val="24"/>
            <w:u w:val="single"/>
          </w:rPr>
          <w:t>http://www.nsi.bg/sites/default/files/files/data/timeseries/Crisis1.1.xls</w:t>
        </w:r>
      </w:hyperlink>
      <w:r w:rsidRPr="00F8728A">
        <w:rPr>
          <w:rFonts w:ascii="Times New Roman" w:hAnsi="Times New Roman"/>
          <w:color w:val="0000FF"/>
          <w:sz w:val="24"/>
          <w:szCs w:val="24"/>
          <w:u w:val="single"/>
        </w:rPr>
        <w:t>.</w:t>
      </w:r>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 2016b. </w:t>
      </w:r>
      <w:r w:rsidRPr="00F8728A">
        <w:rPr>
          <w:rFonts w:ascii="Times New Roman" w:hAnsi="Times New Roman"/>
          <w:i/>
          <w:sz w:val="24"/>
          <w:szCs w:val="24"/>
        </w:rPr>
        <w:t xml:space="preserve">Statistical Reference Book 2016. </w:t>
      </w:r>
      <w:r w:rsidRPr="00F8728A">
        <w:rPr>
          <w:rFonts w:ascii="Times New Roman" w:hAnsi="Times New Roman"/>
          <w:sz w:val="24"/>
          <w:szCs w:val="24"/>
        </w:rPr>
        <w:t>Sofia.</w:t>
      </w:r>
    </w:p>
    <w:p w:rsidR="00AA4661" w:rsidRPr="00F8728A" w:rsidRDefault="00AA4661" w:rsidP="00AA2BBD">
      <w:pPr>
        <w:spacing w:before="120" w:after="120" w:line="276" w:lineRule="auto"/>
        <w:ind w:left="720" w:hanging="720"/>
        <w:rPr>
          <w:rFonts w:ascii="Times New Roman" w:hAnsi="Times New Roman"/>
          <w:sz w:val="24"/>
          <w:szCs w:val="24"/>
        </w:rPr>
      </w:pPr>
      <w:r w:rsidRPr="00F8728A">
        <w:rPr>
          <w:rFonts w:ascii="Times New Roman" w:hAnsi="Times New Roman"/>
          <w:sz w:val="24"/>
          <w:szCs w:val="24"/>
        </w:rPr>
        <w:t xml:space="preserve">———.2016c. </w:t>
      </w:r>
      <w:r w:rsidRPr="00F8728A">
        <w:rPr>
          <w:rFonts w:ascii="Times New Roman" w:hAnsi="Times New Roman"/>
          <w:i/>
          <w:sz w:val="24"/>
          <w:szCs w:val="24"/>
        </w:rPr>
        <w:t xml:space="preserve">Statistical Yearbook 2016. </w:t>
      </w:r>
      <w:r w:rsidRPr="00F8728A">
        <w:rPr>
          <w:rFonts w:ascii="Times New Roman" w:hAnsi="Times New Roman"/>
          <w:sz w:val="24"/>
          <w:szCs w:val="24"/>
        </w:rPr>
        <w:t xml:space="preserve">Sofia, </w:t>
      </w:r>
      <w:hyperlink r:id="rId75" w:history="1">
        <w:r w:rsidRPr="00F8728A">
          <w:rPr>
            <w:rFonts w:ascii="Times New Roman" w:hAnsi="Times New Roman"/>
            <w:color w:val="0000FF"/>
            <w:sz w:val="24"/>
            <w:szCs w:val="24"/>
            <w:u w:val="single"/>
          </w:rPr>
          <w:t>http://www.nsi.bg/sites/default/files/files/publications/StatBook2016.pdf</w:t>
        </w:r>
      </w:hyperlink>
      <w:r w:rsidRPr="00F8728A">
        <w:rPr>
          <w:rFonts w:ascii="Times New Roman" w:hAnsi="Times New Roman"/>
          <w:sz w:val="24"/>
          <w:szCs w:val="24"/>
        </w:rPr>
        <w:t xml:space="preserve"> .</w:t>
      </w:r>
    </w:p>
    <w:p w:rsidR="00AA4661" w:rsidRPr="00F8728A" w:rsidRDefault="00AA4661" w:rsidP="00587E08">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OECD (2015), The Economic Consequences of Climate Change, OECD Publishing, Paris. </w:t>
      </w:r>
      <w:hyperlink r:id="rId76" w:history="1">
        <w:r w:rsidRPr="00F8728A">
          <w:rPr>
            <w:rStyle w:val="Hyperlink"/>
            <w:rFonts w:ascii="Times New Roman" w:hAnsi="Times New Roman"/>
            <w:sz w:val="24"/>
            <w:szCs w:val="24"/>
          </w:rPr>
          <w:t>http://dx.doi.org/10.1787/9789264235410-en</w:t>
        </w:r>
      </w:hyperlink>
      <w:r w:rsidRPr="00F8728A">
        <w:rPr>
          <w:rFonts w:ascii="Times New Roman" w:hAnsi="Times New Roman"/>
          <w:sz w:val="24"/>
          <w:szCs w:val="24"/>
        </w:rPr>
        <w:t xml:space="preserve"> (Accessed  February, 12. 2018)</w:t>
      </w:r>
    </w:p>
    <w:p w:rsidR="00AA4661" w:rsidRPr="00F8728A" w:rsidRDefault="00AA4661" w:rsidP="00AA2BBD">
      <w:pPr>
        <w:spacing w:before="120" w:after="120" w:line="276" w:lineRule="auto"/>
        <w:ind w:left="720" w:hanging="720"/>
        <w:rPr>
          <w:rFonts w:ascii="Times New Roman" w:hAnsi="Times New Roman"/>
          <w:sz w:val="24"/>
          <w:szCs w:val="24"/>
        </w:rPr>
      </w:pPr>
      <w:r w:rsidRPr="00F8728A">
        <w:rPr>
          <w:rFonts w:ascii="Times New Roman" w:hAnsi="Times New Roman"/>
          <w:i/>
          <w:sz w:val="24"/>
          <w:szCs w:val="24"/>
        </w:rPr>
        <w:t>Operational Programme ‘Regions in Growth’</w:t>
      </w:r>
      <w:r w:rsidRPr="00F8728A">
        <w:rPr>
          <w:rFonts w:ascii="Times New Roman" w:hAnsi="Times New Roman"/>
          <w:sz w:val="24"/>
          <w:szCs w:val="24"/>
        </w:rPr>
        <w:t xml:space="preserve"> </w:t>
      </w:r>
      <w:r w:rsidRPr="00F8728A">
        <w:rPr>
          <w:rFonts w:ascii="Times New Roman" w:hAnsi="Times New Roman"/>
          <w:i/>
          <w:sz w:val="24"/>
          <w:szCs w:val="24"/>
        </w:rPr>
        <w:t xml:space="preserve">2014–2020. </w:t>
      </w:r>
      <w:hyperlink r:id="rId77" w:history="1">
        <w:r w:rsidRPr="00F8728A">
          <w:rPr>
            <w:rStyle w:val="Hyperlink"/>
            <w:rFonts w:ascii="Times New Roman" w:hAnsi="Times New Roman"/>
            <w:sz w:val="24"/>
            <w:szCs w:val="24"/>
          </w:rPr>
          <w:t>http://ec.europa.eu/regional_policy/en/atlas/programmes/2014-2020/bulgaria/2014bg16rfop001</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Palazov, A. 2015. </w:t>
      </w:r>
      <w:r w:rsidRPr="00F8728A">
        <w:rPr>
          <w:rFonts w:ascii="Times New Roman" w:hAnsi="Times New Roman"/>
          <w:i/>
          <w:sz w:val="24"/>
          <w:szCs w:val="24"/>
        </w:rPr>
        <w:t>Flood-Prone Low-Lying Territories along the Bulgarian Black Sea Coast.</w:t>
      </w:r>
      <w:r w:rsidRPr="00F8728A">
        <w:rPr>
          <w:rFonts w:ascii="Times New Roman" w:hAnsi="Times New Roman"/>
          <w:sz w:val="24"/>
          <w:szCs w:val="24"/>
        </w:rPr>
        <w:t xml:space="preserve"> Institute of Oceanology, (BAS) Bulgarian Academy of Sciences. (accessed April 16, 2017), </w:t>
      </w:r>
      <w:hyperlink r:id="rId78" w:history="1">
        <w:r w:rsidRPr="00F8728A">
          <w:rPr>
            <w:rStyle w:val="Hyperlink"/>
            <w:rFonts w:ascii="Times New Roman" w:hAnsi="Times New Roman"/>
            <w:sz w:val="24"/>
            <w:szCs w:val="24"/>
          </w:rPr>
          <w:t>http://serc.carleton.edu/31891</w:t>
        </w:r>
      </w:hyperlink>
      <w:r w:rsidRPr="00F8728A">
        <w:rPr>
          <w:rFonts w:ascii="Times New Roman" w:hAnsi="Times New Roman"/>
          <w:color w:val="0000FF"/>
          <w:sz w:val="24"/>
          <w:szCs w:val="24"/>
        </w:rPr>
        <w:t xml:space="preserve"> </w:t>
      </w:r>
      <w:r w:rsidRPr="00F8728A">
        <w:rPr>
          <w:rFonts w:ascii="Times New Roman" w:hAnsi="Times New Roman"/>
          <w:sz w:val="24"/>
          <w:szCs w:val="24"/>
        </w:rPr>
        <w:t>.</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Pauleit, S. and F. Duhme, F. 2000. “Assessing the Environmental Performance of Land Cover Types for Urban Planning” In </w:t>
      </w:r>
      <w:r w:rsidRPr="00F8728A">
        <w:rPr>
          <w:rFonts w:ascii="Times New Roman" w:hAnsi="Times New Roman"/>
          <w:i/>
          <w:sz w:val="24"/>
          <w:szCs w:val="24"/>
        </w:rPr>
        <w:t>Landscape and Urban Planning</w:t>
      </w:r>
      <w:r w:rsidRPr="00F8728A">
        <w:rPr>
          <w:rFonts w:ascii="Times New Roman" w:hAnsi="Times New Roman"/>
          <w:sz w:val="24"/>
          <w:szCs w:val="24"/>
        </w:rPr>
        <w:t xml:space="preserve"> 52 (1): 1–20. doi:10.1016/S0169-2046(00)00109-2.</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Penchev, P and V. Velichkov. 2011. </w:t>
      </w:r>
      <w:r w:rsidRPr="00F8728A">
        <w:rPr>
          <w:rFonts w:ascii="Times New Roman" w:hAnsi="Times New Roman"/>
          <w:i/>
          <w:sz w:val="24"/>
          <w:szCs w:val="24"/>
        </w:rPr>
        <w:t>Deposits of Mineral Waters in the Region of Sofia.</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Preston, B.L., D. Abbs, B. Beveridge, C. Brooke, R. Gorddard, G. Hunt, M. Justus, P. Kinrade, I. Macadam, T.G. Measham, K. McInnes, C. Morrison, J. O’Grady, T.F. Smithand, and G. Withycombe. 2007. </w:t>
      </w:r>
      <w:r w:rsidRPr="00F8728A">
        <w:rPr>
          <w:rFonts w:ascii="Times New Roman" w:hAnsi="Times New Roman"/>
          <w:i/>
          <w:sz w:val="24"/>
          <w:szCs w:val="24"/>
        </w:rPr>
        <w:t>Spatial Approaches for Assessing Vulnerability and Consequences in Climate Change Assessments.</w:t>
      </w:r>
    </w:p>
    <w:p w:rsidR="00AA4661" w:rsidRPr="00F8728A" w:rsidRDefault="00AA4661" w:rsidP="00AA2BBD">
      <w:pPr>
        <w:spacing w:before="120" w:after="120" w:line="276" w:lineRule="auto"/>
        <w:ind w:left="720" w:hanging="720"/>
        <w:rPr>
          <w:rFonts w:ascii="Times New Roman" w:hAnsi="Times New Roman"/>
          <w:sz w:val="24"/>
          <w:szCs w:val="24"/>
        </w:rPr>
      </w:pPr>
      <w:r w:rsidRPr="00F8728A">
        <w:rPr>
          <w:rFonts w:ascii="Times New Roman" w:hAnsi="Times New Roman"/>
          <w:sz w:val="24"/>
          <w:szCs w:val="24"/>
        </w:rPr>
        <w:t xml:space="preserve">Prutsch, A., Grothmann, Т., Schauser, І., Otto, S  and McCallum.,S. 2010. </w:t>
      </w:r>
      <w:r w:rsidRPr="00F8728A">
        <w:rPr>
          <w:rFonts w:ascii="Times New Roman" w:hAnsi="Times New Roman"/>
          <w:i/>
          <w:sz w:val="24"/>
          <w:szCs w:val="24"/>
        </w:rPr>
        <w:t>Guiding Principles for Adaptation to Climate Change in Europe</w:t>
      </w:r>
      <w:r w:rsidRPr="00F8728A">
        <w:rPr>
          <w:rFonts w:ascii="Times New Roman" w:hAnsi="Times New Roman"/>
          <w:sz w:val="24"/>
          <w:szCs w:val="24"/>
        </w:rPr>
        <w:t>.  ETC/ACC Technical Paper November 6, 2010.</w:t>
      </w:r>
      <w:r w:rsidRPr="00F8728A">
        <w:rPr>
          <w:rFonts w:ascii="Times New Roman" w:hAnsi="Times New Roman"/>
          <w:i/>
          <w:sz w:val="24"/>
          <w:szCs w:val="24"/>
        </w:rPr>
        <w:t xml:space="preserve"> </w:t>
      </w:r>
      <w:hyperlink r:id="rId79" w:history="1">
        <w:r w:rsidRPr="00F8728A">
          <w:rPr>
            <w:rFonts w:ascii="Times New Roman" w:hAnsi="Times New Roman"/>
            <w:color w:val="0000FF"/>
            <w:sz w:val="24"/>
            <w:szCs w:val="24"/>
            <w:u w:val="single"/>
          </w:rPr>
          <w:t>http://acm.eionet.europa.eu/docs/ETCACC_TP_2010_6_guiding_principles_cc_adaptation.pdf</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lang w:eastAsia="x-none"/>
        </w:rPr>
      </w:pPr>
      <w:r w:rsidRPr="00F8728A">
        <w:rPr>
          <w:rFonts w:ascii="Times New Roman" w:hAnsi="Times New Roman"/>
          <w:i/>
          <w:sz w:val="24"/>
          <w:szCs w:val="24"/>
        </w:rPr>
        <w:t>Regional Development Act</w:t>
      </w:r>
      <w:r w:rsidRPr="00F8728A">
        <w:rPr>
          <w:rFonts w:ascii="Times New Roman" w:hAnsi="Times New Roman"/>
          <w:sz w:val="24"/>
          <w:szCs w:val="24"/>
        </w:rPr>
        <w:t xml:space="preserve">, </w:t>
      </w:r>
      <w:r w:rsidRPr="00F8728A">
        <w:rPr>
          <w:rFonts w:ascii="Times New Roman" w:hAnsi="Times New Roman"/>
          <w:sz w:val="24"/>
          <w:szCs w:val="24"/>
          <w:lang w:eastAsia="x-none"/>
        </w:rPr>
        <w:t>Adopted in 2008, Last amended SG No.13/07.02.2017</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i/>
          <w:sz w:val="24"/>
          <w:szCs w:val="24"/>
        </w:rPr>
        <w:t>Regional Profiles. Indicators of Development</w:t>
      </w:r>
      <w:r w:rsidRPr="00F8728A">
        <w:rPr>
          <w:rFonts w:ascii="Times New Roman" w:hAnsi="Times New Roman"/>
          <w:sz w:val="24"/>
          <w:szCs w:val="24"/>
        </w:rPr>
        <w:t xml:space="preserve">. 2016. Institute for Market Economics, Sofia. </w:t>
      </w:r>
      <w:hyperlink r:id="rId80" w:history="1">
        <w:r w:rsidRPr="00F8728A">
          <w:rPr>
            <w:rFonts w:ascii="Times New Roman" w:hAnsi="Times New Roman"/>
            <w:color w:val="0000FF"/>
            <w:sz w:val="24"/>
            <w:szCs w:val="24"/>
            <w:u w:val="single"/>
          </w:rPr>
          <w:t>http://www.regionalprofiles.bg/en/</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Regulations No. 7 for Rules and Norms for Development of Separate Kinds of Territories and Development Zones, SG No. 3/2004, Last amended SG No. 13/01.03.2013.</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Rosenzweig, C., W. Solecki, S. Hammer, S. Mehrotra. 2011. </w:t>
      </w:r>
      <w:hyperlink r:id="rId81" w:history="1">
        <w:r w:rsidRPr="00F8728A">
          <w:rPr>
            <w:rStyle w:val="Hyperlink"/>
            <w:rFonts w:ascii="Times New Roman" w:hAnsi="Times New Roman"/>
            <w:sz w:val="24"/>
            <w:szCs w:val="24"/>
          </w:rPr>
          <w:t>http://uccrn.org/files/2015/01/ARC3-Frontmatter-Final.pdf</w:t>
        </w:r>
      </w:hyperlink>
      <w:r w:rsidRPr="00F8728A">
        <w:rPr>
          <w:rFonts w:ascii="Times New Roman" w:hAnsi="Times New Roman"/>
          <w:sz w:val="24"/>
          <w:szCs w:val="24"/>
        </w:rPr>
        <w:t>.</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Robert, G., S. Loquen, H. Mela, M. Morecroft, M. Reese, D. Rey. 2010. </w:t>
      </w:r>
      <w:r w:rsidRPr="00F8728A">
        <w:rPr>
          <w:rFonts w:ascii="Times New Roman" w:hAnsi="Times New Roman"/>
          <w:i/>
          <w:sz w:val="24"/>
          <w:szCs w:val="24"/>
        </w:rPr>
        <w:t>Europe Adapts to Climate Change: Comparing National Adaptation Strategies</w:t>
      </w:r>
      <w:r w:rsidRPr="00F8728A">
        <w:rPr>
          <w:rFonts w:ascii="Times New Roman" w:hAnsi="Times New Roman"/>
          <w:sz w:val="24"/>
          <w:szCs w:val="24"/>
        </w:rPr>
        <w:t xml:space="preserve">. (accessed April 21, 2017),  </w:t>
      </w:r>
      <w:hyperlink r:id="rId82" w:history="1">
        <w:r w:rsidRPr="00F8728A">
          <w:rPr>
            <w:rFonts w:ascii="Times New Roman" w:hAnsi="Times New Roman"/>
            <w:color w:val="0000FF"/>
            <w:sz w:val="24"/>
            <w:szCs w:val="24"/>
            <w:u w:val="single"/>
          </w:rPr>
          <w:t>http://www.sciencedirect.com/science/article/pii/S0959378010000269</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Satterthwaite, D. 2006. </w:t>
      </w:r>
      <w:r w:rsidRPr="00F8728A">
        <w:rPr>
          <w:rFonts w:ascii="Times New Roman" w:hAnsi="Times New Roman"/>
          <w:i/>
          <w:sz w:val="24"/>
          <w:szCs w:val="24"/>
        </w:rPr>
        <w:t>Barbara Ward and the Origins of Sustainable Development</w:t>
      </w:r>
      <w:r w:rsidRPr="00F8728A">
        <w:rPr>
          <w:rFonts w:ascii="Times New Roman" w:hAnsi="Times New Roman"/>
          <w:sz w:val="24"/>
          <w:szCs w:val="24"/>
        </w:rPr>
        <w:t xml:space="preserve">. IIED (International Institute for Environment and Development), United Kingdom. (accessed April 22, 2017), </w:t>
      </w:r>
      <w:hyperlink r:id="rId83" w:history="1">
        <w:r w:rsidRPr="00F8728A">
          <w:rPr>
            <w:rFonts w:ascii="Times New Roman" w:hAnsi="Times New Roman"/>
            <w:color w:val="0000FF"/>
            <w:sz w:val="24"/>
            <w:szCs w:val="24"/>
            <w:u w:val="single"/>
          </w:rPr>
          <w:t>http://pubs.iied.org/pdfs/11500IIED.pdf</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Satterthwaite, D., S.</w:t>
      </w:r>
      <w:r w:rsidRPr="00F8728A">
        <w:t xml:space="preserve"> </w:t>
      </w:r>
      <w:r w:rsidRPr="00F8728A">
        <w:rPr>
          <w:rFonts w:ascii="Times New Roman" w:hAnsi="Times New Roman"/>
          <w:sz w:val="24"/>
          <w:szCs w:val="24"/>
        </w:rPr>
        <w:t xml:space="preserve">Huq, M. Pelling, H. Reid, P. Romero-Lankao. 2009. “Adapting to Climate Change in Urban Areas. The Possibilities and Constraints in Low- and Middle-Income Nations.” Climate Change and Cities Discussion Paper Series, IIED (International Institute for Environment and Development) (accessed April 19, 2017), </w:t>
      </w:r>
      <w:hyperlink r:id="rId84" w:history="1">
        <w:r w:rsidRPr="00F8728A">
          <w:rPr>
            <w:rFonts w:ascii="Times New Roman" w:hAnsi="Times New Roman"/>
            <w:color w:val="0000FF"/>
            <w:sz w:val="24"/>
            <w:szCs w:val="24"/>
            <w:u w:val="single"/>
          </w:rPr>
          <w:t>www.iied.org/pubs/display.php?o=10549IIED</w:t>
        </w:r>
      </w:hyperlink>
      <w:r w:rsidRPr="00F8728A">
        <w:rPr>
          <w:rFonts w:ascii="Times New Roman" w:hAnsi="Times New Roman"/>
          <w:color w:val="0000FF"/>
          <w:sz w:val="24"/>
          <w:szCs w:val="24"/>
          <w:u w:val="single"/>
        </w:rPr>
        <w:t>.</w:t>
      </w:r>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Satterthwaite, D., S.</w:t>
      </w:r>
      <w:r w:rsidRPr="00F8728A">
        <w:t xml:space="preserve"> </w:t>
      </w:r>
      <w:r w:rsidRPr="00F8728A">
        <w:rPr>
          <w:rFonts w:ascii="Times New Roman" w:hAnsi="Times New Roman"/>
          <w:sz w:val="24"/>
          <w:szCs w:val="24"/>
        </w:rPr>
        <w:t xml:space="preserve">Huq, M. Pelling, H. Reid, P. Romero-Lankao. 2011. “Adapting to Climate Change in Urban Areas. The Possibilities and Constraints in Low- and Middle-Income Nations.” Climate Change and Cities Discussion Paper Series 1, IIED (International Institute for Environment and Development) (accessed April 19, 2017), </w:t>
      </w:r>
      <w:hyperlink r:id="rId85" w:history="1">
        <w:r w:rsidRPr="00F8728A">
          <w:rPr>
            <w:rFonts w:ascii="Times New Roman" w:hAnsi="Times New Roman"/>
            <w:color w:val="0000FF"/>
            <w:sz w:val="24"/>
            <w:szCs w:val="24"/>
            <w:u w:val="single"/>
          </w:rPr>
          <w:t>www.iied.org/pubs/display.php?o=10549IIED</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color w:val="000000"/>
          <w:sz w:val="24"/>
          <w:szCs w:val="24"/>
        </w:rPr>
      </w:pPr>
      <w:r w:rsidRPr="00F8728A">
        <w:rPr>
          <w:rFonts w:ascii="Times New Roman" w:hAnsi="Times New Roman"/>
          <w:color w:val="000000"/>
          <w:sz w:val="24"/>
          <w:szCs w:val="24"/>
        </w:rPr>
        <w:t xml:space="preserve">Schmidhuber, B. and T. Alge. 2012. </w:t>
      </w:r>
      <w:r w:rsidRPr="00F8728A">
        <w:rPr>
          <w:rFonts w:ascii="Times New Roman" w:hAnsi="Times New Roman"/>
          <w:i/>
          <w:color w:val="000000"/>
          <w:sz w:val="24"/>
          <w:szCs w:val="24"/>
        </w:rPr>
        <w:t xml:space="preserve">Climate Change Legislation Austria Report on the Concepts and Directions of Climate Legislation. </w:t>
      </w:r>
      <w:hyperlink r:id="rId86" w:history="1">
        <w:r w:rsidRPr="00F8728A">
          <w:rPr>
            <w:rFonts w:ascii="Times New Roman" w:hAnsi="Times New Roman"/>
            <w:color w:val="0000FF"/>
            <w:sz w:val="24"/>
            <w:szCs w:val="24"/>
            <w:u w:val="single"/>
          </w:rPr>
          <w:t>http://www.justiceandenvironment.org/_files/file/2011%20CC%20AT(1).pdf</w:t>
        </w:r>
      </w:hyperlink>
      <w:r w:rsidRPr="00F8728A">
        <w:rPr>
          <w:rFonts w:ascii="Times New Roman" w:hAnsi="Times New Roman"/>
          <w:color w:val="0000FF"/>
          <w:sz w:val="24"/>
          <w:szCs w:val="24"/>
          <w:u w:val="single"/>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Slaev, A and A. Kovachev. 2014. </w:t>
      </w:r>
      <w:r w:rsidRPr="00F8728A">
        <w:rPr>
          <w:rFonts w:ascii="Times New Roman" w:hAnsi="Times New Roman"/>
          <w:i/>
          <w:sz w:val="24"/>
          <w:szCs w:val="24"/>
        </w:rPr>
        <w:t>Specific Issues of Urban Sprawl in Bulgaria</w:t>
      </w:r>
      <w:r w:rsidRPr="00F8728A">
        <w:rPr>
          <w:rFonts w:ascii="Times New Roman" w:hAnsi="Times New Roman"/>
          <w:sz w:val="24"/>
          <w:szCs w:val="24"/>
        </w:rPr>
        <w:t xml:space="preserve">. http://www.turas-cities.eu/uploads/biblio/document/file/415/Slaev_Kovachev_Specif_Issues_Urb_Sprawl_Bulgaria.pdf.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Smit, B., I. Burton, R.J.T. Klein, and J. Wandel. 2000. </w:t>
      </w:r>
      <w:r w:rsidRPr="00F8728A">
        <w:rPr>
          <w:rFonts w:ascii="Times New Roman" w:hAnsi="Times New Roman"/>
          <w:i/>
          <w:sz w:val="24"/>
          <w:szCs w:val="24"/>
        </w:rPr>
        <w:t>An Anatomy of Adaptation to Climate Change and Variability</w:t>
      </w:r>
      <w:r w:rsidRPr="00F8728A">
        <w:rPr>
          <w:rFonts w:ascii="Times New Roman" w:hAnsi="Times New Roman"/>
          <w:sz w:val="24"/>
          <w:szCs w:val="24"/>
        </w:rPr>
        <w:t>. Climate Change 45: 223–251.</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Smit, B. and O. Pilifosova. 2001. “Adaptation to Climate Change in the Context of Sustainable Development and Equity.” In McCarthy, J.J. (Ed.), </w:t>
      </w:r>
      <w:r w:rsidRPr="00F8728A">
        <w:rPr>
          <w:rFonts w:ascii="Times New Roman" w:hAnsi="Times New Roman"/>
          <w:i/>
          <w:sz w:val="24"/>
          <w:szCs w:val="24"/>
        </w:rPr>
        <w:t>Climate Change 2001:</w:t>
      </w:r>
      <w:r w:rsidRPr="00F8728A">
        <w:rPr>
          <w:rFonts w:ascii="Times New Roman" w:hAnsi="Times New Roman"/>
          <w:sz w:val="24"/>
          <w:szCs w:val="24"/>
        </w:rPr>
        <w:t xml:space="preserve"> </w:t>
      </w:r>
      <w:r w:rsidRPr="00F8728A">
        <w:rPr>
          <w:rFonts w:ascii="Times New Roman" w:hAnsi="Times New Roman"/>
          <w:i/>
          <w:sz w:val="24"/>
          <w:szCs w:val="24"/>
        </w:rPr>
        <w:t>Impacts, Adaptation, and Vulnerability</w:t>
      </w:r>
      <w:r w:rsidRPr="00F8728A">
        <w:rPr>
          <w:rFonts w:ascii="Times New Roman" w:hAnsi="Times New Roman"/>
          <w:sz w:val="24"/>
          <w:szCs w:val="24"/>
        </w:rPr>
        <w:t xml:space="preserve"> – Contribution of Working Group II to the Third Assessment Report of the International Panel on Climate Change. Cambridge University Press, Cambridge, United Kingdom, (Chapter 18), 877–912.</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Smit, B. and J. Wandel. 2006. “Adaptation, Adaptive Capacity and Vulnerability.”</w:t>
      </w:r>
      <w:r w:rsidRPr="00F8728A">
        <w:rPr>
          <w:rFonts w:ascii="Times New Roman" w:hAnsi="Times New Roman"/>
          <w:i/>
          <w:sz w:val="24"/>
          <w:szCs w:val="24"/>
        </w:rPr>
        <w:t xml:space="preserve"> Global Environmental Change</w:t>
      </w:r>
      <w:r w:rsidRPr="00F8728A">
        <w:rPr>
          <w:rFonts w:ascii="Times New Roman" w:hAnsi="Times New Roman"/>
          <w:sz w:val="24"/>
          <w:szCs w:val="24"/>
        </w:rPr>
        <w:t xml:space="preserve"> - </w:t>
      </w:r>
      <w:r w:rsidRPr="00F8728A">
        <w:rPr>
          <w:rFonts w:ascii="Times New Roman" w:hAnsi="Times New Roman"/>
          <w:i/>
          <w:sz w:val="24"/>
          <w:szCs w:val="24"/>
        </w:rPr>
        <w:t>Human and Policy Dimensions</w:t>
      </w:r>
      <w:r w:rsidRPr="00F8728A">
        <w:rPr>
          <w:rFonts w:ascii="Times New Roman" w:hAnsi="Times New Roman"/>
          <w:sz w:val="24"/>
          <w:szCs w:val="24"/>
        </w:rPr>
        <w:t xml:space="preserve"> 16: 282–292, </w:t>
      </w:r>
      <w:hyperlink r:id="rId87" w:history="1">
        <w:r w:rsidRPr="00F8728A">
          <w:rPr>
            <w:rFonts w:ascii="Times New Roman" w:hAnsi="Times New Roman"/>
            <w:color w:val="0000FF"/>
            <w:sz w:val="24"/>
            <w:szCs w:val="24"/>
            <w:u w:val="single"/>
          </w:rPr>
          <w:t>http://dx.doi.org/10.1016/j.gloenvcha.2006.03.008</w:t>
        </w:r>
      </w:hyperlink>
      <w:r w:rsidRPr="00F8728A">
        <w:rPr>
          <w:rFonts w:ascii="Times New Roman" w:hAnsi="Times New Roman"/>
          <w:sz w:val="24"/>
          <w:szCs w:val="24"/>
        </w:rPr>
        <w:t>.</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Smith, J.B. and Lenhart S. 1996. “Climate Change Adaptation Policy Options.” </w:t>
      </w:r>
      <w:r w:rsidRPr="00F8728A">
        <w:rPr>
          <w:rFonts w:ascii="Times New Roman" w:hAnsi="Times New Roman"/>
          <w:i/>
          <w:sz w:val="24"/>
          <w:szCs w:val="24"/>
        </w:rPr>
        <w:t xml:space="preserve">Climate Research </w:t>
      </w:r>
      <w:r w:rsidRPr="00F8728A">
        <w:rPr>
          <w:rFonts w:ascii="Times New Roman" w:hAnsi="Times New Roman"/>
          <w:sz w:val="24"/>
          <w:szCs w:val="24"/>
        </w:rPr>
        <w:t>6: 193–201.</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Smith, J.B. J. Klein, J. Wandel.</w:t>
      </w:r>
      <w:r w:rsidRPr="00F8728A">
        <w:rPr>
          <w:rFonts w:ascii="Times New Roman" w:hAnsi="Times New Roman"/>
          <w:b/>
          <w:sz w:val="24"/>
          <w:szCs w:val="24"/>
        </w:rPr>
        <w:t xml:space="preserve"> </w:t>
      </w:r>
      <w:r w:rsidRPr="00F8728A">
        <w:rPr>
          <w:rFonts w:ascii="Times New Roman" w:hAnsi="Times New Roman"/>
          <w:sz w:val="24"/>
          <w:szCs w:val="24"/>
        </w:rPr>
        <w:t xml:space="preserve">2000. “An Anatomy of Adaptation to Climate Change and Variability.” </w:t>
      </w:r>
      <w:r w:rsidRPr="00F8728A">
        <w:rPr>
          <w:rFonts w:ascii="Times New Roman" w:hAnsi="Times New Roman"/>
          <w:i/>
          <w:sz w:val="24"/>
          <w:szCs w:val="24"/>
        </w:rPr>
        <w:t>Climate Change</w:t>
      </w:r>
      <w:r w:rsidRPr="00F8728A">
        <w:rPr>
          <w:rFonts w:ascii="Times New Roman" w:hAnsi="Times New Roman"/>
          <w:sz w:val="24"/>
          <w:szCs w:val="24"/>
        </w:rPr>
        <w:t xml:space="preserve"> 45: 223–251. </w:t>
      </w:r>
      <w:hyperlink r:id="rId88" w:history="1">
        <w:r w:rsidRPr="00F8728A">
          <w:rPr>
            <w:rStyle w:val="Hyperlink"/>
            <w:rFonts w:ascii="Times New Roman" w:hAnsi="Times New Roman"/>
            <w:sz w:val="24"/>
            <w:szCs w:val="24"/>
          </w:rPr>
          <w:t>https://link.springer.com/article/10.1023/A:1005661622966</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Smithers, J. and B. Smit. 1997. “Human Adaptation to Climatic Variability and Change.”</w:t>
      </w:r>
      <w:r w:rsidRPr="00F8728A">
        <w:rPr>
          <w:rFonts w:ascii="Times New Roman" w:hAnsi="Times New Roman"/>
          <w:i/>
          <w:sz w:val="24"/>
          <w:szCs w:val="24"/>
        </w:rPr>
        <w:t xml:space="preserve">  Global Environmental Change - Human and Policy Dimensions</w:t>
      </w:r>
      <w:r w:rsidRPr="00F8728A">
        <w:rPr>
          <w:rFonts w:ascii="Times New Roman" w:hAnsi="Times New Roman"/>
          <w:sz w:val="24"/>
          <w:szCs w:val="24"/>
        </w:rPr>
        <w:t xml:space="preserve"> 7: 129–146, </w:t>
      </w:r>
      <w:hyperlink r:id="rId89" w:history="1">
        <w:r w:rsidRPr="00F8728A">
          <w:rPr>
            <w:rFonts w:ascii="Times New Roman" w:hAnsi="Times New Roman"/>
            <w:color w:val="0000FF"/>
            <w:sz w:val="24"/>
            <w:szCs w:val="24"/>
            <w:u w:val="single"/>
          </w:rPr>
          <w:t>http://dx.doi.org/10.1016/s0959-3780(97)00003-4</w:t>
        </w:r>
      </w:hyperlink>
      <w:r w:rsidRPr="00F8728A">
        <w:rPr>
          <w:rFonts w:ascii="Times New Roman" w:hAnsi="Times New Roman"/>
          <w:sz w:val="24"/>
          <w:szCs w:val="24"/>
        </w:rPr>
        <w:t>.</w:t>
      </w:r>
    </w:p>
    <w:p w:rsidR="00AA4661" w:rsidRPr="00F8728A" w:rsidRDefault="00AA4661" w:rsidP="00587E08">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SOU (Swedish Government Official Reports). 2007. </w:t>
      </w:r>
      <w:r w:rsidRPr="00F8728A">
        <w:rPr>
          <w:rFonts w:ascii="Times New Roman" w:hAnsi="Times New Roman"/>
          <w:i/>
          <w:sz w:val="24"/>
          <w:szCs w:val="24"/>
        </w:rPr>
        <w:t>Sweden Facing Climate Change—Threats and Opportunities</w:t>
      </w:r>
      <w:r w:rsidRPr="00F8728A">
        <w:rPr>
          <w:rFonts w:ascii="Times New Roman" w:hAnsi="Times New Roman"/>
          <w:sz w:val="24"/>
          <w:szCs w:val="24"/>
        </w:rPr>
        <w:t>, final report from the Swedish Commission on Climate and Vulnerability. Edita Sverige AB: Stockholm, Sweden.</w:t>
      </w:r>
    </w:p>
    <w:p w:rsidR="00AA4661" w:rsidRPr="00F8728A" w:rsidRDefault="00AA4661" w:rsidP="00CD6367">
      <w:pPr>
        <w:spacing w:before="120" w:after="120" w:line="276" w:lineRule="auto"/>
        <w:ind w:left="720" w:hanging="720"/>
        <w:jc w:val="both"/>
        <w:rPr>
          <w:rFonts w:ascii="Times New Roman" w:hAnsi="Times New Roman"/>
          <w:sz w:val="24"/>
          <w:szCs w:val="24"/>
          <w:lang w:eastAsia="x-none"/>
        </w:rPr>
      </w:pPr>
      <w:r w:rsidRPr="00F8728A">
        <w:rPr>
          <w:rFonts w:ascii="Times New Roman" w:hAnsi="Times New Roman"/>
          <w:i/>
          <w:sz w:val="24"/>
          <w:szCs w:val="24"/>
        </w:rPr>
        <w:t>Spatial Planning Act</w:t>
      </w:r>
      <w:r w:rsidRPr="00F8728A">
        <w:rPr>
          <w:rFonts w:ascii="Times New Roman" w:hAnsi="Times New Roman"/>
          <w:sz w:val="24"/>
          <w:szCs w:val="24"/>
        </w:rPr>
        <w:t xml:space="preserve">. </w:t>
      </w:r>
      <w:r w:rsidRPr="00F8728A">
        <w:rPr>
          <w:rFonts w:ascii="Times New Roman" w:hAnsi="Times New Roman"/>
          <w:sz w:val="24"/>
          <w:szCs w:val="24"/>
          <w:lang w:eastAsia="x-none"/>
        </w:rPr>
        <w:t>Adopted in 2001, Last amended SG No. 13/07.02.2017.</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i/>
          <w:sz w:val="24"/>
          <w:szCs w:val="24"/>
        </w:rPr>
        <w:t>Strategy for Development and Management of the Water Supply and Sanitation Sector in the Republic of Bulgaria 2014–2023</w:t>
      </w:r>
      <w:r w:rsidRPr="00F8728A">
        <w:rPr>
          <w:rFonts w:ascii="Times New Roman" w:hAnsi="Times New Roman"/>
          <w:sz w:val="24"/>
          <w:szCs w:val="24"/>
        </w:rPr>
        <w:t xml:space="preserve">. </w:t>
      </w:r>
      <w:hyperlink r:id="rId90" w:history="1">
        <w:r w:rsidRPr="00F8728A">
          <w:rPr>
            <w:rFonts w:ascii="Times New Roman" w:hAnsi="Times New Roman"/>
            <w:color w:val="0000FF"/>
            <w:sz w:val="24"/>
            <w:szCs w:val="24"/>
            <w:u w:val="single"/>
          </w:rPr>
          <w:t>http://www.mrrb.government.bg/static/media/ups/articles/attachments/24e7666f6785ee40bfb094bec3ad5f45.pdf</w:t>
        </w:r>
      </w:hyperlink>
      <w:r w:rsidRPr="00F8728A">
        <w:rPr>
          <w:rFonts w:ascii="Times New Roman" w:hAnsi="Times New Roman"/>
          <w:color w:val="0000FF"/>
          <w:sz w:val="24"/>
          <w:szCs w:val="24"/>
          <w:u w:val="single"/>
        </w:rPr>
        <w:t>.</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Swart, R., R. Biesbroek, S. Binnerup, T.R. Carter, C. Cowan, T. Henrichs, S. Loquen, H. Mela, M. Morecroft, M. Reese, D. Rey. 2009. </w:t>
      </w:r>
      <w:r w:rsidRPr="00F8728A">
        <w:rPr>
          <w:rFonts w:ascii="Times New Roman" w:hAnsi="Times New Roman"/>
          <w:i/>
          <w:sz w:val="24"/>
          <w:szCs w:val="24"/>
        </w:rPr>
        <w:t>Europe Adapts to Climate Change. Comparing National Adaptation Strategies</w:t>
      </w:r>
      <w:r w:rsidRPr="00F8728A">
        <w:rPr>
          <w:rFonts w:ascii="Times New Roman" w:hAnsi="Times New Roman"/>
          <w:sz w:val="24"/>
          <w:szCs w:val="24"/>
        </w:rPr>
        <w:t xml:space="preserve">. PEER Report No 1. Helsinki: Partnership for European Environmental Research (accessed April 25, 2017),  </w:t>
      </w:r>
      <w:hyperlink r:id="rId91" w:history="1">
        <w:r w:rsidRPr="00F8728A">
          <w:rPr>
            <w:rFonts w:ascii="Times New Roman" w:hAnsi="Times New Roman"/>
            <w:color w:val="0000FF"/>
            <w:sz w:val="24"/>
            <w:szCs w:val="24"/>
            <w:u w:val="single"/>
          </w:rPr>
          <w:t xml:space="preserve">http://www.peer.eu/fileadmin/user_upload/publications/PEER_Report1.pdf </w:t>
        </w:r>
      </w:hyperlink>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i/>
          <w:sz w:val="24"/>
          <w:szCs w:val="24"/>
        </w:rPr>
        <w:t>Territorial Agenda of the European Union 2020 </w:t>
      </w:r>
      <w:r w:rsidRPr="00F8728A">
        <w:rPr>
          <w:rFonts w:ascii="Cambria Math" w:hAnsi="Cambria Math" w:cs="Cambria Math"/>
          <w:i/>
          <w:sz w:val="24"/>
          <w:szCs w:val="24"/>
        </w:rPr>
        <w:t>‐</w:t>
      </w:r>
      <w:r w:rsidRPr="00F8728A">
        <w:rPr>
          <w:rFonts w:ascii="Times New Roman" w:hAnsi="Times New Roman"/>
          <w:i/>
          <w:sz w:val="24"/>
          <w:szCs w:val="24"/>
        </w:rPr>
        <w:t> Towards an Inclusive, Smart and Sustainable Europe of Diverse Regions</w:t>
      </w:r>
      <w:r w:rsidRPr="00F8728A">
        <w:rPr>
          <w:rFonts w:ascii="Times New Roman" w:hAnsi="Times New Roman"/>
          <w:sz w:val="24"/>
          <w:szCs w:val="24"/>
        </w:rPr>
        <w:t xml:space="preserve">. 2007 (accessed April 13, 2017), </w:t>
      </w:r>
      <w:hyperlink r:id="rId92" w:history="1">
        <w:r w:rsidRPr="00F8728A">
          <w:rPr>
            <w:rFonts w:ascii="Times New Roman" w:hAnsi="Times New Roman"/>
            <w:color w:val="0000FF"/>
            <w:sz w:val="24"/>
            <w:szCs w:val="24"/>
            <w:u w:val="single"/>
          </w:rPr>
          <w:t>http://ec.europa.eu/regional_policy/en/information/publications/communications/2011/territorial-agenda-of-the-european-union-2020</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b/>
          <w:sz w:val="24"/>
          <w:szCs w:val="24"/>
        </w:rPr>
      </w:pPr>
      <w:r w:rsidRPr="00F8728A">
        <w:rPr>
          <w:rFonts w:ascii="Times New Roman" w:hAnsi="Times New Roman"/>
          <w:sz w:val="24"/>
          <w:szCs w:val="24"/>
        </w:rPr>
        <w:t>Tol, R.S.</w:t>
      </w:r>
      <w:r w:rsidRPr="00F8728A">
        <w:rPr>
          <w:rFonts w:ascii="Times New Roman" w:hAnsi="Times New Roman"/>
          <w:b/>
          <w:sz w:val="24"/>
          <w:szCs w:val="24"/>
        </w:rPr>
        <w:t xml:space="preserve"> </w:t>
      </w:r>
      <w:r w:rsidRPr="00F8728A">
        <w:rPr>
          <w:rFonts w:ascii="Times New Roman" w:hAnsi="Times New Roman"/>
          <w:sz w:val="24"/>
          <w:szCs w:val="24"/>
        </w:rPr>
        <w:t xml:space="preserve">1997. </w:t>
      </w:r>
      <w:r w:rsidRPr="00F8728A">
        <w:rPr>
          <w:rFonts w:ascii="Times New Roman" w:hAnsi="Times New Roman"/>
          <w:i/>
          <w:sz w:val="24"/>
          <w:szCs w:val="24"/>
        </w:rPr>
        <w:t>The Scope of Adaptation to Climate Change: What can we learn from Literature?</w:t>
      </w:r>
      <w:r w:rsidRPr="00F8728A">
        <w:rPr>
          <w:rFonts w:ascii="Times New Roman" w:hAnsi="Times New Roman"/>
          <w:sz w:val="24"/>
          <w:szCs w:val="24"/>
        </w:rPr>
        <w:t xml:space="preserve"> Institute for Environmental Studies, Vrije Universiteit Amsterdam.</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UN (United Nations) Habitat. 2011. “Cities and Climate Change.” </w:t>
      </w:r>
      <w:r w:rsidRPr="00F8728A">
        <w:rPr>
          <w:rFonts w:ascii="Times New Roman" w:hAnsi="Times New Roman"/>
          <w:i/>
          <w:sz w:val="24"/>
          <w:szCs w:val="24"/>
        </w:rPr>
        <w:t>Global Report on Human Settlements 2011</w:t>
      </w:r>
      <w:r w:rsidRPr="00F8728A">
        <w:rPr>
          <w:rFonts w:ascii="Times New Roman" w:hAnsi="Times New Roman"/>
          <w:sz w:val="24"/>
          <w:szCs w:val="24"/>
        </w:rPr>
        <w:t>.</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UN (United Nations) Sustainable Development. 1992. </w:t>
      </w:r>
      <w:r w:rsidRPr="00F8728A">
        <w:rPr>
          <w:rFonts w:ascii="Times New Roman" w:hAnsi="Times New Roman"/>
          <w:i/>
          <w:sz w:val="24"/>
          <w:szCs w:val="24"/>
        </w:rPr>
        <w:t>Agenda 21.</w:t>
      </w:r>
      <w:r w:rsidRPr="00F8728A">
        <w:rPr>
          <w:rFonts w:ascii="Times New Roman" w:hAnsi="Times New Roman"/>
          <w:sz w:val="24"/>
          <w:szCs w:val="24"/>
        </w:rPr>
        <w:t xml:space="preserve"> </w:t>
      </w:r>
      <w:hyperlink r:id="rId93" w:history="1">
        <w:r w:rsidRPr="00F8728A">
          <w:rPr>
            <w:rStyle w:val="Hyperlink"/>
            <w:rFonts w:ascii="Times New Roman" w:hAnsi="Times New Roman"/>
            <w:sz w:val="24"/>
            <w:szCs w:val="24"/>
          </w:rPr>
          <w:t>https://sustainabledevelopment.un.org/content/documents/Agenda21.pdf</w:t>
        </w:r>
      </w:hyperlink>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UN (United Nations) </w:t>
      </w:r>
      <w:r w:rsidRPr="00F8728A">
        <w:rPr>
          <w:rFonts w:ascii="Times New Roman" w:hAnsi="Times New Roman"/>
          <w:i/>
          <w:sz w:val="24"/>
          <w:szCs w:val="24"/>
        </w:rPr>
        <w:t>World Urbanisation Prospects</w:t>
      </w:r>
      <w:r w:rsidRPr="00F8728A">
        <w:rPr>
          <w:rFonts w:ascii="Times New Roman" w:hAnsi="Times New Roman"/>
          <w:sz w:val="24"/>
          <w:szCs w:val="24"/>
        </w:rPr>
        <w:t xml:space="preserve">. 2014 (revision) (accessed April 18, 2017), </w:t>
      </w:r>
      <w:hyperlink r:id="rId94" w:history="1">
        <w:r w:rsidRPr="00F8728A">
          <w:rPr>
            <w:rStyle w:val="Hyperlink"/>
            <w:rFonts w:ascii="Times New Roman" w:hAnsi="Times New Roman"/>
            <w:sz w:val="24"/>
            <w:szCs w:val="24"/>
          </w:rPr>
          <w:t>https://esa.un.org/unpd/wup/</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color w:val="244061"/>
          <w:sz w:val="24"/>
          <w:szCs w:val="24"/>
        </w:rPr>
      </w:pPr>
      <w:r w:rsidRPr="00F8728A">
        <w:rPr>
          <w:rFonts w:ascii="Times New Roman" w:hAnsi="Times New Roman"/>
          <w:sz w:val="24"/>
          <w:szCs w:val="24"/>
        </w:rPr>
        <w:t xml:space="preserve">UNDRS (United Nations Department of Relief and Sustainability). </w:t>
      </w:r>
      <w:r w:rsidRPr="00F8728A">
        <w:rPr>
          <w:rFonts w:ascii="Times New Roman" w:hAnsi="Times New Roman"/>
          <w:color w:val="244061"/>
          <w:sz w:val="24"/>
          <w:szCs w:val="24"/>
        </w:rPr>
        <w:t xml:space="preserve"> </w:t>
      </w:r>
      <w:hyperlink r:id="rId95" w:history="1">
        <w:r w:rsidRPr="00F8728A">
          <w:rPr>
            <w:rFonts w:ascii="Times New Roman" w:hAnsi="Times New Roman"/>
            <w:color w:val="0000FF"/>
            <w:sz w:val="24"/>
            <w:szCs w:val="24"/>
            <w:u w:val="single"/>
          </w:rPr>
          <w:t>http://unfccc.int/resource/docs/publications/pub_nwp_costs_benefits_adaptation.pdf</w:t>
        </w:r>
      </w:hyperlink>
      <w:r w:rsidRPr="00F8728A">
        <w:rPr>
          <w:rFonts w:ascii="Times New Roman" w:hAnsi="Times New Roman"/>
          <w:color w:val="244061"/>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Varbanov, 1999, 2006. Map of landslides in the Republic of Bulgaria (settlements, resorts and cottages, Zones and Road Network), Scale 1: 500 000. MRDPW and BAS</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Vogel, D. and J. Nunamaker. 1999. </w:t>
      </w:r>
      <w:r w:rsidRPr="00F8728A">
        <w:rPr>
          <w:rFonts w:ascii="Times New Roman" w:hAnsi="Times New Roman"/>
          <w:i/>
          <w:sz w:val="24"/>
          <w:szCs w:val="24"/>
        </w:rPr>
        <w:t>Group Decision Support System Impact: Multi-Methodological Exploration</w:t>
      </w:r>
      <w:r w:rsidRPr="00F8728A">
        <w:rPr>
          <w:rFonts w:ascii="Times New Roman" w:hAnsi="Times New Roman"/>
          <w:sz w:val="24"/>
          <w:szCs w:val="24"/>
        </w:rPr>
        <w:t xml:space="preserve">. </w:t>
      </w:r>
      <w:hyperlink r:id="rId96" w:history="1">
        <w:r w:rsidRPr="00F8728A">
          <w:rPr>
            <w:rFonts w:ascii="Times New Roman" w:hAnsi="Times New Roman"/>
            <w:color w:val="0000FF"/>
            <w:sz w:val="24"/>
            <w:szCs w:val="24"/>
            <w:u w:val="single"/>
          </w:rPr>
          <w:t>https://arizona.pure.elsevier.com/en/publications/group-decision-support-system-impact-multi-methodological-explora</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World Commission on Environment and Development. 1987. “Our Common Future Report,” </w:t>
      </w:r>
      <w:hyperlink r:id="rId97" w:history="1">
        <w:r w:rsidRPr="00F8728A">
          <w:rPr>
            <w:rStyle w:val="Hyperlink"/>
            <w:rFonts w:ascii="Times New Roman" w:hAnsi="Times New Roman"/>
            <w:sz w:val="24"/>
            <w:szCs w:val="24"/>
          </w:rPr>
          <w:t>http://www.un-documents.net/wced-ocf.htm</w:t>
        </w:r>
      </w:hyperlink>
      <w:r w:rsidRPr="00F8728A">
        <w:rPr>
          <w:rFonts w:ascii="Times New Roman" w:hAnsi="Times New Roman"/>
          <w:sz w:val="24"/>
          <w:szCs w:val="24"/>
        </w:rPr>
        <w:t>.</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World Bank. 2015. http://data.worldbank.org/indicator/SP.URB.TOTL.IN.ZS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Zahariev, B., V. Grigorova, and I. Yordanov. 2016. </w:t>
      </w:r>
      <w:r w:rsidRPr="00F8728A">
        <w:rPr>
          <w:rFonts w:ascii="Times New Roman" w:hAnsi="Times New Roman"/>
          <w:i/>
          <w:sz w:val="24"/>
          <w:szCs w:val="24"/>
        </w:rPr>
        <w:t>Energy Poverty in Bulgaria</w:t>
      </w:r>
      <w:r w:rsidRPr="00F8728A">
        <w:rPr>
          <w:rFonts w:ascii="Times New Roman" w:hAnsi="Times New Roman"/>
          <w:sz w:val="24"/>
          <w:szCs w:val="24"/>
        </w:rPr>
        <w:t xml:space="preserve">. The Open Society Institute Bulgaria, </w:t>
      </w:r>
      <w:hyperlink r:id="rId98" w:history="1">
        <w:r w:rsidRPr="00F8728A">
          <w:rPr>
            <w:rFonts w:ascii="Times New Roman" w:hAnsi="Times New Roman"/>
            <w:color w:val="0000FF"/>
            <w:sz w:val="24"/>
            <w:szCs w:val="24"/>
            <w:u w:val="single"/>
          </w:rPr>
          <w:t>http://osi.bg/downloads/File/2016/energy4.pdf</w:t>
        </w:r>
      </w:hyperlink>
      <w:r w:rsidRPr="00F8728A">
        <w:rPr>
          <w:rFonts w:ascii="Times New Roman" w:hAnsi="Times New Roman"/>
          <w:color w:val="0000FF"/>
          <w:sz w:val="24"/>
          <w:szCs w:val="24"/>
          <w:u w:val="single"/>
        </w:rPr>
        <w:t>.</w:t>
      </w:r>
      <w:r w:rsidRPr="00F8728A">
        <w:rPr>
          <w:rFonts w:ascii="Times New Roman" w:hAnsi="Times New Roman"/>
          <w:sz w:val="24"/>
          <w:szCs w:val="24"/>
        </w:rPr>
        <w:t xml:space="preserve"> </w:t>
      </w:r>
    </w:p>
    <w:p w:rsidR="00AA4661" w:rsidRPr="00B73D7E" w:rsidRDefault="00AA4661" w:rsidP="00CD6367">
      <w:pPr>
        <w:pStyle w:val="ListParagraph1"/>
        <w:spacing w:before="60" w:after="60"/>
        <w:contextualSpacing w:val="0"/>
        <w:jc w:val="both"/>
        <w:rPr>
          <w:rFonts w:ascii="Times New Roman" w:hAnsi="Times New Roman"/>
          <w:sz w:val="24"/>
          <w:szCs w:val="24"/>
          <w:lang w:val="bg-BG"/>
        </w:rPr>
      </w:pPr>
      <w:r w:rsidRPr="00B73D7E">
        <w:rPr>
          <w:rFonts w:ascii="Times New Roman" w:hAnsi="Times New Roman"/>
          <w:sz w:val="24"/>
          <w:szCs w:val="24"/>
          <w:lang w:val="bg-BG"/>
        </w:rPr>
        <w:t xml:space="preserve"> </w:t>
      </w:r>
    </w:p>
    <w:p w:rsidR="00AA4661" w:rsidRPr="00F8728A" w:rsidRDefault="00AA4661" w:rsidP="00676435">
      <w:pPr>
        <w:autoSpaceDE w:val="0"/>
        <w:autoSpaceDN w:val="0"/>
        <w:adjustRightInd w:val="0"/>
        <w:spacing w:before="60" w:after="60" w:line="264" w:lineRule="auto"/>
        <w:jc w:val="both"/>
        <w:rPr>
          <w:rFonts w:ascii="Times New Roman" w:hAnsi="Times New Roman"/>
          <w:sz w:val="24"/>
          <w:szCs w:val="24"/>
        </w:rPr>
        <w:sectPr w:rsidR="00AA4661" w:rsidRPr="00F8728A" w:rsidSect="00DE7F74">
          <w:pgSz w:w="11906" w:h="16838"/>
          <w:pgMar w:top="1411" w:right="1411" w:bottom="1411" w:left="1411" w:header="708" w:footer="708" w:gutter="0"/>
          <w:cols w:space="708"/>
          <w:docGrid w:linePitch="360"/>
        </w:sectPr>
      </w:pPr>
    </w:p>
    <w:p w:rsidR="00AA4661" w:rsidRPr="00B73D7E" w:rsidRDefault="00AA4661" w:rsidP="00B73D7E">
      <w:pPr>
        <w:pStyle w:val="Heading1"/>
        <w:spacing w:before="0" w:after="120"/>
        <w:jc w:val="both"/>
        <w:rPr>
          <w:rFonts w:eastAsia="Times New Roman"/>
          <w:bCs w:val="0"/>
          <w:color w:val="2F5496"/>
          <w:sz w:val="32"/>
          <w:szCs w:val="32"/>
          <w:lang w:val="bg-BG" w:eastAsia="en-US"/>
        </w:rPr>
      </w:pPr>
      <w:bookmarkStart w:id="750" w:name="_Toc522030602"/>
      <w:bookmarkStart w:id="751" w:name="_Toc529285587"/>
      <w:bookmarkStart w:id="752" w:name="_Toc486246238"/>
      <w:bookmarkStart w:id="753" w:name="_Toc486942221"/>
      <w:bookmarkStart w:id="754" w:name="_Toc501454898"/>
      <w:r w:rsidRPr="00B73D7E">
        <w:rPr>
          <w:rFonts w:eastAsia="Times New Roman"/>
          <w:bCs w:val="0"/>
          <w:color w:val="2F5496"/>
          <w:sz w:val="32"/>
          <w:szCs w:val="32"/>
          <w:lang w:val="bg-BG" w:eastAsia="en-US"/>
        </w:rPr>
        <w:t>Приложение 1. Потенциално влияние на изменението на климата върху сектор „Градска среда“ в България</w:t>
      </w:r>
      <w:bookmarkEnd w:id="750"/>
      <w:bookmarkEnd w:id="751"/>
    </w:p>
    <w:p w:rsidR="00AA4661" w:rsidRPr="008E7DAC" w:rsidRDefault="00AA4661" w:rsidP="00B73D7E">
      <w:pPr>
        <w:pStyle w:val="FiguresTablesCaption"/>
      </w:pPr>
      <w:bookmarkStart w:id="755" w:name="_Toc529286645"/>
      <w:bookmarkEnd w:id="752"/>
      <w:bookmarkEnd w:id="753"/>
      <w:bookmarkEnd w:id="754"/>
      <w:r w:rsidRPr="008E7DAC">
        <w:t xml:space="preserve">Таблица </w:t>
      </w:r>
      <w:r w:rsidRPr="008E7DAC">
        <w:fldChar w:fldCharType="begin"/>
      </w:r>
      <w:r w:rsidRPr="008E7DAC">
        <w:instrText xml:space="preserve"> SEQ Table \* ARABIC </w:instrText>
      </w:r>
      <w:r w:rsidRPr="008E7DAC">
        <w:fldChar w:fldCharType="separate"/>
      </w:r>
      <w:r w:rsidR="00485D6A" w:rsidRPr="00B73D7E">
        <w:t>18</w:t>
      </w:r>
      <w:r w:rsidRPr="008E7DAC">
        <w:fldChar w:fldCharType="end"/>
      </w:r>
      <w:r w:rsidRPr="008E7DAC">
        <w:t xml:space="preserve">. Потенциално влияние на изменението на климата върху сектор „Градска среда“ в България </w:t>
      </w:r>
      <w:r w:rsidR="00F8728A">
        <w:br/>
      </w:r>
      <w:r w:rsidRPr="008E7DAC">
        <w:t>по размер и местоположение на градовете</w:t>
      </w:r>
      <w:bookmarkEnd w:id="755"/>
    </w:p>
    <w:tbl>
      <w:tblPr>
        <w:tblW w:w="14723"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272"/>
        <w:gridCol w:w="2160"/>
        <w:gridCol w:w="545"/>
        <w:gridCol w:w="406"/>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tblGrid>
      <w:tr w:rsidR="00AA4661" w:rsidRPr="00F8728A" w:rsidTr="00B155A6">
        <w:trPr>
          <w:jc w:val="center"/>
        </w:trPr>
        <w:tc>
          <w:tcPr>
            <w:tcW w:w="2432" w:type="dxa"/>
            <w:gridSpan w:val="2"/>
            <w:vMerge w:val="restart"/>
            <w:shd w:val="clear" w:color="auto" w:fill="95B3D7"/>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Засегнати аспекти на градската среда</w:t>
            </w:r>
          </w:p>
        </w:tc>
        <w:tc>
          <w:tcPr>
            <w:tcW w:w="951" w:type="dxa"/>
            <w:gridSpan w:val="2"/>
            <w:vMerge w:val="restart"/>
            <w:shd w:val="clear" w:color="auto" w:fill="002060"/>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Висока темп.</w:t>
            </w:r>
          </w:p>
        </w:tc>
        <w:tc>
          <w:tcPr>
            <w:tcW w:w="810" w:type="dxa"/>
            <w:gridSpan w:val="2"/>
            <w:vMerge w:val="restart"/>
            <w:shd w:val="clear" w:color="auto" w:fill="002060"/>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Ниска темп.</w:t>
            </w:r>
          </w:p>
        </w:tc>
        <w:tc>
          <w:tcPr>
            <w:tcW w:w="810" w:type="dxa"/>
            <w:gridSpan w:val="2"/>
            <w:vMerge w:val="restart"/>
            <w:shd w:val="clear" w:color="auto" w:fill="002060"/>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Продъл-жителни дъждове</w:t>
            </w:r>
          </w:p>
        </w:tc>
        <w:tc>
          <w:tcPr>
            <w:tcW w:w="810" w:type="dxa"/>
            <w:gridSpan w:val="2"/>
            <w:vMerge w:val="restart"/>
            <w:shd w:val="clear" w:color="auto" w:fill="002060"/>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Суша</w:t>
            </w:r>
          </w:p>
        </w:tc>
        <w:tc>
          <w:tcPr>
            <w:tcW w:w="810" w:type="dxa"/>
            <w:gridSpan w:val="2"/>
            <w:vMerge w:val="restart"/>
            <w:shd w:val="clear" w:color="auto" w:fill="002060"/>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Повиша-ване на подпоч-вените води</w:t>
            </w:r>
          </w:p>
        </w:tc>
        <w:tc>
          <w:tcPr>
            <w:tcW w:w="810" w:type="dxa"/>
            <w:gridSpan w:val="2"/>
            <w:vMerge w:val="restart"/>
            <w:shd w:val="clear" w:color="auto" w:fill="002060"/>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Повиша-ване на морско-то равнище</w:t>
            </w:r>
          </w:p>
        </w:tc>
        <w:tc>
          <w:tcPr>
            <w:tcW w:w="2430" w:type="dxa"/>
            <w:gridSpan w:val="6"/>
            <w:shd w:val="clear" w:color="auto" w:fill="002060"/>
            <w:vAlign w:val="center"/>
          </w:tcPr>
          <w:p w:rsidR="00AA4661" w:rsidRPr="00F8728A" w:rsidRDefault="00AA4661" w:rsidP="00B155A6">
            <w:pPr>
              <w:spacing w:after="0"/>
              <w:jc w:val="center"/>
              <w:rPr>
                <w:rFonts w:ascii="Calibri" w:hAnsi="Calibri" w:cs="Calibri"/>
                <w:b/>
                <w:color w:val="FFFFFF"/>
                <w:sz w:val="18"/>
                <w:szCs w:val="18"/>
              </w:rPr>
            </w:pPr>
            <w:r w:rsidRPr="00F8728A">
              <w:rPr>
                <w:rFonts w:ascii="Calibri" w:hAnsi="Calibri" w:cs="Calibri"/>
                <w:b/>
                <w:color w:val="FFFFFF"/>
                <w:sz w:val="18"/>
                <w:szCs w:val="18"/>
              </w:rPr>
              <w:t>Специфични въздействия на ИК по отношение на градската среда</w:t>
            </w:r>
          </w:p>
        </w:tc>
        <w:tc>
          <w:tcPr>
            <w:tcW w:w="4860" w:type="dxa"/>
            <w:gridSpan w:val="12"/>
            <w:shd w:val="clear" w:color="auto" w:fill="002060"/>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Екстремни метеорологични събития</w:t>
            </w:r>
          </w:p>
        </w:tc>
      </w:tr>
      <w:tr w:rsidR="00AA4661" w:rsidRPr="00F8728A" w:rsidTr="00B155A6">
        <w:trPr>
          <w:jc w:val="center"/>
        </w:trPr>
        <w:tc>
          <w:tcPr>
            <w:tcW w:w="2432" w:type="dxa"/>
            <w:gridSpan w:val="2"/>
            <w:vMerge/>
            <w:shd w:val="clear" w:color="auto" w:fill="95B3D7"/>
            <w:vAlign w:val="center"/>
          </w:tcPr>
          <w:p w:rsidR="00AA4661" w:rsidRPr="00F8728A" w:rsidRDefault="00AA4661" w:rsidP="00B155A6">
            <w:pPr>
              <w:spacing w:after="0"/>
              <w:jc w:val="both"/>
              <w:rPr>
                <w:rFonts w:ascii="Calibri" w:hAnsi="Calibri" w:cs="Calibri"/>
                <w:sz w:val="18"/>
                <w:szCs w:val="18"/>
              </w:rPr>
            </w:pPr>
          </w:p>
        </w:tc>
        <w:tc>
          <w:tcPr>
            <w:tcW w:w="951" w:type="dxa"/>
            <w:gridSpan w:val="2"/>
            <w:vMerge/>
          </w:tcPr>
          <w:p w:rsidR="00AA4661" w:rsidRPr="00F8728A" w:rsidRDefault="00AA4661" w:rsidP="00B155A6">
            <w:pPr>
              <w:spacing w:after="0"/>
              <w:jc w:val="center"/>
              <w:rPr>
                <w:rFonts w:ascii="Calibri" w:hAnsi="Calibri" w:cs="Calibri"/>
                <w:sz w:val="18"/>
                <w:szCs w:val="18"/>
              </w:rPr>
            </w:pPr>
          </w:p>
        </w:tc>
        <w:tc>
          <w:tcPr>
            <w:tcW w:w="810" w:type="dxa"/>
            <w:gridSpan w:val="2"/>
            <w:vMerge/>
            <w:vAlign w:val="center"/>
          </w:tcPr>
          <w:p w:rsidR="00AA4661" w:rsidRPr="00F8728A" w:rsidRDefault="00AA4661" w:rsidP="00B155A6">
            <w:pPr>
              <w:spacing w:after="0"/>
              <w:jc w:val="center"/>
              <w:rPr>
                <w:rFonts w:ascii="Calibri" w:hAnsi="Calibri" w:cs="Calibri"/>
                <w:sz w:val="18"/>
                <w:szCs w:val="18"/>
              </w:rPr>
            </w:pPr>
          </w:p>
        </w:tc>
        <w:tc>
          <w:tcPr>
            <w:tcW w:w="810" w:type="dxa"/>
            <w:gridSpan w:val="2"/>
            <w:vMerge/>
            <w:vAlign w:val="center"/>
          </w:tcPr>
          <w:p w:rsidR="00AA4661" w:rsidRPr="00F8728A" w:rsidRDefault="00AA4661" w:rsidP="00B155A6">
            <w:pPr>
              <w:spacing w:after="0"/>
              <w:jc w:val="center"/>
              <w:rPr>
                <w:rFonts w:ascii="Calibri" w:hAnsi="Calibri" w:cs="Calibri"/>
                <w:sz w:val="18"/>
                <w:szCs w:val="18"/>
              </w:rPr>
            </w:pPr>
          </w:p>
        </w:tc>
        <w:tc>
          <w:tcPr>
            <w:tcW w:w="810" w:type="dxa"/>
            <w:gridSpan w:val="2"/>
            <w:vMerge/>
            <w:vAlign w:val="center"/>
          </w:tcPr>
          <w:p w:rsidR="00AA4661" w:rsidRPr="00F8728A" w:rsidRDefault="00AA4661" w:rsidP="00B155A6">
            <w:pPr>
              <w:spacing w:after="0"/>
              <w:jc w:val="center"/>
              <w:rPr>
                <w:rFonts w:ascii="Calibri" w:hAnsi="Calibri" w:cs="Calibri"/>
                <w:sz w:val="18"/>
                <w:szCs w:val="18"/>
              </w:rPr>
            </w:pPr>
          </w:p>
        </w:tc>
        <w:tc>
          <w:tcPr>
            <w:tcW w:w="810" w:type="dxa"/>
            <w:gridSpan w:val="2"/>
            <w:vMerge/>
            <w:vAlign w:val="center"/>
          </w:tcPr>
          <w:p w:rsidR="00AA4661" w:rsidRPr="00F8728A" w:rsidRDefault="00AA4661" w:rsidP="00B155A6">
            <w:pPr>
              <w:spacing w:after="0"/>
              <w:jc w:val="center"/>
              <w:rPr>
                <w:rFonts w:ascii="Calibri" w:hAnsi="Calibri" w:cs="Calibri"/>
                <w:sz w:val="18"/>
                <w:szCs w:val="18"/>
              </w:rPr>
            </w:pPr>
          </w:p>
        </w:tc>
        <w:tc>
          <w:tcPr>
            <w:tcW w:w="810" w:type="dxa"/>
            <w:gridSpan w:val="2"/>
            <w:vMerge/>
            <w:vAlign w:val="center"/>
          </w:tcPr>
          <w:p w:rsidR="00AA4661" w:rsidRPr="00F8728A" w:rsidRDefault="00AA4661" w:rsidP="00B155A6">
            <w:pPr>
              <w:spacing w:after="0"/>
              <w:jc w:val="center"/>
              <w:rPr>
                <w:rFonts w:ascii="Calibri" w:hAnsi="Calibri" w:cs="Calibri"/>
                <w:sz w:val="18"/>
                <w:szCs w:val="18"/>
              </w:rPr>
            </w:pPr>
          </w:p>
        </w:tc>
        <w:tc>
          <w:tcPr>
            <w:tcW w:w="810" w:type="dxa"/>
            <w:gridSpan w:val="2"/>
            <w:shd w:val="clear" w:color="auto" w:fill="FFFFCC"/>
            <w:vAlign w:val="center"/>
          </w:tcPr>
          <w:p w:rsidR="00AA4661" w:rsidRPr="00F8728A" w:rsidRDefault="00AA4661" w:rsidP="00B155A6">
            <w:pPr>
              <w:spacing w:after="0"/>
              <w:jc w:val="center"/>
              <w:rPr>
                <w:rFonts w:ascii="Calibri" w:hAnsi="Calibri" w:cs="Calibri"/>
                <w:b/>
                <w:color w:val="000000"/>
                <w:sz w:val="18"/>
                <w:szCs w:val="18"/>
              </w:rPr>
            </w:pPr>
            <w:r w:rsidRPr="00F8728A">
              <w:rPr>
                <w:rFonts w:ascii="Calibri" w:hAnsi="Calibri" w:cs="Calibri"/>
                <w:b/>
                <w:color w:val="000000"/>
                <w:sz w:val="18"/>
                <w:szCs w:val="18"/>
              </w:rPr>
              <w:t>Земе-</w:t>
            </w:r>
          </w:p>
          <w:p w:rsidR="00AA4661" w:rsidRPr="00F8728A" w:rsidRDefault="00AA4661" w:rsidP="00B155A6">
            <w:pPr>
              <w:spacing w:after="0"/>
              <w:jc w:val="center"/>
              <w:rPr>
                <w:rFonts w:ascii="Calibri" w:hAnsi="Calibri" w:cs="Calibri"/>
                <w:color w:val="000000"/>
                <w:sz w:val="18"/>
                <w:szCs w:val="18"/>
              </w:rPr>
            </w:pPr>
            <w:r w:rsidRPr="00F8728A">
              <w:rPr>
                <w:rFonts w:ascii="Calibri" w:hAnsi="Calibri" w:cs="Calibri"/>
                <w:b/>
                <w:color w:val="000000"/>
                <w:sz w:val="18"/>
                <w:szCs w:val="18"/>
              </w:rPr>
              <w:t>тресение</w:t>
            </w:r>
          </w:p>
        </w:tc>
        <w:tc>
          <w:tcPr>
            <w:tcW w:w="810" w:type="dxa"/>
            <w:gridSpan w:val="2"/>
            <w:shd w:val="clear" w:color="auto" w:fill="FFFFCC"/>
            <w:vAlign w:val="center"/>
          </w:tcPr>
          <w:p w:rsidR="00AA4661" w:rsidRPr="00F8728A" w:rsidRDefault="00AA4661" w:rsidP="00B155A6">
            <w:pPr>
              <w:spacing w:after="0"/>
              <w:jc w:val="center"/>
              <w:rPr>
                <w:rFonts w:ascii="Calibri" w:hAnsi="Calibri" w:cs="Calibri"/>
                <w:b/>
                <w:color w:val="000000"/>
                <w:sz w:val="18"/>
                <w:szCs w:val="18"/>
              </w:rPr>
            </w:pPr>
            <w:r w:rsidRPr="00F8728A">
              <w:rPr>
                <w:rFonts w:ascii="Calibri" w:hAnsi="Calibri" w:cs="Calibri"/>
                <w:b/>
                <w:color w:val="000000"/>
                <w:sz w:val="18"/>
                <w:szCs w:val="18"/>
              </w:rPr>
              <w:t>Градуш-ки</w:t>
            </w:r>
          </w:p>
        </w:tc>
        <w:tc>
          <w:tcPr>
            <w:tcW w:w="810" w:type="dxa"/>
            <w:gridSpan w:val="2"/>
            <w:shd w:val="clear" w:color="auto" w:fill="FFFFCC"/>
            <w:vAlign w:val="center"/>
          </w:tcPr>
          <w:p w:rsidR="00AA4661" w:rsidRPr="00F8728A" w:rsidRDefault="00AA4661" w:rsidP="00B155A6">
            <w:pPr>
              <w:spacing w:after="0"/>
              <w:jc w:val="center"/>
              <w:rPr>
                <w:rFonts w:ascii="Calibri" w:hAnsi="Calibri" w:cs="Calibri"/>
                <w:b/>
                <w:color w:val="000000"/>
                <w:sz w:val="18"/>
                <w:szCs w:val="18"/>
              </w:rPr>
            </w:pPr>
            <w:r w:rsidRPr="00F8728A">
              <w:rPr>
                <w:rFonts w:ascii="Calibri" w:hAnsi="Calibri" w:cs="Calibri"/>
                <w:b/>
                <w:color w:val="000000"/>
                <w:sz w:val="18"/>
                <w:szCs w:val="18"/>
              </w:rPr>
              <w:t>Замърс. на възд.</w:t>
            </w:r>
          </w:p>
        </w:tc>
        <w:tc>
          <w:tcPr>
            <w:tcW w:w="810" w:type="dxa"/>
            <w:gridSpan w:val="2"/>
            <w:shd w:val="clear" w:color="auto" w:fill="DBE5F1"/>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Гръмоте-вични бури</w:t>
            </w:r>
          </w:p>
        </w:tc>
        <w:tc>
          <w:tcPr>
            <w:tcW w:w="810" w:type="dxa"/>
            <w:gridSpan w:val="2"/>
            <w:shd w:val="clear" w:color="auto" w:fill="DBE5F1"/>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Мъгла</w:t>
            </w:r>
          </w:p>
        </w:tc>
        <w:tc>
          <w:tcPr>
            <w:tcW w:w="810" w:type="dxa"/>
            <w:gridSpan w:val="2"/>
            <w:shd w:val="clear" w:color="auto" w:fill="DBE5F1"/>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Навод-нения</w:t>
            </w:r>
          </w:p>
        </w:tc>
        <w:tc>
          <w:tcPr>
            <w:tcW w:w="810" w:type="dxa"/>
            <w:gridSpan w:val="2"/>
            <w:shd w:val="clear" w:color="auto" w:fill="DBE5F1"/>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Лавини</w:t>
            </w:r>
          </w:p>
        </w:tc>
        <w:tc>
          <w:tcPr>
            <w:tcW w:w="810" w:type="dxa"/>
            <w:gridSpan w:val="2"/>
            <w:shd w:val="clear" w:color="auto" w:fill="DBE5F1"/>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Свла-</w:t>
            </w:r>
          </w:p>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чища</w:t>
            </w:r>
          </w:p>
        </w:tc>
        <w:tc>
          <w:tcPr>
            <w:tcW w:w="810" w:type="dxa"/>
            <w:gridSpan w:val="2"/>
            <w:shd w:val="clear" w:color="auto" w:fill="DBE5F1"/>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Бури</w:t>
            </w:r>
          </w:p>
        </w:tc>
      </w:tr>
      <w:tr w:rsidR="00AA4661" w:rsidRPr="00F8728A" w:rsidTr="00B155A6">
        <w:trPr>
          <w:jc w:val="center"/>
        </w:trPr>
        <w:tc>
          <w:tcPr>
            <w:tcW w:w="2432" w:type="dxa"/>
            <w:gridSpan w:val="2"/>
            <w:vMerge/>
            <w:shd w:val="clear" w:color="auto" w:fill="95B3D7"/>
            <w:vAlign w:val="center"/>
          </w:tcPr>
          <w:p w:rsidR="00AA4661" w:rsidRPr="00F8728A" w:rsidRDefault="00AA4661" w:rsidP="00B155A6">
            <w:pPr>
              <w:spacing w:after="0"/>
              <w:jc w:val="both"/>
              <w:rPr>
                <w:rFonts w:ascii="Calibri" w:hAnsi="Calibri" w:cs="Calibri"/>
                <w:sz w:val="18"/>
                <w:szCs w:val="18"/>
              </w:rPr>
            </w:pPr>
          </w:p>
        </w:tc>
        <w:tc>
          <w:tcPr>
            <w:tcW w:w="545" w:type="dxa"/>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6"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r>
      <w:tr w:rsidR="00AA4661" w:rsidRPr="00F8728A" w:rsidTr="00B155A6">
        <w:trPr>
          <w:jc w:val="center"/>
        </w:trPr>
        <w:tc>
          <w:tcPr>
            <w:tcW w:w="14723" w:type="dxa"/>
            <w:gridSpan w:val="32"/>
            <w:shd w:val="clear" w:color="auto" w:fill="EEECE1"/>
          </w:tcPr>
          <w:p w:rsidR="00AA4661" w:rsidRPr="00F8728A" w:rsidRDefault="00AA4661" w:rsidP="00B155A6">
            <w:pPr>
              <w:tabs>
                <w:tab w:val="left" w:pos="7751"/>
              </w:tabs>
              <w:spacing w:before="40" w:after="40"/>
              <w:jc w:val="both"/>
              <w:rPr>
                <w:rFonts w:ascii="Calibri" w:hAnsi="Calibri" w:cs="Calibri"/>
                <w:b/>
                <w:sz w:val="18"/>
                <w:szCs w:val="18"/>
              </w:rPr>
            </w:pPr>
            <w:r w:rsidRPr="00F8728A">
              <w:rPr>
                <w:rFonts w:ascii="Calibri" w:hAnsi="Calibri" w:cs="Calibri"/>
                <w:b/>
                <w:sz w:val="18"/>
                <w:szCs w:val="18"/>
              </w:rPr>
              <w:t>Градове по размер</w:t>
            </w:r>
          </w:p>
        </w:tc>
      </w:tr>
      <w:tr w:rsidR="00AA4661" w:rsidRPr="00F8728A" w:rsidTr="00B155A6">
        <w:trPr>
          <w:jc w:val="center"/>
        </w:trPr>
        <w:tc>
          <w:tcPr>
            <w:tcW w:w="2432" w:type="dxa"/>
            <w:gridSpan w:val="2"/>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Големи – над 100</w:t>
            </w:r>
            <w:r w:rsidR="00506D91">
              <w:rPr>
                <w:rFonts w:ascii="Calibri" w:hAnsi="Calibri" w:cs="Calibri"/>
                <w:b/>
                <w:sz w:val="18"/>
                <w:szCs w:val="18"/>
                <w:lang w:val="en-US"/>
              </w:rPr>
              <w:t xml:space="preserve"> </w:t>
            </w:r>
            <w:r w:rsidRPr="00F8728A">
              <w:rPr>
                <w:rFonts w:ascii="Calibri" w:hAnsi="Calibri" w:cs="Calibri"/>
                <w:b/>
                <w:sz w:val="18"/>
                <w:szCs w:val="18"/>
              </w:rPr>
              <w:t>000</w:t>
            </w:r>
          </w:p>
        </w:tc>
        <w:tc>
          <w:tcPr>
            <w:tcW w:w="545" w:type="dxa"/>
            <w:shd w:val="clear" w:color="auto" w:fill="FF3300"/>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6"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jc w:val="center"/>
        </w:trPr>
        <w:tc>
          <w:tcPr>
            <w:tcW w:w="2432" w:type="dxa"/>
            <w:gridSpan w:val="2"/>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Средни – 30</w:t>
            </w:r>
            <w:r w:rsidR="00506D91">
              <w:rPr>
                <w:rFonts w:ascii="Calibri" w:hAnsi="Calibri" w:cs="Calibri"/>
                <w:b/>
                <w:sz w:val="18"/>
                <w:szCs w:val="18"/>
                <w:lang w:val="en-US"/>
              </w:rPr>
              <w:t xml:space="preserve"> </w:t>
            </w:r>
            <w:r w:rsidRPr="00F8728A">
              <w:rPr>
                <w:rFonts w:ascii="Calibri" w:hAnsi="Calibri" w:cs="Calibri"/>
                <w:b/>
                <w:sz w:val="18"/>
                <w:szCs w:val="18"/>
              </w:rPr>
              <w:t>000 – 100</w:t>
            </w:r>
            <w:r w:rsidR="00506D91">
              <w:rPr>
                <w:rFonts w:ascii="Calibri" w:hAnsi="Calibri" w:cs="Calibri"/>
                <w:b/>
                <w:sz w:val="18"/>
                <w:szCs w:val="18"/>
                <w:lang w:val="en-US"/>
              </w:rPr>
              <w:t xml:space="preserve"> </w:t>
            </w:r>
            <w:r w:rsidRPr="00F8728A">
              <w:rPr>
                <w:rFonts w:ascii="Calibri" w:hAnsi="Calibri" w:cs="Calibri"/>
                <w:b/>
                <w:sz w:val="18"/>
                <w:szCs w:val="18"/>
              </w:rPr>
              <w:t>000</w:t>
            </w:r>
          </w:p>
        </w:tc>
        <w:tc>
          <w:tcPr>
            <w:tcW w:w="545" w:type="dxa"/>
            <w:shd w:val="clear" w:color="auto" w:fill="FF3300"/>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6"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jc w:val="center"/>
        </w:trPr>
        <w:tc>
          <w:tcPr>
            <w:tcW w:w="2432" w:type="dxa"/>
            <w:gridSpan w:val="2"/>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Малки – под 30</w:t>
            </w:r>
            <w:r w:rsidR="00506D91">
              <w:rPr>
                <w:rFonts w:ascii="Calibri" w:hAnsi="Calibri" w:cs="Calibri"/>
                <w:b/>
                <w:sz w:val="18"/>
                <w:szCs w:val="18"/>
                <w:lang w:val="en-US"/>
              </w:rPr>
              <w:t xml:space="preserve"> </w:t>
            </w:r>
            <w:r w:rsidRPr="00F8728A">
              <w:rPr>
                <w:rFonts w:ascii="Calibri" w:hAnsi="Calibri" w:cs="Calibri"/>
                <w:b/>
                <w:sz w:val="18"/>
                <w:szCs w:val="18"/>
              </w:rPr>
              <w:t>000</w:t>
            </w:r>
          </w:p>
        </w:tc>
        <w:tc>
          <w:tcPr>
            <w:tcW w:w="545" w:type="dxa"/>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6"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jc w:val="center"/>
        </w:trPr>
        <w:tc>
          <w:tcPr>
            <w:tcW w:w="14723" w:type="dxa"/>
            <w:gridSpan w:val="32"/>
            <w:shd w:val="clear" w:color="auto" w:fill="EEECE1"/>
          </w:tcPr>
          <w:p w:rsidR="00AA4661" w:rsidRPr="00F8728A" w:rsidRDefault="00AA4661" w:rsidP="00B155A6">
            <w:pPr>
              <w:tabs>
                <w:tab w:val="left" w:pos="7751"/>
              </w:tabs>
              <w:spacing w:before="40" w:after="40"/>
              <w:jc w:val="both"/>
              <w:rPr>
                <w:rFonts w:ascii="Calibri" w:hAnsi="Calibri" w:cs="Calibri"/>
                <w:b/>
                <w:sz w:val="18"/>
                <w:szCs w:val="18"/>
              </w:rPr>
            </w:pPr>
            <w:r w:rsidRPr="00F8728A">
              <w:rPr>
                <w:rFonts w:ascii="Calibri" w:hAnsi="Calibri" w:cs="Calibri"/>
                <w:b/>
                <w:sz w:val="18"/>
                <w:szCs w:val="18"/>
              </w:rPr>
              <w:t>Градове по местоположение</w:t>
            </w:r>
          </w:p>
        </w:tc>
      </w:tr>
      <w:tr w:rsidR="00AA4661" w:rsidRPr="00F8728A" w:rsidTr="00B155A6">
        <w:trPr>
          <w:jc w:val="center"/>
        </w:trPr>
        <w:tc>
          <w:tcPr>
            <w:tcW w:w="2432" w:type="dxa"/>
            <w:gridSpan w:val="2"/>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Крайбрежни</w:t>
            </w:r>
          </w:p>
        </w:tc>
        <w:tc>
          <w:tcPr>
            <w:tcW w:w="545" w:type="dxa"/>
          </w:tcPr>
          <w:p w:rsidR="00AA4661" w:rsidRPr="00F8728A" w:rsidRDefault="00AA4661" w:rsidP="00B155A6">
            <w:pPr>
              <w:spacing w:before="40" w:after="40"/>
              <w:jc w:val="both"/>
              <w:rPr>
                <w:rFonts w:ascii="Calibri" w:hAnsi="Calibri" w:cs="Calibri"/>
                <w:b/>
                <w:sz w:val="22"/>
                <w:szCs w:val="20"/>
              </w:rPr>
            </w:pPr>
          </w:p>
        </w:tc>
        <w:tc>
          <w:tcPr>
            <w:tcW w:w="406"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r>
      <w:tr w:rsidR="00AA4661" w:rsidRPr="00F8728A" w:rsidTr="00B155A6">
        <w:trPr>
          <w:jc w:val="center"/>
        </w:trPr>
        <w:tc>
          <w:tcPr>
            <w:tcW w:w="2432" w:type="dxa"/>
            <w:gridSpan w:val="2"/>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Вкл.:   на р. Дунав</w:t>
            </w:r>
          </w:p>
        </w:tc>
        <w:tc>
          <w:tcPr>
            <w:tcW w:w="545" w:type="dxa"/>
            <w:shd w:val="clear" w:color="auto" w:fill="FF3300"/>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6"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r>
      <w:tr w:rsidR="00AA4661" w:rsidRPr="00F8728A" w:rsidTr="00B155A6">
        <w:trPr>
          <w:jc w:val="center"/>
        </w:trPr>
        <w:tc>
          <w:tcPr>
            <w:tcW w:w="2432" w:type="dxa"/>
            <w:gridSpan w:val="2"/>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 xml:space="preserve">            на Черно море</w:t>
            </w:r>
          </w:p>
        </w:tc>
        <w:tc>
          <w:tcPr>
            <w:tcW w:w="545" w:type="dxa"/>
            <w:shd w:val="clear" w:color="auto" w:fill="FF3300"/>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6"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jc w:val="center"/>
        </w:trPr>
        <w:tc>
          <w:tcPr>
            <w:tcW w:w="2432" w:type="dxa"/>
            <w:gridSpan w:val="2"/>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Равнинни</w:t>
            </w:r>
          </w:p>
        </w:tc>
        <w:tc>
          <w:tcPr>
            <w:tcW w:w="545" w:type="dxa"/>
            <w:shd w:val="clear" w:color="auto" w:fill="FF3300"/>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6"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r>
      <w:tr w:rsidR="00AA4661" w:rsidRPr="00F8728A" w:rsidTr="00B155A6">
        <w:trPr>
          <w:jc w:val="center"/>
        </w:trPr>
        <w:tc>
          <w:tcPr>
            <w:tcW w:w="2432" w:type="dxa"/>
            <w:gridSpan w:val="2"/>
          </w:tcPr>
          <w:p w:rsidR="00AA4661" w:rsidRPr="00F8728A" w:rsidRDefault="00AA4661" w:rsidP="00B155A6">
            <w:pPr>
              <w:spacing w:before="40" w:after="40"/>
              <w:rPr>
                <w:rFonts w:ascii="Calibri" w:hAnsi="Calibri" w:cs="Calibri"/>
                <w:b/>
                <w:sz w:val="18"/>
                <w:szCs w:val="18"/>
              </w:rPr>
            </w:pPr>
            <w:r w:rsidRPr="00F8728A">
              <w:rPr>
                <w:rFonts w:ascii="Calibri" w:hAnsi="Calibri" w:cs="Calibri"/>
                <w:b/>
                <w:sz w:val="18"/>
                <w:szCs w:val="18"/>
              </w:rPr>
              <w:t>Планински и полупланински</w:t>
            </w:r>
          </w:p>
        </w:tc>
        <w:tc>
          <w:tcPr>
            <w:tcW w:w="545" w:type="dxa"/>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6"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trHeight w:val="525"/>
          <w:jc w:val="center"/>
        </w:trPr>
        <w:tc>
          <w:tcPr>
            <w:tcW w:w="272" w:type="dxa"/>
            <w:tcBorders>
              <w:left w:val="nil"/>
              <w:bottom w:val="nil"/>
              <w:right w:val="nil"/>
            </w:tcBorders>
          </w:tcPr>
          <w:p w:rsidR="00AA4661" w:rsidRPr="00F8728A" w:rsidRDefault="00AA4661" w:rsidP="00B155A6">
            <w:pPr>
              <w:spacing w:before="60" w:after="0"/>
              <w:jc w:val="both"/>
              <w:rPr>
                <w:rFonts w:ascii="Calibri" w:hAnsi="Calibri" w:cs="Calibri"/>
                <w:b/>
                <w:sz w:val="22"/>
              </w:rPr>
            </w:pPr>
          </w:p>
        </w:tc>
        <w:tc>
          <w:tcPr>
            <w:tcW w:w="14451" w:type="dxa"/>
            <w:gridSpan w:val="31"/>
            <w:tcBorders>
              <w:left w:val="nil"/>
              <w:bottom w:val="nil"/>
              <w:right w:val="nil"/>
            </w:tcBorders>
          </w:tcPr>
          <w:p w:rsidR="00AA4661" w:rsidRPr="00F8728A" w:rsidRDefault="00AA4661" w:rsidP="00B155A6">
            <w:pPr>
              <w:spacing w:before="120" w:after="0" w:line="276" w:lineRule="auto"/>
              <w:jc w:val="center"/>
              <w:rPr>
                <w:rFonts w:ascii="Calibri" w:hAnsi="Calibri" w:cs="Calibri"/>
                <w:sz w:val="18"/>
                <w:szCs w:val="18"/>
              </w:rPr>
            </w:pPr>
            <w:r w:rsidRPr="00F8728A">
              <w:rPr>
                <w:rFonts w:ascii="Calibri" w:hAnsi="Calibri" w:cs="Calibri"/>
                <w:b/>
                <w:sz w:val="18"/>
                <w:szCs w:val="18"/>
              </w:rPr>
              <w:t>Легенда:</w:t>
            </w:r>
            <w:r w:rsidRPr="00F8728A">
              <w:rPr>
                <w:rFonts w:ascii="Calibri" w:hAnsi="Calibri" w:cs="Calibri"/>
                <w:sz w:val="18"/>
                <w:szCs w:val="18"/>
              </w:rPr>
              <w:t xml:space="preserve"> Щ = щета; </w:t>
            </w:r>
            <w:r w:rsidRPr="00F8728A">
              <w:rPr>
                <w:rFonts w:ascii="Calibri" w:hAnsi="Calibri" w:cs="Calibri"/>
                <w:sz w:val="18"/>
                <w:szCs w:val="18"/>
                <w:shd w:val="clear" w:color="auto" w:fill="000000"/>
              </w:rPr>
              <w:t>Ве</w:t>
            </w:r>
            <w:r w:rsidRPr="00F8728A">
              <w:rPr>
                <w:rFonts w:ascii="Calibri" w:hAnsi="Calibri" w:cs="Calibri"/>
                <w:sz w:val="18"/>
                <w:szCs w:val="18"/>
              </w:rPr>
              <w:t xml:space="preserve"> = вероятност да се случи до 2050 г. най-късно; нд = няма данни; В = висок/о; С = среден/но; Н = нисък/ко</w:t>
            </w:r>
          </w:p>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shd w:val="clear" w:color="auto" w:fill="FF3300"/>
              </w:rPr>
              <w:t>червен</w:t>
            </w:r>
            <w:r w:rsidRPr="00F8728A">
              <w:rPr>
                <w:rFonts w:ascii="Calibri" w:hAnsi="Calibri" w:cs="Calibri"/>
                <w:sz w:val="18"/>
                <w:szCs w:val="18"/>
              </w:rPr>
              <w:t xml:space="preserve"> = отрицателно въздействие; </w:t>
            </w:r>
            <w:r w:rsidRPr="00F8728A">
              <w:rPr>
                <w:rFonts w:ascii="Calibri" w:hAnsi="Calibri" w:cs="Calibri"/>
                <w:sz w:val="18"/>
                <w:szCs w:val="18"/>
                <w:shd w:val="clear" w:color="auto" w:fill="92D050"/>
              </w:rPr>
              <w:t>зелен</w:t>
            </w:r>
            <w:r w:rsidRPr="00F8728A">
              <w:rPr>
                <w:rFonts w:ascii="Calibri" w:hAnsi="Calibri" w:cs="Calibri"/>
                <w:sz w:val="18"/>
                <w:szCs w:val="18"/>
              </w:rPr>
              <w:t xml:space="preserve"> = положително въздействие; празно = неутрално въздействие</w:t>
            </w:r>
          </w:p>
          <w:p w:rsidR="00AA4661" w:rsidRPr="00F8728A" w:rsidRDefault="00AA4661" w:rsidP="00B155A6">
            <w:pPr>
              <w:spacing w:after="0"/>
              <w:jc w:val="both"/>
              <w:rPr>
                <w:rFonts w:ascii="Calibri" w:hAnsi="Calibri" w:cs="Calibri"/>
                <w:b/>
                <w:sz w:val="22"/>
                <w:szCs w:val="20"/>
              </w:rPr>
            </w:pPr>
          </w:p>
        </w:tc>
      </w:tr>
    </w:tbl>
    <w:p w:rsidR="00AA4661" w:rsidRPr="00F8728A" w:rsidRDefault="00AA4661">
      <w:pPr>
        <w:widowControl w:val="0"/>
        <w:spacing w:after="0"/>
        <w:rPr>
          <w:rFonts w:ascii="Calibri" w:hAnsi="Calibri"/>
          <w:b/>
          <w:color w:val="365F91"/>
          <w:sz w:val="28"/>
          <w:szCs w:val="26"/>
          <w:lang w:eastAsia="x-none"/>
        </w:rPr>
      </w:pPr>
      <w:bookmarkStart w:id="756" w:name="_Toc486246256"/>
      <w:bookmarkStart w:id="757" w:name="_Toc486942239"/>
      <w:bookmarkStart w:id="758" w:name="_Toc501454916"/>
      <w:r w:rsidRPr="00F8728A">
        <w:br w:type="page"/>
      </w:r>
    </w:p>
    <w:p w:rsidR="00AA4661" w:rsidRPr="008E7DAC" w:rsidRDefault="00485D6A" w:rsidP="00B73D7E">
      <w:pPr>
        <w:pStyle w:val="FiguresTablesCaption"/>
      </w:pPr>
      <w:bookmarkStart w:id="759" w:name="_Toc529286646"/>
      <w:bookmarkEnd w:id="756"/>
      <w:bookmarkEnd w:id="757"/>
      <w:bookmarkEnd w:id="758"/>
      <w:r w:rsidRPr="008E7DAC">
        <w:t xml:space="preserve">Таблица </w:t>
      </w:r>
      <w:r w:rsidRPr="008E7DAC">
        <w:fldChar w:fldCharType="begin"/>
      </w:r>
      <w:r w:rsidRPr="008E7DAC">
        <w:instrText xml:space="preserve"> SEQ Table \* ARABIC </w:instrText>
      </w:r>
      <w:r w:rsidRPr="008E7DAC">
        <w:fldChar w:fldCharType="separate"/>
      </w:r>
      <w:r w:rsidRPr="00B73D7E">
        <w:t>19</w:t>
      </w:r>
      <w:r w:rsidRPr="008E7DAC">
        <w:fldChar w:fldCharType="end"/>
      </w:r>
      <w:r w:rsidRPr="008E7DAC">
        <w:t xml:space="preserve">. </w:t>
      </w:r>
      <w:r w:rsidR="00AA4661" w:rsidRPr="008E7DAC">
        <w:t>Потенциално влияние на изменението на климата върху сектор „Градска среда“ в България</w:t>
      </w:r>
      <w:bookmarkEnd w:id="759"/>
    </w:p>
    <w:tbl>
      <w:tblPr>
        <w:tblW w:w="1472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2510"/>
        <w:gridCol w:w="469"/>
        <w:gridCol w:w="406"/>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tblGrid>
      <w:tr w:rsidR="00AA4661" w:rsidRPr="00F8728A" w:rsidTr="00B155A6">
        <w:trPr>
          <w:tblHeader/>
          <w:jc w:val="center"/>
        </w:trPr>
        <w:tc>
          <w:tcPr>
            <w:tcW w:w="2510" w:type="dxa"/>
            <w:vMerge w:val="restart"/>
            <w:shd w:val="clear" w:color="auto" w:fill="95B3D7"/>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Засегнати компоненти на градската среда</w:t>
            </w:r>
          </w:p>
        </w:tc>
        <w:tc>
          <w:tcPr>
            <w:tcW w:w="875" w:type="dxa"/>
            <w:gridSpan w:val="2"/>
            <w:vMerge w:val="restart"/>
            <w:shd w:val="clear" w:color="auto" w:fill="002060"/>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Висока темп.</w:t>
            </w:r>
          </w:p>
        </w:tc>
        <w:tc>
          <w:tcPr>
            <w:tcW w:w="810" w:type="dxa"/>
            <w:gridSpan w:val="2"/>
            <w:vMerge w:val="restart"/>
            <w:shd w:val="clear" w:color="auto" w:fill="002060"/>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Ниска темп.</w:t>
            </w:r>
          </w:p>
        </w:tc>
        <w:tc>
          <w:tcPr>
            <w:tcW w:w="810" w:type="dxa"/>
            <w:gridSpan w:val="2"/>
            <w:vMerge w:val="restart"/>
            <w:shd w:val="clear" w:color="auto" w:fill="002060"/>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Продъл-жителни дъждове</w:t>
            </w:r>
          </w:p>
        </w:tc>
        <w:tc>
          <w:tcPr>
            <w:tcW w:w="810" w:type="dxa"/>
            <w:gridSpan w:val="2"/>
            <w:vMerge w:val="restart"/>
            <w:shd w:val="clear" w:color="auto" w:fill="002060"/>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Суша</w:t>
            </w:r>
          </w:p>
        </w:tc>
        <w:tc>
          <w:tcPr>
            <w:tcW w:w="810" w:type="dxa"/>
            <w:gridSpan w:val="2"/>
            <w:vMerge w:val="restart"/>
            <w:shd w:val="clear" w:color="auto" w:fill="002060"/>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Повиша-ване на подпоч-вените води</w:t>
            </w:r>
          </w:p>
        </w:tc>
        <w:tc>
          <w:tcPr>
            <w:tcW w:w="810" w:type="dxa"/>
            <w:gridSpan w:val="2"/>
            <w:vMerge w:val="restart"/>
            <w:shd w:val="clear" w:color="auto" w:fill="002060"/>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Повиша-ване на морско-то равнище</w:t>
            </w:r>
          </w:p>
        </w:tc>
        <w:tc>
          <w:tcPr>
            <w:tcW w:w="2430" w:type="dxa"/>
            <w:gridSpan w:val="6"/>
            <w:shd w:val="clear" w:color="auto" w:fill="002060"/>
            <w:vAlign w:val="center"/>
          </w:tcPr>
          <w:p w:rsidR="00AA4661" w:rsidRPr="00F8728A" w:rsidRDefault="00AA4661" w:rsidP="00B155A6">
            <w:pPr>
              <w:spacing w:after="0"/>
              <w:jc w:val="center"/>
              <w:rPr>
                <w:rFonts w:ascii="Calibri" w:hAnsi="Calibri" w:cs="Calibri"/>
                <w:b/>
                <w:color w:val="FFFFFF"/>
                <w:sz w:val="18"/>
                <w:szCs w:val="18"/>
              </w:rPr>
            </w:pPr>
            <w:r w:rsidRPr="00F8728A">
              <w:rPr>
                <w:rFonts w:ascii="Calibri" w:hAnsi="Calibri" w:cs="Calibri"/>
                <w:b/>
                <w:color w:val="FFFFFF"/>
                <w:sz w:val="18"/>
                <w:szCs w:val="18"/>
              </w:rPr>
              <w:t>Специфични въздействия на ИК по отношение на градската среда</w:t>
            </w:r>
          </w:p>
        </w:tc>
        <w:tc>
          <w:tcPr>
            <w:tcW w:w="4860" w:type="dxa"/>
            <w:gridSpan w:val="12"/>
            <w:shd w:val="clear" w:color="auto" w:fill="002060"/>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Екстремни метеорологични събития</w:t>
            </w:r>
          </w:p>
        </w:tc>
      </w:tr>
      <w:tr w:rsidR="00AA4661" w:rsidRPr="00F8728A" w:rsidTr="00B155A6">
        <w:trPr>
          <w:tblHeader/>
          <w:jc w:val="center"/>
        </w:trPr>
        <w:tc>
          <w:tcPr>
            <w:tcW w:w="2510" w:type="dxa"/>
            <w:vMerge/>
            <w:shd w:val="clear" w:color="auto" w:fill="95B3D7"/>
            <w:vAlign w:val="center"/>
          </w:tcPr>
          <w:p w:rsidR="00AA4661" w:rsidRPr="00F8728A" w:rsidRDefault="00AA4661" w:rsidP="00B155A6">
            <w:pPr>
              <w:spacing w:after="0"/>
              <w:jc w:val="center"/>
              <w:rPr>
                <w:rFonts w:ascii="Calibri" w:hAnsi="Calibri" w:cs="Calibri"/>
                <w:sz w:val="18"/>
                <w:szCs w:val="18"/>
              </w:rPr>
            </w:pPr>
          </w:p>
        </w:tc>
        <w:tc>
          <w:tcPr>
            <w:tcW w:w="875" w:type="dxa"/>
            <w:gridSpan w:val="2"/>
            <w:vMerge/>
          </w:tcPr>
          <w:p w:rsidR="00AA4661" w:rsidRPr="00F8728A" w:rsidRDefault="00AA4661" w:rsidP="00B155A6">
            <w:pPr>
              <w:spacing w:after="0"/>
              <w:jc w:val="center"/>
              <w:rPr>
                <w:rFonts w:ascii="Calibri" w:hAnsi="Calibri" w:cs="Calibri"/>
                <w:sz w:val="18"/>
                <w:szCs w:val="18"/>
              </w:rPr>
            </w:pPr>
          </w:p>
        </w:tc>
        <w:tc>
          <w:tcPr>
            <w:tcW w:w="810" w:type="dxa"/>
            <w:gridSpan w:val="2"/>
            <w:vMerge/>
            <w:vAlign w:val="center"/>
          </w:tcPr>
          <w:p w:rsidR="00AA4661" w:rsidRPr="00F8728A" w:rsidRDefault="00AA4661" w:rsidP="00B155A6">
            <w:pPr>
              <w:spacing w:after="0"/>
              <w:jc w:val="center"/>
              <w:rPr>
                <w:rFonts w:ascii="Calibri" w:hAnsi="Calibri" w:cs="Calibri"/>
                <w:sz w:val="18"/>
                <w:szCs w:val="18"/>
              </w:rPr>
            </w:pPr>
          </w:p>
        </w:tc>
        <w:tc>
          <w:tcPr>
            <w:tcW w:w="810" w:type="dxa"/>
            <w:gridSpan w:val="2"/>
            <w:vMerge/>
            <w:vAlign w:val="center"/>
          </w:tcPr>
          <w:p w:rsidR="00AA4661" w:rsidRPr="00F8728A" w:rsidRDefault="00AA4661" w:rsidP="00B155A6">
            <w:pPr>
              <w:spacing w:after="0"/>
              <w:jc w:val="center"/>
              <w:rPr>
                <w:rFonts w:ascii="Calibri" w:hAnsi="Calibri" w:cs="Calibri"/>
                <w:sz w:val="18"/>
                <w:szCs w:val="18"/>
              </w:rPr>
            </w:pPr>
          </w:p>
        </w:tc>
        <w:tc>
          <w:tcPr>
            <w:tcW w:w="810" w:type="dxa"/>
            <w:gridSpan w:val="2"/>
            <w:vMerge/>
            <w:vAlign w:val="center"/>
          </w:tcPr>
          <w:p w:rsidR="00AA4661" w:rsidRPr="00F8728A" w:rsidRDefault="00AA4661" w:rsidP="00B155A6">
            <w:pPr>
              <w:spacing w:after="0"/>
              <w:jc w:val="center"/>
              <w:rPr>
                <w:rFonts w:ascii="Calibri" w:hAnsi="Calibri" w:cs="Calibri"/>
                <w:sz w:val="18"/>
                <w:szCs w:val="18"/>
              </w:rPr>
            </w:pPr>
          </w:p>
        </w:tc>
        <w:tc>
          <w:tcPr>
            <w:tcW w:w="810" w:type="dxa"/>
            <w:gridSpan w:val="2"/>
            <w:vMerge/>
            <w:vAlign w:val="center"/>
          </w:tcPr>
          <w:p w:rsidR="00AA4661" w:rsidRPr="00F8728A" w:rsidRDefault="00AA4661" w:rsidP="00B155A6">
            <w:pPr>
              <w:spacing w:after="0"/>
              <w:jc w:val="center"/>
              <w:rPr>
                <w:rFonts w:ascii="Calibri" w:hAnsi="Calibri" w:cs="Calibri"/>
                <w:sz w:val="18"/>
                <w:szCs w:val="18"/>
              </w:rPr>
            </w:pPr>
          </w:p>
        </w:tc>
        <w:tc>
          <w:tcPr>
            <w:tcW w:w="810" w:type="dxa"/>
            <w:gridSpan w:val="2"/>
            <w:vMerge/>
            <w:vAlign w:val="center"/>
          </w:tcPr>
          <w:p w:rsidR="00AA4661" w:rsidRPr="00F8728A" w:rsidRDefault="00AA4661" w:rsidP="00B155A6">
            <w:pPr>
              <w:spacing w:after="0"/>
              <w:jc w:val="center"/>
              <w:rPr>
                <w:rFonts w:ascii="Calibri" w:hAnsi="Calibri" w:cs="Calibri"/>
                <w:sz w:val="18"/>
                <w:szCs w:val="18"/>
              </w:rPr>
            </w:pPr>
          </w:p>
        </w:tc>
        <w:tc>
          <w:tcPr>
            <w:tcW w:w="810" w:type="dxa"/>
            <w:gridSpan w:val="2"/>
            <w:shd w:val="clear" w:color="auto" w:fill="FFFFCC"/>
            <w:vAlign w:val="center"/>
          </w:tcPr>
          <w:p w:rsidR="00AA4661" w:rsidRPr="00F8728A" w:rsidRDefault="00AA4661" w:rsidP="00B155A6">
            <w:pPr>
              <w:spacing w:after="0"/>
              <w:jc w:val="center"/>
              <w:rPr>
                <w:rFonts w:ascii="Calibri" w:hAnsi="Calibri" w:cs="Calibri"/>
                <w:b/>
                <w:color w:val="000000"/>
                <w:sz w:val="18"/>
                <w:szCs w:val="18"/>
              </w:rPr>
            </w:pPr>
            <w:r w:rsidRPr="00F8728A">
              <w:rPr>
                <w:rFonts w:ascii="Calibri" w:hAnsi="Calibri" w:cs="Calibri"/>
                <w:b/>
                <w:color w:val="000000"/>
                <w:sz w:val="18"/>
                <w:szCs w:val="18"/>
              </w:rPr>
              <w:t>Земе-</w:t>
            </w:r>
          </w:p>
          <w:p w:rsidR="00AA4661" w:rsidRPr="00F8728A" w:rsidRDefault="00AA4661" w:rsidP="00B155A6">
            <w:pPr>
              <w:spacing w:after="0"/>
              <w:jc w:val="center"/>
              <w:rPr>
                <w:rFonts w:ascii="Calibri" w:hAnsi="Calibri" w:cs="Calibri"/>
                <w:color w:val="000000"/>
                <w:sz w:val="18"/>
                <w:szCs w:val="18"/>
              </w:rPr>
            </w:pPr>
            <w:r w:rsidRPr="00F8728A">
              <w:rPr>
                <w:rFonts w:ascii="Calibri" w:hAnsi="Calibri" w:cs="Calibri"/>
                <w:b/>
                <w:color w:val="000000"/>
                <w:sz w:val="18"/>
                <w:szCs w:val="18"/>
              </w:rPr>
              <w:t>тресение</w:t>
            </w:r>
          </w:p>
        </w:tc>
        <w:tc>
          <w:tcPr>
            <w:tcW w:w="810" w:type="dxa"/>
            <w:gridSpan w:val="2"/>
            <w:shd w:val="clear" w:color="auto" w:fill="FFFFCC"/>
            <w:vAlign w:val="center"/>
          </w:tcPr>
          <w:p w:rsidR="00AA4661" w:rsidRPr="00F8728A" w:rsidRDefault="00AA4661" w:rsidP="00B155A6">
            <w:pPr>
              <w:spacing w:after="0"/>
              <w:jc w:val="center"/>
              <w:rPr>
                <w:rFonts w:ascii="Calibri" w:hAnsi="Calibri" w:cs="Calibri"/>
                <w:b/>
                <w:color w:val="000000"/>
                <w:sz w:val="18"/>
                <w:szCs w:val="18"/>
              </w:rPr>
            </w:pPr>
            <w:r w:rsidRPr="00F8728A">
              <w:rPr>
                <w:rFonts w:ascii="Calibri" w:hAnsi="Calibri" w:cs="Calibri"/>
                <w:b/>
                <w:color w:val="000000"/>
                <w:sz w:val="18"/>
                <w:szCs w:val="18"/>
              </w:rPr>
              <w:t>Градуш-ки</w:t>
            </w:r>
          </w:p>
        </w:tc>
        <w:tc>
          <w:tcPr>
            <w:tcW w:w="810" w:type="dxa"/>
            <w:gridSpan w:val="2"/>
            <w:shd w:val="clear" w:color="auto" w:fill="FFFFCC"/>
            <w:vAlign w:val="center"/>
          </w:tcPr>
          <w:p w:rsidR="00AA4661" w:rsidRPr="00F8728A" w:rsidRDefault="00AA4661" w:rsidP="00B155A6">
            <w:pPr>
              <w:spacing w:after="0"/>
              <w:jc w:val="center"/>
              <w:rPr>
                <w:rFonts w:ascii="Calibri" w:hAnsi="Calibri" w:cs="Calibri"/>
                <w:color w:val="000000"/>
                <w:sz w:val="18"/>
                <w:szCs w:val="18"/>
              </w:rPr>
            </w:pPr>
            <w:r w:rsidRPr="00F8728A">
              <w:rPr>
                <w:rFonts w:ascii="Calibri" w:hAnsi="Calibri" w:cs="Calibri"/>
                <w:b/>
                <w:color w:val="000000"/>
                <w:sz w:val="18"/>
                <w:szCs w:val="18"/>
              </w:rPr>
              <w:t>Замърс. на възд.</w:t>
            </w:r>
          </w:p>
        </w:tc>
        <w:tc>
          <w:tcPr>
            <w:tcW w:w="810" w:type="dxa"/>
            <w:gridSpan w:val="2"/>
            <w:shd w:val="clear" w:color="auto" w:fill="DBE5F1"/>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Гръмоте-вични бури</w:t>
            </w:r>
          </w:p>
        </w:tc>
        <w:tc>
          <w:tcPr>
            <w:tcW w:w="810" w:type="dxa"/>
            <w:gridSpan w:val="2"/>
            <w:shd w:val="clear" w:color="auto" w:fill="DBE5F1"/>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Мъгла</w:t>
            </w:r>
          </w:p>
        </w:tc>
        <w:tc>
          <w:tcPr>
            <w:tcW w:w="810" w:type="dxa"/>
            <w:gridSpan w:val="2"/>
            <w:shd w:val="clear" w:color="auto" w:fill="DBE5F1"/>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Навод-нения</w:t>
            </w:r>
          </w:p>
        </w:tc>
        <w:tc>
          <w:tcPr>
            <w:tcW w:w="810" w:type="dxa"/>
            <w:gridSpan w:val="2"/>
            <w:shd w:val="clear" w:color="auto" w:fill="DBE5F1"/>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Лавини</w:t>
            </w:r>
          </w:p>
        </w:tc>
        <w:tc>
          <w:tcPr>
            <w:tcW w:w="810" w:type="dxa"/>
            <w:gridSpan w:val="2"/>
            <w:shd w:val="clear" w:color="auto" w:fill="DBE5F1"/>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Свла-</w:t>
            </w:r>
          </w:p>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чища</w:t>
            </w:r>
          </w:p>
        </w:tc>
        <w:tc>
          <w:tcPr>
            <w:tcW w:w="810" w:type="dxa"/>
            <w:gridSpan w:val="2"/>
            <w:shd w:val="clear" w:color="auto" w:fill="DBE5F1"/>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Бури</w:t>
            </w:r>
          </w:p>
        </w:tc>
      </w:tr>
      <w:tr w:rsidR="00AA4661" w:rsidRPr="00F8728A" w:rsidTr="00B155A6">
        <w:trPr>
          <w:tblHeader/>
          <w:jc w:val="center"/>
        </w:trPr>
        <w:tc>
          <w:tcPr>
            <w:tcW w:w="2510" w:type="dxa"/>
            <w:vMerge/>
            <w:shd w:val="clear" w:color="auto" w:fill="95B3D7"/>
            <w:vAlign w:val="center"/>
          </w:tcPr>
          <w:p w:rsidR="00AA4661" w:rsidRPr="00F8728A" w:rsidRDefault="00AA4661" w:rsidP="00B155A6">
            <w:pPr>
              <w:spacing w:after="0"/>
              <w:jc w:val="center"/>
              <w:rPr>
                <w:rFonts w:ascii="Calibri" w:hAnsi="Calibri" w:cs="Calibri"/>
                <w:sz w:val="18"/>
                <w:szCs w:val="18"/>
              </w:rPr>
            </w:pPr>
          </w:p>
        </w:tc>
        <w:tc>
          <w:tcPr>
            <w:tcW w:w="469"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6"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r>
      <w:tr w:rsidR="00AA4661" w:rsidRPr="00F8728A" w:rsidTr="00B155A6">
        <w:trPr>
          <w:jc w:val="center"/>
        </w:trPr>
        <w:tc>
          <w:tcPr>
            <w:tcW w:w="14725" w:type="dxa"/>
            <w:gridSpan w:val="31"/>
            <w:shd w:val="clear" w:color="auto" w:fill="EEECE1"/>
            <w:vAlign w:val="center"/>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ГРАДСКИ ЗОНИ</w:t>
            </w:r>
          </w:p>
        </w:tc>
      </w:tr>
      <w:tr w:rsidR="00AA4661" w:rsidRPr="00F8728A" w:rsidTr="00B155A6">
        <w:trPr>
          <w:jc w:val="center"/>
        </w:trPr>
        <w:tc>
          <w:tcPr>
            <w:tcW w:w="2510" w:type="dxa"/>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Жилищни територии</w:t>
            </w:r>
          </w:p>
        </w:tc>
        <w:tc>
          <w:tcPr>
            <w:tcW w:w="469"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6"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jc w:val="center"/>
        </w:trPr>
        <w:tc>
          <w:tcPr>
            <w:tcW w:w="2510" w:type="dxa"/>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Обществени и бизнес зони</w:t>
            </w:r>
          </w:p>
        </w:tc>
        <w:tc>
          <w:tcPr>
            <w:tcW w:w="469"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6"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jc w:val="center"/>
        </w:trPr>
        <w:tc>
          <w:tcPr>
            <w:tcW w:w="2510" w:type="dxa"/>
          </w:tcPr>
          <w:p w:rsidR="00AA4661" w:rsidRPr="00F8728A" w:rsidRDefault="00AA4661" w:rsidP="00B155A6">
            <w:pPr>
              <w:spacing w:before="40" w:after="40"/>
              <w:rPr>
                <w:rFonts w:ascii="Calibri" w:hAnsi="Calibri" w:cs="Calibri"/>
                <w:b/>
                <w:sz w:val="18"/>
                <w:szCs w:val="18"/>
              </w:rPr>
            </w:pPr>
            <w:r w:rsidRPr="00F8728A">
              <w:rPr>
                <w:rFonts w:ascii="Calibri" w:hAnsi="Calibri" w:cs="Calibri"/>
                <w:b/>
                <w:sz w:val="18"/>
                <w:szCs w:val="18"/>
              </w:rPr>
              <w:t>Промишлени зони и производствени съоръжения (вкл. МСП)</w:t>
            </w:r>
          </w:p>
        </w:tc>
        <w:tc>
          <w:tcPr>
            <w:tcW w:w="469"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6"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jc w:val="center"/>
        </w:trPr>
        <w:tc>
          <w:tcPr>
            <w:tcW w:w="2510" w:type="dxa"/>
          </w:tcPr>
          <w:p w:rsidR="00AA4661" w:rsidRPr="00F8728A" w:rsidRDefault="00AA4661" w:rsidP="00B155A6">
            <w:pPr>
              <w:spacing w:before="40" w:after="40"/>
              <w:rPr>
                <w:rFonts w:ascii="Calibri" w:hAnsi="Calibri" w:cs="Calibri"/>
                <w:b/>
                <w:sz w:val="18"/>
                <w:szCs w:val="18"/>
              </w:rPr>
            </w:pPr>
            <w:r w:rsidRPr="00F8728A">
              <w:rPr>
                <w:rFonts w:ascii="Calibri" w:hAnsi="Calibri" w:cs="Calibri"/>
                <w:b/>
                <w:sz w:val="18"/>
                <w:szCs w:val="18"/>
              </w:rPr>
              <w:t xml:space="preserve">Зони със смесено ползване/ Многофункционални </w:t>
            </w:r>
          </w:p>
        </w:tc>
        <w:tc>
          <w:tcPr>
            <w:tcW w:w="469"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6"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jc w:val="center"/>
        </w:trPr>
        <w:tc>
          <w:tcPr>
            <w:tcW w:w="2510" w:type="dxa"/>
          </w:tcPr>
          <w:p w:rsidR="00AA4661" w:rsidRPr="00F8728A" w:rsidRDefault="00AA4661" w:rsidP="00B155A6">
            <w:pPr>
              <w:spacing w:before="40" w:after="40"/>
              <w:rPr>
                <w:rFonts w:ascii="Calibri" w:hAnsi="Calibri" w:cs="Calibri"/>
                <w:b/>
                <w:sz w:val="18"/>
                <w:szCs w:val="18"/>
              </w:rPr>
            </w:pPr>
            <w:r w:rsidRPr="00F8728A">
              <w:rPr>
                <w:rFonts w:ascii="Calibri" w:hAnsi="Calibri" w:cs="Calibri"/>
                <w:b/>
                <w:sz w:val="18"/>
                <w:szCs w:val="18"/>
              </w:rPr>
              <w:t>Обществени открити пространства (ООП)</w:t>
            </w:r>
          </w:p>
        </w:tc>
        <w:tc>
          <w:tcPr>
            <w:tcW w:w="469"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6"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jc w:val="center"/>
        </w:trPr>
        <w:tc>
          <w:tcPr>
            <w:tcW w:w="2510" w:type="dxa"/>
          </w:tcPr>
          <w:p w:rsidR="00AA4661" w:rsidRPr="00F8728A" w:rsidRDefault="00AA4661" w:rsidP="00B155A6">
            <w:pPr>
              <w:spacing w:before="40" w:after="40"/>
              <w:rPr>
                <w:rFonts w:ascii="Calibri" w:hAnsi="Calibri" w:cs="Calibri"/>
                <w:b/>
                <w:color w:val="FF0000"/>
                <w:sz w:val="18"/>
                <w:szCs w:val="18"/>
              </w:rPr>
            </w:pPr>
            <w:r w:rsidRPr="00F8728A">
              <w:rPr>
                <w:rFonts w:ascii="Calibri" w:hAnsi="Calibri" w:cs="Calibri"/>
                <w:b/>
                <w:sz w:val="18"/>
                <w:szCs w:val="18"/>
              </w:rPr>
              <w:t>Зелена система/Паркове и градини</w:t>
            </w:r>
          </w:p>
        </w:tc>
        <w:tc>
          <w:tcPr>
            <w:tcW w:w="469"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6"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92D05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92D05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jc w:val="center"/>
        </w:trPr>
        <w:tc>
          <w:tcPr>
            <w:tcW w:w="2510" w:type="dxa"/>
          </w:tcPr>
          <w:p w:rsidR="00AA4661" w:rsidRPr="00F8728A" w:rsidRDefault="00AA4661" w:rsidP="00B155A6">
            <w:pPr>
              <w:spacing w:before="40" w:after="40"/>
              <w:rPr>
                <w:rFonts w:ascii="Calibri" w:hAnsi="Calibri" w:cs="Calibri"/>
                <w:b/>
                <w:sz w:val="18"/>
                <w:szCs w:val="18"/>
              </w:rPr>
            </w:pPr>
            <w:r w:rsidRPr="00F8728A">
              <w:rPr>
                <w:rFonts w:ascii="Calibri" w:hAnsi="Calibri" w:cs="Calibri"/>
                <w:b/>
                <w:sz w:val="18"/>
                <w:szCs w:val="18"/>
              </w:rPr>
              <w:t>Крайградски паркове и развлечения</w:t>
            </w:r>
          </w:p>
        </w:tc>
        <w:tc>
          <w:tcPr>
            <w:tcW w:w="469"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6"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92D05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92D05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r>
      <w:tr w:rsidR="00AA4661" w:rsidRPr="00F8728A" w:rsidTr="00B155A6">
        <w:trPr>
          <w:jc w:val="center"/>
        </w:trPr>
        <w:tc>
          <w:tcPr>
            <w:tcW w:w="2510" w:type="dxa"/>
          </w:tcPr>
          <w:p w:rsidR="00AA4661" w:rsidRPr="00F8728A" w:rsidRDefault="00AA4661" w:rsidP="00B155A6">
            <w:pPr>
              <w:spacing w:before="40" w:after="40"/>
              <w:rPr>
                <w:rFonts w:ascii="Calibri" w:hAnsi="Calibri" w:cs="Calibri"/>
                <w:b/>
                <w:sz w:val="18"/>
                <w:szCs w:val="18"/>
              </w:rPr>
            </w:pPr>
            <w:r w:rsidRPr="00F8728A">
              <w:rPr>
                <w:rFonts w:ascii="Calibri" w:hAnsi="Calibri" w:cs="Calibri"/>
                <w:b/>
                <w:sz w:val="18"/>
                <w:szCs w:val="18"/>
              </w:rPr>
              <w:t xml:space="preserve">Недвижимо културно наследство </w:t>
            </w:r>
          </w:p>
        </w:tc>
        <w:tc>
          <w:tcPr>
            <w:tcW w:w="469"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6"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jc w:val="center"/>
        </w:trPr>
        <w:tc>
          <w:tcPr>
            <w:tcW w:w="2510" w:type="dxa"/>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Туристически съоръжения</w:t>
            </w:r>
          </w:p>
        </w:tc>
        <w:tc>
          <w:tcPr>
            <w:tcW w:w="469"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6"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jc w:val="center"/>
        </w:trPr>
        <w:tc>
          <w:tcPr>
            <w:tcW w:w="14725" w:type="dxa"/>
            <w:gridSpan w:val="31"/>
            <w:shd w:val="clear" w:color="auto" w:fill="D9D9D9"/>
            <w:vAlign w:val="center"/>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УСЛУГИ</w:t>
            </w:r>
          </w:p>
        </w:tc>
      </w:tr>
      <w:tr w:rsidR="00AA4661" w:rsidRPr="00F8728A" w:rsidTr="00B155A6">
        <w:trPr>
          <w:jc w:val="center"/>
        </w:trPr>
        <w:tc>
          <w:tcPr>
            <w:tcW w:w="2510" w:type="dxa"/>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Здравни услуги</w:t>
            </w:r>
          </w:p>
        </w:tc>
        <w:tc>
          <w:tcPr>
            <w:tcW w:w="469"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6"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jc w:val="center"/>
        </w:trPr>
        <w:tc>
          <w:tcPr>
            <w:tcW w:w="2510" w:type="dxa"/>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Социални услуги</w:t>
            </w:r>
          </w:p>
        </w:tc>
        <w:tc>
          <w:tcPr>
            <w:tcW w:w="469"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6"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jc w:val="center"/>
        </w:trPr>
        <w:tc>
          <w:tcPr>
            <w:tcW w:w="2510" w:type="dxa"/>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Образователни услуги</w:t>
            </w:r>
          </w:p>
        </w:tc>
        <w:tc>
          <w:tcPr>
            <w:tcW w:w="469"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6"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jc w:val="center"/>
        </w:trPr>
        <w:tc>
          <w:tcPr>
            <w:tcW w:w="2510" w:type="dxa"/>
          </w:tcPr>
          <w:p w:rsidR="00AA4661" w:rsidRPr="00F8728A" w:rsidRDefault="00AA4661" w:rsidP="00B155A6">
            <w:pPr>
              <w:spacing w:before="40" w:after="40"/>
              <w:rPr>
                <w:rFonts w:ascii="Calibri" w:hAnsi="Calibri" w:cs="Calibri"/>
                <w:b/>
                <w:sz w:val="18"/>
                <w:szCs w:val="18"/>
              </w:rPr>
            </w:pPr>
            <w:r w:rsidRPr="00F8728A">
              <w:rPr>
                <w:rFonts w:ascii="Calibri" w:hAnsi="Calibri" w:cs="Calibri"/>
                <w:b/>
                <w:sz w:val="18"/>
                <w:szCs w:val="18"/>
              </w:rPr>
              <w:t>Снабдяване с хранителни продукти</w:t>
            </w:r>
          </w:p>
        </w:tc>
        <w:tc>
          <w:tcPr>
            <w:tcW w:w="469"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6"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jc w:val="center"/>
        </w:trPr>
        <w:tc>
          <w:tcPr>
            <w:tcW w:w="2510" w:type="dxa"/>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Съоръжения за УРБ</w:t>
            </w:r>
          </w:p>
        </w:tc>
        <w:tc>
          <w:tcPr>
            <w:tcW w:w="469"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6"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jc w:val="center"/>
        </w:trPr>
        <w:tc>
          <w:tcPr>
            <w:tcW w:w="14725" w:type="dxa"/>
            <w:gridSpan w:val="31"/>
            <w:shd w:val="clear" w:color="auto" w:fill="D9D9D9"/>
            <w:vAlign w:val="center"/>
          </w:tcPr>
          <w:p w:rsidR="00AA4661" w:rsidRPr="00F8728A" w:rsidRDefault="00AA4661" w:rsidP="00485D6A">
            <w:pPr>
              <w:keepNext/>
              <w:spacing w:before="40" w:after="40"/>
              <w:jc w:val="both"/>
              <w:rPr>
                <w:rFonts w:ascii="Calibri" w:hAnsi="Calibri" w:cs="Calibri"/>
                <w:b/>
                <w:sz w:val="18"/>
                <w:szCs w:val="18"/>
              </w:rPr>
            </w:pPr>
            <w:r w:rsidRPr="00F8728A">
              <w:rPr>
                <w:rFonts w:ascii="Calibri" w:hAnsi="Calibri" w:cs="Calibri"/>
                <w:b/>
                <w:sz w:val="18"/>
                <w:szCs w:val="18"/>
              </w:rPr>
              <w:t>ТРАНСПОРТНА ИНФРАСТРУКТУРА</w:t>
            </w:r>
          </w:p>
        </w:tc>
      </w:tr>
      <w:tr w:rsidR="00AA4661" w:rsidRPr="00F8728A" w:rsidTr="00B155A6">
        <w:trPr>
          <w:jc w:val="center"/>
        </w:trPr>
        <w:tc>
          <w:tcPr>
            <w:tcW w:w="2510" w:type="dxa"/>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Градска улична мрежа</w:t>
            </w:r>
          </w:p>
        </w:tc>
        <w:tc>
          <w:tcPr>
            <w:tcW w:w="469"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6"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jc w:val="center"/>
        </w:trPr>
        <w:tc>
          <w:tcPr>
            <w:tcW w:w="2510" w:type="dxa"/>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Велосипедна мрежа</w:t>
            </w:r>
          </w:p>
        </w:tc>
        <w:tc>
          <w:tcPr>
            <w:tcW w:w="469"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6"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r>
      <w:tr w:rsidR="00AA4661" w:rsidRPr="00F8728A" w:rsidTr="00B155A6">
        <w:trPr>
          <w:jc w:val="center"/>
        </w:trPr>
        <w:tc>
          <w:tcPr>
            <w:tcW w:w="2510" w:type="dxa"/>
          </w:tcPr>
          <w:p w:rsidR="00AA4661" w:rsidRPr="00F8728A" w:rsidRDefault="00AA4661" w:rsidP="00B155A6">
            <w:pPr>
              <w:spacing w:before="40" w:after="40"/>
              <w:rPr>
                <w:rFonts w:ascii="Calibri" w:hAnsi="Calibri" w:cs="Calibri"/>
                <w:b/>
                <w:sz w:val="18"/>
                <w:szCs w:val="18"/>
              </w:rPr>
            </w:pPr>
            <w:r w:rsidRPr="00F8728A">
              <w:rPr>
                <w:rFonts w:ascii="Calibri" w:hAnsi="Calibri" w:cs="Calibri"/>
                <w:b/>
                <w:sz w:val="18"/>
                <w:szCs w:val="18"/>
              </w:rPr>
              <w:t>Система на обществения транспорт</w:t>
            </w:r>
          </w:p>
        </w:tc>
        <w:tc>
          <w:tcPr>
            <w:tcW w:w="469"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6"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jc w:val="center"/>
        </w:trPr>
        <w:tc>
          <w:tcPr>
            <w:tcW w:w="2510" w:type="dxa"/>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Система на метрото</w:t>
            </w:r>
          </w:p>
        </w:tc>
        <w:tc>
          <w:tcPr>
            <w:tcW w:w="469"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6"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r>
      <w:tr w:rsidR="00AA4661" w:rsidRPr="00F8728A" w:rsidTr="00B155A6">
        <w:trPr>
          <w:jc w:val="center"/>
        </w:trPr>
        <w:tc>
          <w:tcPr>
            <w:tcW w:w="2510" w:type="dxa"/>
          </w:tcPr>
          <w:p w:rsidR="00AA4661" w:rsidRPr="00F8728A" w:rsidRDefault="00AA4661" w:rsidP="00B155A6">
            <w:pPr>
              <w:spacing w:before="40" w:after="40"/>
              <w:rPr>
                <w:rFonts w:ascii="Calibri" w:hAnsi="Calibri" w:cs="Calibri"/>
                <w:b/>
                <w:sz w:val="18"/>
                <w:szCs w:val="18"/>
              </w:rPr>
            </w:pPr>
            <w:r w:rsidRPr="00F8728A">
              <w:rPr>
                <w:rFonts w:ascii="Calibri" w:hAnsi="Calibri" w:cs="Calibri"/>
                <w:b/>
                <w:sz w:val="18"/>
                <w:szCs w:val="18"/>
              </w:rPr>
              <w:t>Транспортни гари и центрове</w:t>
            </w:r>
          </w:p>
        </w:tc>
        <w:tc>
          <w:tcPr>
            <w:tcW w:w="469"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6"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r>
      <w:tr w:rsidR="00AA4661" w:rsidRPr="00F8728A" w:rsidTr="00B155A6">
        <w:trPr>
          <w:jc w:val="center"/>
        </w:trPr>
        <w:tc>
          <w:tcPr>
            <w:tcW w:w="14725" w:type="dxa"/>
            <w:gridSpan w:val="31"/>
            <w:shd w:val="clear" w:color="auto" w:fill="D9D9D9"/>
            <w:vAlign w:val="center"/>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ТЕХНИЧЕСКА ИНФРАСТРУКТУРА</w:t>
            </w:r>
          </w:p>
        </w:tc>
      </w:tr>
      <w:tr w:rsidR="00AA4661" w:rsidRPr="00F8728A" w:rsidTr="00B155A6">
        <w:trPr>
          <w:jc w:val="center"/>
        </w:trPr>
        <w:tc>
          <w:tcPr>
            <w:tcW w:w="2510" w:type="dxa"/>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Водоснабдителна система</w:t>
            </w:r>
          </w:p>
        </w:tc>
        <w:tc>
          <w:tcPr>
            <w:tcW w:w="469"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6"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92D05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92D05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r>
      <w:tr w:rsidR="00AA4661" w:rsidRPr="00F8728A" w:rsidTr="00B155A6">
        <w:trPr>
          <w:jc w:val="center"/>
        </w:trPr>
        <w:tc>
          <w:tcPr>
            <w:tcW w:w="2510" w:type="dxa"/>
          </w:tcPr>
          <w:p w:rsidR="00AA4661" w:rsidRPr="00F8728A" w:rsidRDefault="00AA4661" w:rsidP="00B155A6">
            <w:pPr>
              <w:spacing w:before="40" w:after="40"/>
              <w:rPr>
                <w:rFonts w:ascii="Calibri" w:hAnsi="Calibri" w:cs="Calibri"/>
                <w:b/>
                <w:sz w:val="18"/>
                <w:szCs w:val="18"/>
              </w:rPr>
            </w:pPr>
            <w:r w:rsidRPr="00F8728A">
              <w:rPr>
                <w:rFonts w:ascii="Calibri" w:hAnsi="Calibri" w:cs="Calibri"/>
                <w:b/>
                <w:sz w:val="18"/>
                <w:szCs w:val="18"/>
              </w:rPr>
              <w:t>Канализационна система, вкл. отводняване на повърхностни води</w:t>
            </w:r>
          </w:p>
        </w:tc>
        <w:tc>
          <w:tcPr>
            <w:tcW w:w="469"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6"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r>
      <w:tr w:rsidR="00AA4661" w:rsidRPr="00F8728A" w:rsidTr="00B155A6">
        <w:trPr>
          <w:jc w:val="center"/>
        </w:trPr>
        <w:tc>
          <w:tcPr>
            <w:tcW w:w="2510" w:type="dxa"/>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Електроснабдителна система</w:t>
            </w:r>
          </w:p>
        </w:tc>
        <w:tc>
          <w:tcPr>
            <w:tcW w:w="469"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6"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jc w:val="center"/>
        </w:trPr>
        <w:tc>
          <w:tcPr>
            <w:tcW w:w="2510" w:type="dxa"/>
          </w:tcPr>
          <w:p w:rsidR="00AA4661" w:rsidRPr="00F8728A" w:rsidRDefault="00AA4661" w:rsidP="00B155A6">
            <w:pPr>
              <w:spacing w:before="40" w:after="40"/>
              <w:rPr>
                <w:rFonts w:ascii="Calibri" w:hAnsi="Calibri" w:cs="Calibri"/>
                <w:b/>
                <w:sz w:val="18"/>
                <w:szCs w:val="18"/>
              </w:rPr>
            </w:pPr>
            <w:r w:rsidRPr="00F8728A">
              <w:rPr>
                <w:rFonts w:ascii="Calibri" w:hAnsi="Calibri" w:cs="Calibri"/>
                <w:b/>
                <w:sz w:val="18"/>
                <w:szCs w:val="18"/>
              </w:rPr>
              <w:t>Централна отоплителна система</w:t>
            </w:r>
          </w:p>
        </w:tc>
        <w:tc>
          <w:tcPr>
            <w:tcW w:w="469" w:type="dxa"/>
            <w:shd w:val="clear" w:color="auto" w:fill="92D05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6" w:type="dxa"/>
            <w:shd w:val="clear" w:color="auto" w:fill="92D05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r>
      <w:tr w:rsidR="00AA4661" w:rsidRPr="00F8728A" w:rsidTr="00B155A6">
        <w:trPr>
          <w:jc w:val="center"/>
        </w:trPr>
        <w:tc>
          <w:tcPr>
            <w:tcW w:w="2510" w:type="dxa"/>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Газоснабдителна система</w:t>
            </w:r>
          </w:p>
        </w:tc>
        <w:tc>
          <w:tcPr>
            <w:tcW w:w="469"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6"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r>
      <w:tr w:rsidR="00AA4661" w:rsidRPr="00F8728A" w:rsidTr="00B155A6">
        <w:trPr>
          <w:jc w:val="center"/>
        </w:trPr>
        <w:tc>
          <w:tcPr>
            <w:tcW w:w="2510" w:type="dxa"/>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ICT функции</w:t>
            </w:r>
          </w:p>
        </w:tc>
        <w:tc>
          <w:tcPr>
            <w:tcW w:w="469"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6"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jc w:val="center"/>
        </w:trPr>
        <w:tc>
          <w:tcPr>
            <w:tcW w:w="14725" w:type="dxa"/>
            <w:gridSpan w:val="31"/>
            <w:shd w:val="clear" w:color="auto" w:fill="D9D9D9"/>
            <w:vAlign w:val="center"/>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СТРОИТЕЛСТВО</w:t>
            </w:r>
          </w:p>
        </w:tc>
      </w:tr>
      <w:tr w:rsidR="00AA4661" w:rsidRPr="00F8728A" w:rsidTr="00B155A6">
        <w:trPr>
          <w:jc w:val="center"/>
        </w:trPr>
        <w:tc>
          <w:tcPr>
            <w:tcW w:w="2510" w:type="dxa"/>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Сгради – жилища</w:t>
            </w:r>
          </w:p>
        </w:tc>
        <w:tc>
          <w:tcPr>
            <w:tcW w:w="469"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6"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r>
      <w:tr w:rsidR="00AA4661" w:rsidRPr="00F8728A" w:rsidTr="00B155A6">
        <w:trPr>
          <w:jc w:val="center"/>
        </w:trPr>
        <w:tc>
          <w:tcPr>
            <w:tcW w:w="2510" w:type="dxa"/>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Сгради – търговски</w:t>
            </w:r>
          </w:p>
        </w:tc>
        <w:tc>
          <w:tcPr>
            <w:tcW w:w="469"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6"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r>
      <w:tr w:rsidR="00AA4661" w:rsidRPr="00F8728A" w:rsidTr="00B155A6">
        <w:trPr>
          <w:trHeight w:val="525"/>
          <w:jc w:val="center"/>
        </w:trPr>
        <w:tc>
          <w:tcPr>
            <w:tcW w:w="14725" w:type="dxa"/>
            <w:gridSpan w:val="31"/>
            <w:tcBorders>
              <w:left w:val="nil"/>
              <w:bottom w:val="nil"/>
              <w:right w:val="nil"/>
            </w:tcBorders>
          </w:tcPr>
          <w:p w:rsidR="00AA4661" w:rsidRPr="00F8728A" w:rsidRDefault="00AA4661" w:rsidP="00B155A6">
            <w:pPr>
              <w:spacing w:before="60" w:after="0"/>
              <w:jc w:val="center"/>
              <w:rPr>
                <w:rFonts w:ascii="Calibri" w:hAnsi="Calibri" w:cs="Calibri"/>
                <w:sz w:val="18"/>
                <w:szCs w:val="18"/>
              </w:rPr>
            </w:pPr>
            <w:r w:rsidRPr="00F8728A">
              <w:rPr>
                <w:rFonts w:ascii="Calibri" w:hAnsi="Calibri" w:cs="Calibri"/>
                <w:b/>
                <w:sz w:val="18"/>
                <w:szCs w:val="18"/>
              </w:rPr>
              <w:t>Легенда:</w:t>
            </w:r>
            <w:r w:rsidRPr="00F8728A">
              <w:rPr>
                <w:rFonts w:ascii="Calibri" w:hAnsi="Calibri" w:cs="Calibri"/>
                <w:sz w:val="18"/>
                <w:szCs w:val="18"/>
              </w:rPr>
              <w:t xml:space="preserve"> Щ = щета; </w:t>
            </w:r>
            <w:r w:rsidRPr="00F8728A">
              <w:rPr>
                <w:rFonts w:ascii="Calibri" w:hAnsi="Calibri" w:cs="Calibri"/>
                <w:sz w:val="18"/>
                <w:szCs w:val="18"/>
                <w:shd w:val="clear" w:color="auto" w:fill="000000"/>
              </w:rPr>
              <w:t>Ве</w:t>
            </w:r>
            <w:r w:rsidRPr="00F8728A">
              <w:rPr>
                <w:rFonts w:ascii="Calibri" w:hAnsi="Calibri" w:cs="Calibri"/>
                <w:sz w:val="18"/>
                <w:szCs w:val="18"/>
              </w:rPr>
              <w:t xml:space="preserve"> = вероятност да се случи до 2050 г. най-късно; нд = няма данни; В = висок/о; С = среден/но; Н = нисък/ко</w:t>
            </w:r>
          </w:p>
          <w:p w:rsidR="00AA4661" w:rsidRPr="00F8728A" w:rsidRDefault="00AA4661" w:rsidP="00B155A6">
            <w:pPr>
              <w:spacing w:before="60" w:after="0"/>
              <w:jc w:val="center"/>
              <w:rPr>
                <w:rFonts w:ascii="Calibri" w:hAnsi="Calibri" w:cs="Calibri"/>
                <w:sz w:val="18"/>
                <w:szCs w:val="18"/>
              </w:rPr>
            </w:pPr>
            <w:r w:rsidRPr="00F8728A">
              <w:rPr>
                <w:rFonts w:ascii="Calibri" w:hAnsi="Calibri" w:cs="Calibri"/>
                <w:sz w:val="18"/>
                <w:szCs w:val="18"/>
                <w:shd w:val="clear" w:color="auto" w:fill="FF3300"/>
              </w:rPr>
              <w:t>червен</w:t>
            </w:r>
            <w:r w:rsidRPr="00F8728A">
              <w:rPr>
                <w:rFonts w:ascii="Calibri" w:hAnsi="Calibri" w:cs="Calibri"/>
                <w:sz w:val="18"/>
                <w:szCs w:val="18"/>
              </w:rPr>
              <w:t xml:space="preserve"> = отрицателно въздействие; </w:t>
            </w:r>
            <w:r w:rsidRPr="00F8728A">
              <w:rPr>
                <w:rFonts w:ascii="Calibri" w:hAnsi="Calibri" w:cs="Calibri"/>
                <w:sz w:val="18"/>
                <w:szCs w:val="18"/>
                <w:shd w:val="clear" w:color="auto" w:fill="92D050"/>
              </w:rPr>
              <w:t>зелен</w:t>
            </w:r>
            <w:r w:rsidRPr="00F8728A">
              <w:rPr>
                <w:rFonts w:ascii="Calibri" w:hAnsi="Calibri" w:cs="Calibri"/>
                <w:sz w:val="18"/>
                <w:szCs w:val="18"/>
              </w:rPr>
              <w:t xml:space="preserve"> = положително въздействие; празно = неутрално въздействие</w:t>
            </w:r>
          </w:p>
          <w:p w:rsidR="00AA4661" w:rsidRPr="00F8728A" w:rsidRDefault="00AA4661" w:rsidP="00B155A6">
            <w:pPr>
              <w:spacing w:after="0"/>
              <w:jc w:val="both"/>
              <w:rPr>
                <w:rFonts w:ascii="Calibri" w:hAnsi="Calibri" w:cs="Calibri"/>
                <w:b/>
                <w:szCs w:val="20"/>
              </w:rPr>
            </w:pPr>
          </w:p>
        </w:tc>
      </w:tr>
    </w:tbl>
    <w:p w:rsidR="00AA4661" w:rsidRPr="00F8728A" w:rsidRDefault="00AA4661" w:rsidP="000669EB">
      <w:pPr>
        <w:widowControl w:val="0"/>
        <w:spacing w:after="0"/>
        <w:jc w:val="both"/>
        <w:rPr>
          <w:rFonts w:ascii="Times New Roman" w:hAnsi="Times New Roman"/>
          <w:b/>
          <w:color w:val="244061"/>
          <w:sz w:val="24"/>
          <w:szCs w:val="24"/>
        </w:rPr>
        <w:sectPr w:rsidR="00AA4661" w:rsidRPr="00F8728A" w:rsidSect="00BB6564">
          <w:pgSz w:w="16838" w:h="11906" w:orient="landscape"/>
          <w:pgMar w:top="1417" w:right="1417" w:bottom="1417" w:left="1417" w:header="708" w:footer="708" w:gutter="0"/>
          <w:cols w:space="708"/>
          <w:docGrid w:linePitch="360"/>
        </w:sectPr>
      </w:pPr>
    </w:p>
    <w:p w:rsidR="00AA4661" w:rsidRPr="00B73D7E" w:rsidRDefault="00AA4661" w:rsidP="00B73D7E">
      <w:pPr>
        <w:pStyle w:val="Heading1"/>
        <w:spacing w:before="0" w:after="120"/>
        <w:jc w:val="both"/>
        <w:rPr>
          <w:rFonts w:eastAsia="Times New Roman"/>
          <w:bCs w:val="0"/>
          <w:color w:val="2F5496"/>
          <w:sz w:val="32"/>
          <w:szCs w:val="32"/>
          <w:lang w:val="bg-BG" w:eastAsia="en-US"/>
        </w:rPr>
      </w:pPr>
      <w:bookmarkStart w:id="760" w:name="_Toc504495852"/>
      <w:bookmarkStart w:id="761" w:name="_Toc522030603"/>
      <w:bookmarkStart w:id="762" w:name="_Toc529285588"/>
      <w:r w:rsidRPr="00B73D7E">
        <w:rPr>
          <w:rFonts w:eastAsia="Times New Roman"/>
          <w:bCs w:val="0"/>
          <w:color w:val="2F5496"/>
          <w:sz w:val="32"/>
          <w:szCs w:val="32"/>
          <w:lang w:val="bg-BG" w:eastAsia="en-US"/>
        </w:rPr>
        <w:t>Приложение 2.</w:t>
      </w:r>
      <w:bookmarkEnd w:id="760"/>
      <w:r w:rsidRPr="00B73D7E">
        <w:rPr>
          <w:rFonts w:eastAsia="Times New Roman"/>
          <w:bCs w:val="0"/>
          <w:color w:val="2F5496"/>
          <w:sz w:val="32"/>
          <w:szCs w:val="32"/>
          <w:lang w:val="bg-BG" w:eastAsia="en-US"/>
        </w:rPr>
        <w:t xml:space="preserve"> Подробно представяне на опциите за адаптация към изменението на климата</w:t>
      </w:r>
      <w:bookmarkEnd w:id="761"/>
      <w:bookmarkEnd w:id="762"/>
    </w:p>
    <w:p w:rsidR="00AA4661" w:rsidRPr="008E7DAC" w:rsidRDefault="00485D6A" w:rsidP="00B73D7E">
      <w:pPr>
        <w:pStyle w:val="FiguresTablesCaption"/>
      </w:pPr>
      <w:bookmarkStart w:id="763" w:name="_Toc529286647"/>
      <w:r w:rsidRPr="008E7DAC">
        <w:t xml:space="preserve">Таблица </w:t>
      </w:r>
      <w:r w:rsidRPr="008E7DAC">
        <w:fldChar w:fldCharType="begin"/>
      </w:r>
      <w:r w:rsidRPr="008E7DAC">
        <w:instrText xml:space="preserve"> SEQ Table \* ARABIC </w:instrText>
      </w:r>
      <w:r w:rsidRPr="008E7DAC">
        <w:fldChar w:fldCharType="separate"/>
      </w:r>
      <w:r w:rsidRPr="00B73D7E">
        <w:t>20</w:t>
      </w:r>
      <w:r w:rsidRPr="008E7DAC">
        <w:fldChar w:fldCharType="end"/>
      </w:r>
      <w:r w:rsidRPr="008E7DAC">
        <w:t xml:space="preserve">. </w:t>
      </w:r>
      <w:r w:rsidR="00AA4661" w:rsidRPr="008E7DAC">
        <w:t>Подробно представяне на опциите за адаптация</w:t>
      </w:r>
      <w:bookmarkEnd w:id="763"/>
    </w:p>
    <w:tbl>
      <w:tblPr>
        <w:tblW w:w="5156"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1"/>
        <w:gridCol w:w="819"/>
        <w:gridCol w:w="832"/>
        <w:gridCol w:w="1174"/>
        <w:gridCol w:w="172"/>
        <w:gridCol w:w="926"/>
        <w:gridCol w:w="1057"/>
        <w:gridCol w:w="1036"/>
        <w:gridCol w:w="1093"/>
        <w:gridCol w:w="1454"/>
      </w:tblGrid>
      <w:tr w:rsidR="00AA4661" w:rsidRPr="00F8728A" w:rsidTr="00B155A6">
        <w:trPr>
          <w:jc w:val="center"/>
        </w:trPr>
        <w:tc>
          <w:tcPr>
            <w:tcW w:w="5000" w:type="pct"/>
            <w:gridSpan w:val="10"/>
            <w:shd w:val="clear" w:color="auto" w:fill="1F4E79"/>
          </w:tcPr>
          <w:p w:rsidR="00AA4661" w:rsidRPr="00F8728A" w:rsidRDefault="00AA4661" w:rsidP="00B155A6">
            <w:pPr>
              <w:spacing w:before="40" w:after="40"/>
              <w:jc w:val="center"/>
              <w:rPr>
                <w:b/>
              </w:rPr>
            </w:pPr>
            <w:r w:rsidRPr="00F8728A">
              <w:rPr>
                <w:rFonts w:ascii="Calibri" w:hAnsi="Calibri" w:cs="Calibri"/>
                <w:b/>
                <w:bCs/>
                <w:color w:val="FFFFFF"/>
                <w:sz w:val="26"/>
                <w:szCs w:val="26"/>
              </w:rPr>
              <w:t>ОПЦИИ ЗА АДАПТАЦИЯ КЪМ ИЗМЕНЕНИЕТО НА КЛИМАТА</w:t>
            </w:r>
          </w:p>
        </w:tc>
      </w:tr>
      <w:tr w:rsidR="00AA4661" w:rsidRPr="00F8728A" w:rsidTr="00B155A6">
        <w:trPr>
          <w:trHeight w:val="69"/>
          <w:jc w:val="center"/>
        </w:trPr>
        <w:tc>
          <w:tcPr>
            <w:tcW w:w="5000" w:type="pct"/>
            <w:gridSpan w:val="10"/>
            <w:shd w:val="clear" w:color="auto" w:fill="A8D08D"/>
          </w:tcPr>
          <w:p w:rsidR="00AA4661" w:rsidRPr="00F8728A" w:rsidRDefault="00AA4661" w:rsidP="00CF297A">
            <w:pPr>
              <w:pStyle w:val="ListParagraph1"/>
              <w:widowControl w:val="0"/>
              <w:numPr>
                <w:ilvl w:val="0"/>
                <w:numId w:val="61"/>
              </w:numPr>
              <w:spacing w:before="20" w:after="20" w:line="240" w:lineRule="auto"/>
              <w:ind w:left="893"/>
              <w:contextualSpacing w:val="0"/>
              <w:jc w:val="both"/>
              <w:rPr>
                <w:b/>
                <w:sz w:val="20"/>
                <w:szCs w:val="22"/>
                <w:lang w:val="bg-BG" w:eastAsia="en-US"/>
              </w:rPr>
            </w:pPr>
            <w:r w:rsidRPr="00F8728A">
              <w:rPr>
                <w:rFonts w:ascii="Calibri" w:hAnsi="Calibri" w:cs="Calibri"/>
                <w:b/>
                <w:bCs/>
                <w:color w:val="000000"/>
                <w:sz w:val="24"/>
                <w:szCs w:val="22"/>
                <w:lang w:val="bg-BG" w:eastAsia="en-US"/>
              </w:rPr>
              <w:t>Категория „Политика“</w:t>
            </w:r>
          </w:p>
        </w:tc>
      </w:tr>
      <w:tr w:rsidR="00AA4661" w:rsidRPr="00F8728A" w:rsidTr="00B155A6">
        <w:trPr>
          <w:trHeight w:val="145"/>
          <w:jc w:val="center"/>
        </w:trPr>
        <w:tc>
          <w:tcPr>
            <w:tcW w:w="5000" w:type="pct"/>
            <w:gridSpan w:val="10"/>
            <w:shd w:val="clear" w:color="auto" w:fill="E2EFD9"/>
          </w:tcPr>
          <w:p w:rsidR="00AA4661" w:rsidRPr="00F8728A" w:rsidRDefault="00AA4661" w:rsidP="00B155A6">
            <w:pPr>
              <w:spacing w:before="40" w:after="40"/>
              <w:ind w:left="125"/>
              <w:jc w:val="both"/>
              <w:rPr>
                <w:b/>
                <w:sz w:val="22"/>
              </w:rPr>
            </w:pPr>
            <w:r w:rsidRPr="00F8728A">
              <w:rPr>
                <w:rFonts w:ascii="Calibri" w:hAnsi="Calibri" w:cs="Calibri"/>
                <w:b/>
                <w:bCs/>
                <w:color w:val="000000"/>
                <w:sz w:val="22"/>
              </w:rPr>
              <w:t>Включване на АИК в регионалното и градското развитие</w:t>
            </w:r>
          </w:p>
        </w:tc>
      </w:tr>
      <w:tr w:rsidR="00AA4661" w:rsidRPr="00F8728A" w:rsidTr="00B155A6">
        <w:trPr>
          <w:trHeight w:val="69"/>
          <w:jc w:val="center"/>
        </w:trPr>
        <w:tc>
          <w:tcPr>
            <w:tcW w:w="5000" w:type="pct"/>
            <w:gridSpan w:val="10"/>
          </w:tcPr>
          <w:p w:rsidR="00AA4661" w:rsidRPr="00F8728A" w:rsidRDefault="00AA4661" w:rsidP="00CF297A">
            <w:pPr>
              <w:widowControl w:val="0"/>
              <w:numPr>
                <w:ilvl w:val="0"/>
                <w:numId w:val="48"/>
              </w:numPr>
              <w:spacing w:before="40" w:after="40"/>
              <w:ind w:left="504" w:right="144"/>
              <w:jc w:val="both"/>
              <w:rPr>
                <w:rFonts w:ascii="Calibri" w:hAnsi="Calibri" w:cs="Calibri"/>
                <w:b/>
                <w:i/>
                <w:smallCaps/>
                <w:color w:val="000000"/>
                <w:sz w:val="22"/>
              </w:rPr>
            </w:pPr>
            <w:r w:rsidRPr="00F8728A">
              <w:rPr>
                <w:rFonts w:ascii="Calibri" w:hAnsi="Calibri" w:cs="Calibri"/>
                <w:b/>
                <w:i/>
                <w:smallCaps/>
                <w:color w:val="000000"/>
                <w:sz w:val="22"/>
              </w:rPr>
              <w:t>Организиране  на дискусионен форум за достигане на обща визия и постигане на общо разбиране за политика и стратегия за АИК</w:t>
            </w:r>
          </w:p>
        </w:tc>
      </w:tr>
      <w:tr w:rsidR="00AA4661" w:rsidRPr="00F8728A" w:rsidTr="00B155A6">
        <w:trPr>
          <w:jc w:val="center"/>
        </w:trPr>
        <w:tc>
          <w:tcPr>
            <w:tcW w:w="1344" w:type="pct"/>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621"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Наднацио-нално ниво</w:t>
            </w:r>
          </w:p>
        </w:tc>
        <w:tc>
          <w:tcPr>
            <w:tcW w:w="581" w:type="pct"/>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559"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548"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578"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769"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B155A6">
        <w:trPr>
          <w:jc w:val="center"/>
        </w:trPr>
        <w:tc>
          <w:tcPr>
            <w:tcW w:w="1344" w:type="pct"/>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621" w:type="pct"/>
            <w:shd w:val="clear" w:color="auto" w:fill="FFFFFF"/>
          </w:tcPr>
          <w:p w:rsidR="00AA4661" w:rsidRPr="00F8728A" w:rsidRDefault="00AA4661" w:rsidP="00B155A6">
            <w:pPr>
              <w:spacing w:before="20" w:after="20"/>
              <w:jc w:val="center"/>
              <w:rPr>
                <w:rFonts w:ascii="Calibri" w:hAnsi="Calibri" w:cs="Calibri"/>
              </w:rPr>
            </w:pPr>
          </w:p>
        </w:tc>
        <w:tc>
          <w:tcPr>
            <w:tcW w:w="581" w:type="pct"/>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559" w:type="pct"/>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548" w:type="pct"/>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578" w:type="pct"/>
            <w:shd w:val="clear" w:color="auto" w:fill="FFFFFF"/>
          </w:tcPr>
          <w:p w:rsidR="00AA4661" w:rsidRPr="00F8728A" w:rsidRDefault="00AA4661" w:rsidP="00B155A6">
            <w:pPr>
              <w:spacing w:before="20" w:after="20"/>
              <w:jc w:val="center"/>
              <w:rPr>
                <w:rFonts w:ascii="Calibri" w:hAnsi="Calibri" w:cs="Calibri"/>
              </w:rPr>
            </w:pPr>
          </w:p>
        </w:tc>
        <w:tc>
          <w:tcPr>
            <w:tcW w:w="769" w:type="pct"/>
            <w:shd w:val="clear" w:color="auto" w:fill="FFFFFF"/>
          </w:tcPr>
          <w:p w:rsidR="00AA4661" w:rsidRPr="00F8728A" w:rsidRDefault="00AA4661" w:rsidP="00B155A6">
            <w:pPr>
              <w:spacing w:before="20" w:after="20"/>
              <w:jc w:val="center"/>
              <w:rPr>
                <w:rFonts w:ascii="Calibri" w:hAnsi="Calibri" w:cs="Calibri"/>
              </w:rPr>
            </w:pPr>
          </w:p>
        </w:tc>
      </w:tr>
      <w:tr w:rsidR="00AA4661" w:rsidRPr="00F8728A" w:rsidTr="00B155A6">
        <w:trPr>
          <w:trHeight w:val="3267"/>
          <w:jc w:val="center"/>
        </w:trPr>
        <w:tc>
          <w:tcPr>
            <w:tcW w:w="1344" w:type="pct"/>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3656" w:type="pct"/>
            <w:gridSpan w:val="7"/>
            <w:vMerge w:val="restart"/>
            <w:shd w:val="clear" w:color="auto" w:fill="D9D9D9"/>
          </w:tcPr>
          <w:p w:rsidR="00AA4661" w:rsidRPr="00F8728A" w:rsidRDefault="00AA4661" w:rsidP="00B155A6">
            <w:pPr>
              <w:autoSpaceDE w:val="0"/>
              <w:autoSpaceDN w:val="0"/>
              <w:adjustRightInd w:val="0"/>
              <w:spacing w:before="20" w:after="0"/>
              <w:jc w:val="both"/>
              <w:rPr>
                <w:rFonts w:ascii="Calibri" w:hAnsi="Calibri" w:cs="Calibri"/>
              </w:rPr>
            </w:pPr>
            <w:r w:rsidRPr="00F8728A">
              <w:rPr>
                <w:rFonts w:ascii="Calibri" w:hAnsi="Calibri" w:cs="Calibri"/>
              </w:rPr>
              <w:t>Диск</w:t>
            </w:r>
            <w:r w:rsidR="00ED3916" w:rsidRPr="00F8728A">
              <w:rPr>
                <w:rFonts w:ascii="Calibri" w:hAnsi="Calibri" w:cs="Calibri"/>
              </w:rPr>
              <w:t>у</w:t>
            </w:r>
            <w:r w:rsidRPr="00F8728A">
              <w:rPr>
                <w:rFonts w:ascii="Calibri" w:hAnsi="Calibri" w:cs="Calibri"/>
              </w:rPr>
              <w:t>сионен форум за постигане на обща визия и общо разбиране за политиката и стратегията за АИК трябва да се фокусира върху следните теми:</w:t>
            </w:r>
          </w:p>
          <w:p w:rsidR="00AA4661" w:rsidRPr="00F8728A" w:rsidRDefault="00AA4661" w:rsidP="00CF297A">
            <w:pPr>
              <w:widowControl w:val="0"/>
              <w:numPr>
                <w:ilvl w:val="0"/>
                <w:numId w:val="54"/>
              </w:numPr>
              <w:autoSpaceDE w:val="0"/>
              <w:autoSpaceDN w:val="0"/>
              <w:adjustRightInd w:val="0"/>
              <w:spacing w:after="0"/>
              <w:ind w:left="360"/>
              <w:jc w:val="both"/>
              <w:rPr>
                <w:rFonts w:ascii="Calibri" w:hAnsi="Calibri" w:cs="Calibri"/>
              </w:rPr>
            </w:pPr>
            <w:r w:rsidRPr="00F8728A">
              <w:rPr>
                <w:rFonts w:ascii="Calibri" w:hAnsi="Calibri" w:cs="Calibri"/>
              </w:rPr>
              <w:t>Обща терминология</w:t>
            </w:r>
          </w:p>
          <w:p w:rsidR="00AA4661" w:rsidRPr="00F8728A" w:rsidRDefault="00AA4661" w:rsidP="00CF297A">
            <w:pPr>
              <w:widowControl w:val="0"/>
              <w:numPr>
                <w:ilvl w:val="0"/>
                <w:numId w:val="54"/>
              </w:numPr>
              <w:autoSpaceDE w:val="0"/>
              <w:autoSpaceDN w:val="0"/>
              <w:adjustRightInd w:val="0"/>
              <w:spacing w:after="0"/>
              <w:ind w:left="360"/>
              <w:jc w:val="both"/>
              <w:rPr>
                <w:rFonts w:ascii="Calibri" w:hAnsi="Calibri" w:cs="Calibri"/>
              </w:rPr>
            </w:pPr>
            <w:r w:rsidRPr="00F8728A">
              <w:rPr>
                <w:rFonts w:ascii="Calibri" w:hAnsi="Calibri" w:cs="Calibri"/>
              </w:rPr>
              <w:t>Обща визия за адаптирането на околната среда</w:t>
            </w:r>
          </w:p>
          <w:p w:rsidR="00AA4661" w:rsidRPr="00F8728A" w:rsidRDefault="00AA4661" w:rsidP="00CF297A">
            <w:pPr>
              <w:widowControl w:val="0"/>
              <w:numPr>
                <w:ilvl w:val="0"/>
                <w:numId w:val="54"/>
              </w:numPr>
              <w:autoSpaceDE w:val="0"/>
              <w:autoSpaceDN w:val="0"/>
              <w:adjustRightInd w:val="0"/>
              <w:spacing w:after="0"/>
              <w:ind w:left="360"/>
              <w:jc w:val="both"/>
              <w:rPr>
                <w:rFonts w:ascii="Calibri" w:hAnsi="Calibri" w:cs="Calibri"/>
              </w:rPr>
            </w:pPr>
            <w:r w:rsidRPr="00F8728A">
              <w:rPr>
                <w:rFonts w:ascii="Calibri" w:hAnsi="Calibri" w:cs="Calibri"/>
              </w:rPr>
              <w:t>Общи стратегически цели, свързани с глобалните цели за устойчиво развитие</w:t>
            </w:r>
          </w:p>
          <w:p w:rsidR="00AA4661" w:rsidRPr="00F8728A" w:rsidRDefault="00AA4661" w:rsidP="00CF297A">
            <w:pPr>
              <w:widowControl w:val="0"/>
              <w:numPr>
                <w:ilvl w:val="0"/>
                <w:numId w:val="54"/>
              </w:numPr>
              <w:autoSpaceDE w:val="0"/>
              <w:autoSpaceDN w:val="0"/>
              <w:adjustRightInd w:val="0"/>
              <w:spacing w:after="0"/>
              <w:ind w:left="360"/>
              <w:jc w:val="both"/>
              <w:rPr>
                <w:rFonts w:ascii="Calibri" w:hAnsi="Calibri" w:cs="Calibri"/>
              </w:rPr>
            </w:pPr>
            <w:r w:rsidRPr="00F8728A">
              <w:rPr>
                <w:rFonts w:ascii="Calibri" w:hAnsi="Calibri" w:cs="Calibri"/>
              </w:rPr>
              <w:t xml:space="preserve">Приоритети </w:t>
            </w:r>
          </w:p>
          <w:p w:rsidR="00AA4661" w:rsidRPr="00F8728A" w:rsidRDefault="00AA4661" w:rsidP="00B155A6">
            <w:pPr>
              <w:autoSpaceDE w:val="0"/>
              <w:autoSpaceDN w:val="0"/>
              <w:adjustRightInd w:val="0"/>
              <w:spacing w:after="20"/>
              <w:jc w:val="both"/>
              <w:rPr>
                <w:rFonts w:ascii="Calibri" w:hAnsi="Calibri" w:cs="Calibri"/>
              </w:rPr>
            </w:pPr>
            <w:r w:rsidRPr="00F8728A">
              <w:rPr>
                <w:rFonts w:ascii="Calibri" w:hAnsi="Calibri" w:cs="Calibri"/>
              </w:rPr>
              <w:t>В допълнение на пленарната сесия, тематични сесии</w:t>
            </w:r>
            <w:r w:rsidR="00CD1039">
              <w:rPr>
                <w:rFonts w:ascii="Calibri" w:hAnsi="Calibri" w:cs="Calibri"/>
              </w:rPr>
              <w:t>,</w:t>
            </w:r>
            <w:r w:rsidRPr="00F8728A">
              <w:rPr>
                <w:rFonts w:ascii="Calibri" w:hAnsi="Calibri" w:cs="Calibri"/>
              </w:rPr>
              <w:t xml:space="preserve"> ориентирани към секторите трябва да изяснят по-нататък специфичните въпроси и релевантните теми. Междусекторните въпроси могат да бъдат адресирани посредством по-сложна логистика. Отчитайки всички предимства и недостатъци на един толкова мащабен форум, могат да се използват специални комуникационни технологии, поне за чуждестранни участници.  </w:t>
            </w:r>
          </w:p>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 xml:space="preserve">Целевите групи са изследователи, политици, професионалисти, представители на местните власти, на бизнеса и на НПО.  </w:t>
            </w:r>
          </w:p>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Препоръчителен краен срак за тази инициатива е преди финалното предаване на Националната стратегия за АИК.</w:t>
            </w:r>
          </w:p>
        </w:tc>
      </w:tr>
      <w:tr w:rsidR="00AA4661" w:rsidRPr="00F8728A" w:rsidTr="00B155A6">
        <w:trPr>
          <w:trHeight w:val="261"/>
          <w:jc w:val="center"/>
        </w:trPr>
        <w:tc>
          <w:tcPr>
            <w:tcW w:w="1344" w:type="pct"/>
            <w:gridSpan w:val="3"/>
            <w:shd w:val="clear" w:color="auto" w:fill="000000"/>
            <w:vAlign w:val="center"/>
          </w:tcPr>
          <w:p w:rsidR="00AA4661" w:rsidRPr="00F8728A" w:rsidRDefault="00AA4661" w:rsidP="00B155A6">
            <w:pPr>
              <w:spacing w:before="20" w:after="20"/>
              <w:jc w:val="center"/>
              <w:rPr>
                <w:rFonts w:ascii="Calibri" w:hAnsi="Calibri" w:cs="Calibri"/>
                <w:color w:val="FFFFFF"/>
                <w:sz w:val="18"/>
                <w:szCs w:val="18"/>
              </w:rPr>
            </w:pPr>
            <w:r w:rsidRPr="00F8728A">
              <w:rPr>
                <w:rFonts w:ascii="Calibri" w:hAnsi="Calibri" w:cs="Calibri"/>
                <w:color w:val="FFFFFF"/>
                <w:sz w:val="18"/>
                <w:szCs w:val="18"/>
              </w:rPr>
              <w:t>Релевантност на варианта</w:t>
            </w:r>
          </w:p>
        </w:tc>
        <w:tc>
          <w:tcPr>
            <w:tcW w:w="3656" w:type="pct"/>
            <w:gridSpan w:val="7"/>
            <w:vMerge/>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p>
        </w:tc>
      </w:tr>
      <w:tr w:rsidR="00AA4661" w:rsidRPr="00F8728A" w:rsidTr="00B155A6">
        <w:trPr>
          <w:trHeight w:val="133"/>
          <w:jc w:val="center"/>
        </w:trPr>
        <w:tc>
          <w:tcPr>
            <w:tcW w:w="471"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433"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440"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3656" w:type="pct"/>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B155A6">
        <w:trPr>
          <w:trHeight w:val="63"/>
          <w:jc w:val="center"/>
        </w:trPr>
        <w:tc>
          <w:tcPr>
            <w:tcW w:w="471" w:type="pct"/>
            <w:shd w:val="clear" w:color="auto" w:fill="F2F2F2"/>
            <w:vAlign w:val="center"/>
          </w:tcPr>
          <w:p w:rsidR="00AA4661" w:rsidRPr="00F8728A" w:rsidRDefault="00AA4661" w:rsidP="00B155A6">
            <w:pPr>
              <w:spacing w:before="20" w:after="20"/>
              <w:jc w:val="center"/>
              <w:rPr>
                <w:rFonts w:ascii="Calibri" w:hAnsi="Calibri" w:cs="Calibri"/>
                <w:bCs/>
                <w:sz w:val="16"/>
                <w:szCs w:val="16"/>
              </w:rPr>
            </w:pPr>
            <w:r w:rsidRPr="00F8728A">
              <w:rPr>
                <w:rFonts w:ascii="Calibri" w:hAnsi="Calibri" w:cs="Calibri"/>
                <w:bCs/>
                <w:sz w:val="16"/>
                <w:szCs w:val="16"/>
              </w:rPr>
              <w:t>+</w:t>
            </w:r>
          </w:p>
        </w:tc>
        <w:tc>
          <w:tcPr>
            <w:tcW w:w="433" w:type="pct"/>
            <w:shd w:val="clear" w:color="auto" w:fill="F2F2F2"/>
            <w:vAlign w:val="center"/>
          </w:tcPr>
          <w:p w:rsidR="00AA4661" w:rsidRPr="00F8728A" w:rsidRDefault="00AA4661" w:rsidP="00B155A6">
            <w:pPr>
              <w:spacing w:before="20" w:after="20"/>
              <w:jc w:val="center"/>
              <w:rPr>
                <w:rFonts w:ascii="Calibri" w:hAnsi="Calibri" w:cs="Calibri"/>
                <w:bCs/>
                <w:sz w:val="16"/>
                <w:szCs w:val="16"/>
              </w:rPr>
            </w:pPr>
            <w:r w:rsidRPr="00F8728A">
              <w:rPr>
                <w:rFonts w:ascii="Calibri" w:hAnsi="Calibri" w:cs="Calibri"/>
                <w:bCs/>
                <w:sz w:val="16"/>
                <w:szCs w:val="16"/>
              </w:rPr>
              <w:t>++</w:t>
            </w:r>
          </w:p>
        </w:tc>
        <w:tc>
          <w:tcPr>
            <w:tcW w:w="440" w:type="pct"/>
            <w:shd w:val="clear" w:color="auto" w:fill="F2F2F2"/>
            <w:vAlign w:val="center"/>
          </w:tcPr>
          <w:p w:rsidR="00AA4661" w:rsidRPr="00F8728A" w:rsidRDefault="00AA4661" w:rsidP="00B155A6">
            <w:pPr>
              <w:spacing w:before="20" w:after="20"/>
              <w:jc w:val="center"/>
              <w:rPr>
                <w:rFonts w:ascii="Calibri" w:hAnsi="Calibri" w:cs="Calibri"/>
                <w:bCs/>
                <w:sz w:val="16"/>
                <w:szCs w:val="16"/>
              </w:rPr>
            </w:pPr>
            <w:r w:rsidRPr="00F8728A">
              <w:rPr>
                <w:rFonts w:ascii="Calibri" w:hAnsi="Calibri" w:cs="Calibri"/>
                <w:bCs/>
                <w:sz w:val="16"/>
                <w:szCs w:val="16"/>
              </w:rPr>
              <w:t>+++</w:t>
            </w:r>
          </w:p>
        </w:tc>
        <w:tc>
          <w:tcPr>
            <w:tcW w:w="3656" w:type="pct"/>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B155A6">
        <w:trPr>
          <w:trHeight w:val="63"/>
          <w:jc w:val="center"/>
        </w:trPr>
        <w:tc>
          <w:tcPr>
            <w:tcW w:w="1344" w:type="pct"/>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3656" w:type="pct"/>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 xml:space="preserve">Ангажираност на институциите. Комуникация на информация, знания и идеи. </w:t>
            </w:r>
          </w:p>
        </w:tc>
      </w:tr>
      <w:tr w:rsidR="00AA4661" w:rsidRPr="00F8728A" w:rsidTr="00B155A6">
        <w:trPr>
          <w:trHeight w:val="59"/>
          <w:jc w:val="center"/>
        </w:trPr>
        <w:tc>
          <w:tcPr>
            <w:tcW w:w="1344" w:type="pct"/>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712" w:type="pct"/>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2944" w:type="pct"/>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Мултидисциплинарния подход е важен за процеса на АИК.</w:t>
            </w:r>
          </w:p>
        </w:tc>
      </w:tr>
      <w:tr w:rsidR="00AA4661" w:rsidRPr="00F8728A" w:rsidTr="00B155A6">
        <w:trPr>
          <w:jc w:val="center"/>
        </w:trPr>
        <w:tc>
          <w:tcPr>
            <w:tcW w:w="1344" w:type="pct"/>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3656" w:type="pct"/>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w:t>
            </w:r>
          </w:p>
        </w:tc>
      </w:tr>
    </w:tbl>
    <w:p w:rsidR="00AA4661" w:rsidRPr="00F8728A" w:rsidRDefault="00AA4661" w:rsidP="00FF27EC">
      <w:pPr>
        <w:spacing w:after="0"/>
        <w:rPr>
          <w:sz w:val="8"/>
          <w:szCs w:val="8"/>
        </w:rPr>
      </w:pP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5"/>
        <w:gridCol w:w="810"/>
        <w:gridCol w:w="810"/>
        <w:gridCol w:w="1331"/>
        <w:gridCol w:w="240"/>
        <w:gridCol w:w="811"/>
        <w:gridCol w:w="1045"/>
        <w:gridCol w:w="959"/>
        <w:gridCol w:w="1072"/>
        <w:gridCol w:w="1382"/>
      </w:tblGrid>
      <w:tr w:rsidR="00AA4661" w:rsidRPr="00F8728A" w:rsidTr="00B155A6">
        <w:trPr>
          <w:trHeight w:val="360"/>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i/>
                <w:color w:val="000000"/>
                <w:sz w:val="22"/>
              </w:rPr>
            </w:pPr>
            <w:r w:rsidRPr="00F8728A">
              <w:rPr>
                <w:rFonts w:ascii="Calibri" w:hAnsi="Calibri" w:cs="Calibri"/>
                <w:b/>
                <w:i/>
                <w:smallCaps/>
                <w:color w:val="000000"/>
                <w:sz w:val="22"/>
              </w:rPr>
              <w:t>Включване на АИК в политиките за регионално и градско развитие, включително жилищна политика и строителство, чрез преразглеждане на Закона за устройство на територията</w:t>
            </w:r>
          </w:p>
        </w:tc>
      </w:tr>
      <w:tr w:rsidR="00AA4661" w:rsidRPr="00F8728A" w:rsidTr="00B155A6">
        <w:trPr>
          <w:jc w:val="center"/>
        </w:trPr>
        <w:tc>
          <w:tcPr>
            <w:tcW w:w="2515"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331"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Наднацио-нално ниво</w:t>
            </w:r>
          </w:p>
        </w:tc>
        <w:tc>
          <w:tcPr>
            <w:tcW w:w="1051"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1045"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959"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1072"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382"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B155A6">
        <w:trPr>
          <w:jc w:val="center"/>
        </w:trPr>
        <w:tc>
          <w:tcPr>
            <w:tcW w:w="2515"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331"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1051" w:type="dxa"/>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1045"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959" w:type="dxa"/>
            <w:shd w:val="clear" w:color="auto" w:fill="FFFFFF"/>
          </w:tcPr>
          <w:p w:rsidR="00AA4661" w:rsidRPr="00F8728A" w:rsidRDefault="00AA4661" w:rsidP="00B155A6">
            <w:pPr>
              <w:spacing w:before="20" w:after="20"/>
              <w:jc w:val="center"/>
              <w:rPr>
                <w:rFonts w:ascii="Calibri" w:hAnsi="Calibri" w:cs="Calibri"/>
              </w:rPr>
            </w:pPr>
          </w:p>
        </w:tc>
        <w:tc>
          <w:tcPr>
            <w:tcW w:w="1072" w:type="dxa"/>
            <w:shd w:val="clear" w:color="auto" w:fill="FFFFFF"/>
          </w:tcPr>
          <w:p w:rsidR="00AA4661" w:rsidRPr="00F8728A" w:rsidRDefault="00AA4661" w:rsidP="00B155A6">
            <w:pPr>
              <w:spacing w:before="20" w:after="20"/>
              <w:jc w:val="center"/>
              <w:rPr>
                <w:rFonts w:ascii="Calibri" w:hAnsi="Calibri" w:cs="Calibri"/>
              </w:rPr>
            </w:pPr>
          </w:p>
        </w:tc>
        <w:tc>
          <w:tcPr>
            <w:tcW w:w="1382" w:type="dxa"/>
            <w:shd w:val="clear" w:color="auto" w:fill="FFFFFF"/>
          </w:tcPr>
          <w:p w:rsidR="00AA4661" w:rsidRPr="00F8728A" w:rsidRDefault="00AA4661" w:rsidP="00B155A6">
            <w:pPr>
              <w:spacing w:before="20" w:after="20"/>
              <w:jc w:val="center"/>
              <w:rPr>
                <w:rFonts w:ascii="Calibri" w:hAnsi="Calibri" w:cs="Calibri"/>
              </w:rPr>
            </w:pPr>
          </w:p>
        </w:tc>
      </w:tr>
      <w:tr w:rsidR="00AA4661" w:rsidRPr="00F8728A" w:rsidTr="00B155A6">
        <w:trPr>
          <w:trHeight w:val="1755"/>
          <w:jc w:val="center"/>
        </w:trPr>
        <w:tc>
          <w:tcPr>
            <w:tcW w:w="251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840" w:type="dxa"/>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Предстоящата реформа на регионалната политика на равнище ЕС и на национално равнище, както и на градската политика, ще продължи да подкрепя интегрирания подход към социалното, икономическото и териториалното/пространственото сближаване. Този интегриран подход, вместо секторният, насърчаван както от МРРБ, така и от МОСВ в Споразумението за партньорство, ще бъде основен принцип за периода след 2020 г. В допълнение към свързването на секторните политики с национал-ната територия, политиката за градовете и жилищното строителство, изграж-дането на инфраструктура трябва да бъдат включени по-добре в регионал-ната политика и в АК. Това ще изисква допълване на ЗУТ и актуализиране на политическите стратегически документи и правителствени програми.</w:t>
            </w:r>
          </w:p>
        </w:tc>
      </w:tr>
      <w:tr w:rsidR="00AA4661" w:rsidRPr="00F8728A" w:rsidTr="00B155A6">
        <w:trPr>
          <w:trHeight w:val="77"/>
          <w:jc w:val="center"/>
        </w:trPr>
        <w:tc>
          <w:tcPr>
            <w:tcW w:w="2515"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84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B155A6">
        <w:trPr>
          <w:trHeight w:val="77"/>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84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B155A6">
        <w:trPr>
          <w:trHeight w:val="77"/>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84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B155A6">
        <w:trPr>
          <w:trHeight w:val="573"/>
          <w:jc w:val="center"/>
        </w:trPr>
        <w:tc>
          <w:tcPr>
            <w:tcW w:w="251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840"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По-добро и по-ефективно земеползване, концентрация на ресурси, хо-ефективни регионални и градски политики.</w:t>
            </w:r>
          </w:p>
        </w:tc>
      </w:tr>
      <w:tr w:rsidR="00AA4661" w:rsidRPr="00F8728A" w:rsidTr="00B155A6">
        <w:trPr>
          <w:trHeight w:val="59"/>
          <w:jc w:val="center"/>
        </w:trPr>
        <w:tc>
          <w:tcPr>
            <w:tcW w:w="251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571"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269"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 xml:space="preserve">Регионалните и градски политики се отразяват върху различните човешки дейности, околната среда и човешкото здраве </w:t>
            </w:r>
          </w:p>
        </w:tc>
      </w:tr>
      <w:tr w:rsidR="00AA4661" w:rsidRPr="00F8728A" w:rsidTr="00B155A6">
        <w:trPr>
          <w:jc w:val="center"/>
        </w:trPr>
        <w:tc>
          <w:tcPr>
            <w:tcW w:w="251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840"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w:t>
            </w:r>
          </w:p>
        </w:tc>
      </w:tr>
    </w:tbl>
    <w:p w:rsidR="00AA4661" w:rsidRPr="00F8728A" w:rsidRDefault="00AA4661" w:rsidP="00FF27EC">
      <w:pPr>
        <w:spacing w:after="0"/>
        <w:rPr>
          <w:sz w:val="8"/>
          <w:szCs w:val="8"/>
        </w:rPr>
      </w:pP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5"/>
        <w:gridCol w:w="810"/>
        <w:gridCol w:w="810"/>
        <w:gridCol w:w="1260"/>
        <w:gridCol w:w="549"/>
        <w:gridCol w:w="621"/>
        <w:gridCol w:w="1080"/>
        <w:gridCol w:w="990"/>
        <w:gridCol w:w="900"/>
        <w:gridCol w:w="1440"/>
      </w:tblGrid>
      <w:tr w:rsidR="00AA4661" w:rsidRPr="00F8728A" w:rsidTr="00B155A6">
        <w:trPr>
          <w:trHeight w:val="360"/>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i/>
                <w:color w:val="000000"/>
                <w:sz w:val="22"/>
              </w:rPr>
            </w:pPr>
            <w:r w:rsidRPr="00F8728A">
              <w:rPr>
                <w:rFonts w:ascii="Calibri" w:hAnsi="Calibri" w:cs="Calibri"/>
                <w:b/>
                <w:i/>
                <w:smallCaps/>
                <w:color w:val="000000"/>
                <w:sz w:val="22"/>
              </w:rPr>
              <w:t>Включване</w:t>
            </w:r>
            <w:r w:rsidRPr="00F8728A">
              <w:rPr>
                <w:rFonts w:ascii="Calibri" w:hAnsi="Calibri" w:cs="Calibri"/>
                <w:b/>
                <w:bCs/>
                <w:i/>
                <w:smallCaps/>
                <w:sz w:val="22"/>
              </w:rPr>
              <w:t xml:space="preserve"> на АИК в новата Национална жилищна стратегия</w:t>
            </w:r>
          </w:p>
        </w:tc>
      </w:tr>
      <w:tr w:rsidR="00AA4661" w:rsidRPr="00F8728A" w:rsidTr="00B155A6">
        <w:trPr>
          <w:jc w:val="center"/>
        </w:trPr>
        <w:tc>
          <w:tcPr>
            <w:tcW w:w="2515"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260"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Наднацио-нално ниво</w:t>
            </w:r>
          </w:p>
        </w:tc>
        <w:tc>
          <w:tcPr>
            <w:tcW w:w="1170"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1080"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990"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900"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440"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B155A6">
        <w:trPr>
          <w:jc w:val="center"/>
        </w:trPr>
        <w:tc>
          <w:tcPr>
            <w:tcW w:w="2515"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260" w:type="dxa"/>
            <w:shd w:val="clear" w:color="auto" w:fill="FFFFFF"/>
          </w:tcPr>
          <w:p w:rsidR="00AA4661" w:rsidRPr="00F8728A" w:rsidRDefault="00AA4661" w:rsidP="00B155A6">
            <w:pPr>
              <w:spacing w:after="0"/>
              <w:jc w:val="center"/>
              <w:rPr>
                <w:rFonts w:ascii="Calibri" w:hAnsi="Calibri" w:cs="Calibri"/>
              </w:rPr>
            </w:pPr>
          </w:p>
        </w:tc>
        <w:tc>
          <w:tcPr>
            <w:tcW w:w="1170" w:type="dxa"/>
            <w:gridSpan w:val="2"/>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c>
          <w:tcPr>
            <w:tcW w:w="1080" w:type="dxa"/>
            <w:shd w:val="clear" w:color="auto" w:fill="FFFFFF"/>
          </w:tcPr>
          <w:p w:rsidR="00AA4661" w:rsidRPr="00F8728A" w:rsidRDefault="00AA4661" w:rsidP="00B155A6">
            <w:pPr>
              <w:spacing w:after="0"/>
              <w:jc w:val="center"/>
              <w:rPr>
                <w:rFonts w:ascii="Calibri" w:hAnsi="Calibri" w:cs="Calibri"/>
              </w:rPr>
            </w:pPr>
          </w:p>
        </w:tc>
        <w:tc>
          <w:tcPr>
            <w:tcW w:w="990" w:type="dxa"/>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c>
          <w:tcPr>
            <w:tcW w:w="900" w:type="dxa"/>
            <w:shd w:val="clear" w:color="auto" w:fill="FFFFFF"/>
          </w:tcPr>
          <w:p w:rsidR="00AA4661" w:rsidRPr="00F8728A" w:rsidRDefault="00AA4661" w:rsidP="00B155A6">
            <w:pPr>
              <w:spacing w:after="0"/>
              <w:jc w:val="center"/>
              <w:rPr>
                <w:rFonts w:ascii="Calibri" w:hAnsi="Calibri" w:cs="Calibri"/>
              </w:rPr>
            </w:pPr>
          </w:p>
        </w:tc>
        <w:tc>
          <w:tcPr>
            <w:tcW w:w="1440" w:type="dxa"/>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r>
      <w:tr w:rsidR="00AA4661" w:rsidRPr="00F8728A" w:rsidTr="00B155A6">
        <w:trPr>
          <w:trHeight w:val="1548"/>
          <w:jc w:val="center"/>
        </w:trPr>
        <w:tc>
          <w:tcPr>
            <w:tcW w:w="251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840" w:type="dxa"/>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Важна задача на МРРБ през следващите години е да превърне жилищната политика в неразделна част от регионалната политика на страната, като се започне с оценката на жилищния сектор на Световната банка и възлагането на Националната жилищна стратегия. Предвижда се той да бъде придружен от няколко програми, насочени към основните идентифицирани проблеми в сектора, включително законодателство, обновяване на панелни сгради, достъпно жилище за млади хора и хора от уязвими групи, подобряване планирането на районите, подлежащи на цялостно обновяване. Обновяването на сградния фонд ще изисква значителни ресурси (време, финансови, човешки).</w:t>
            </w:r>
          </w:p>
        </w:tc>
      </w:tr>
      <w:tr w:rsidR="00AA4661" w:rsidRPr="00F8728A" w:rsidTr="00B155A6">
        <w:trPr>
          <w:trHeight w:val="60"/>
          <w:jc w:val="center"/>
        </w:trPr>
        <w:tc>
          <w:tcPr>
            <w:tcW w:w="2515"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84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B155A6">
        <w:trPr>
          <w:trHeight w:val="60"/>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bookmarkStart w:id="764" w:name="_Hlk506138699"/>
            <w:r w:rsidRPr="00F8728A">
              <w:rPr>
                <w:rFonts w:ascii="Calibri" w:hAnsi="Calibri" w:cs="Calibri"/>
                <w:sz w:val="16"/>
                <w:szCs w:val="16"/>
              </w:rPr>
              <w:t>Иконо-мическа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84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bookmarkEnd w:id="764"/>
      <w:tr w:rsidR="00AA4661" w:rsidRPr="00F8728A" w:rsidTr="00B155A6">
        <w:trPr>
          <w:trHeight w:val="60"/>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 -</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84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B155A6">
        <w:trPr>
          <w:trHeight w:val="573"/>
          <w:jc w:val="center"/>
        </w:trPr>
        <w:tc>
          <w:tcPr>
            <w:tcW w:w="251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840"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Подобряване на качеството на живот, градската среда и комфорт, и намаляване на енергийните разходи</w:t>
            </w:r>
          </w:p>
        </w:tc>
      </w:tr>
      <w:tr w:rsidR="00AA4661" w:rsidRPr="00F8728A" w:rsidTr="00B155A6">
        <w:trPr>
          <w:trHeight w:val="59"/>
          <w:jc w:val="center"/>
        </w:trPr>
        <w:tc>
          <w:tcPr>
            <w:tcW w:w="251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809"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031"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Енергетика, Човешко здраве, Воден сектор</w:t>
            </w:r>
          </w:p>
        </w:tc>
      </w:tr>
      <w:tr w:rsidR="00AA4661" w:rsidRPr="00F8728A" w:rsidTr="00B155A6">
        <w:trPr>
          <w:jc w:val="center"/>
        </w:trPr>
        <w:tc>
          <w:tcPr>
            <w:tcW w:w="251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840"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Рискове за сградите и човешкото здраве в резултат на екстремни температури</w:t>
            </w:r>
          </w:p>
        </w:tc>
      </w:tr>
    </w:tbl>
    <w:p w:rsidR="00AA4661" w:rsidRPr="00F8728A" w:rsidRDefault="00AA4661" w:rsidP="00FF27EC">
      <w:pPr>
        <w:spacing w:after="0"/>
        <w:rPr>
          <w:sz w:val="8"/>
          <w:szCs w:val="8"/>
        </w:rPr>
      </w:pPr>
    </w:p>
    <w:tbl>
      <w:tblPr>
        <w:tblW w:w="5156"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3"/>
        <w:gridCol w:w="807"/>
        <w:gridCol w:w="809"/>
        <w:gridCol w:w="1333"/>
        <w:gridCol w:w="1051"/>
        <w:gridCol w:w="1046"/>
        <w:gridCol w:w="1025"/>
        <w:gridCol w:w="877"/>
        <w:gridCol w:w="1613"/>
      </w:tblGrid>
      <w:tr w:rsidR="00AA4661" w:rsidRPr="00F8728A" w:rsidTr="00B155A6">
        <w:trPr>
          <w:trHeight w:val="69"/>
          <w:jc w:val="center"/>
        </w:trPr>
        <w:tc>
          <w:tcPr>
            <w:tcW w:w="5000" w:type="pct"/>
            <w:gridSpan w:val="9"/>
            <w:shd w:val="clear" w:color="auto" w:fill="A8D08D"/>
          </w:tcPr>
          <w:p w:rsidR="00AA4661" w:rsidRPr="00F8728A" w:rsidRDefault="00AA4661" w:rsidP="00CF297A">
            <w:pPr>
              <w:pStyle w:val="ListParagraph1"/>
              <w:widowControl w:val="0"/>
              <w:numPr>
                <w:ilvl w:val="0"/>
                <w:numId w:val="61"/>
              </w:numPr>
              <w:spacing w:before="20" w:after="20" w:line="240" w:lineRule="auto"/>
              <w:ind w:left="893"/>
              <w:contextualSpacing w:val="0"/>
              <w:jc w:val="both"/>
              <w:rPr>
                <w:b/>
                <w:sz w:val="20"/>
                <w:szCs w:val="22"/>
                <w:lang w:val="bg-BG" w:eastAsia="en-US"/>
              </w:rPr>
            </w:pPr>
            <w:r w:rsidRPr="00F8728A">
              <w:rPr>
                <w:rFonts w:ascii="Calibri" w:hAnsi="Calibri" w:cs="Calibri"/>
                <w:b/>
                <w:bCs/>
                <w:color w:val="000000"/>
                <w:sz w:val="24"/>
                <w:szCs w:val="22"/>
                <w:lang w:val="bg-BG" w:eastAsia="en-US"/>
              </w:rPr>
              <w:t>Категория „Информация“</w:t>
            </w:r>
          </w:p>
        </w:tc>
      </w:tr>
      <w:tr w:rsidR="00AA4661" w:rsidRPr="00F8728A" w:rsidTr="00B155A6">
        <w:trPr>
          <w:trHeight w:val="145"/>
          <w:jc w:val="center"/>
        </w:trPr>
        <w:tc>
          <w:tcPr>
            <w:tcW w:w="5000" w:type="pct"/>
            <w:gridSpan w:val="9"/>
            <w:shd w:val="clear" w:color="auto" w:fill="E2EFD9"/>
          </w:tcPr>
          <w:p w:rsidR="00AA4661" w:rsidRPr="00F8728A" w:rsidRDefault="00AA4661" w:rsidP="00B155A6">
            <w:pPr>
              <w:spacing w:before="40" w:after="40"/>
              <w:ind w:left="125"/>
              <w:jc w:val="both"/>
              <w:rPr>
                <w:b/>
                <w:sz w:val="22"/>
              </w:rPr>
            </w:pPr>
            <w:r w:rsidRPr="00F8728A">
              <w:rPr>
                <w:rFonts w:ascii="Calibri" w:hAnsi="Calibri" w:cs="Calibri"/>
                <w:b/>
                <w:bCs/>
                <w:color w:val="000000"/>
                <w:sz w:val="22"/>
              </w:rPr>
              <w:t>Осигуряване на институционално регулиран обмен на информация и данни, съгласно задълженията по директива INSPIRE</w:t>
            </w:r>
          </w:p>
        </w:tc>
      </w:tr>
      <w:tr w:rsidR="00AA4661" w:rsidRPr="00F8728A" w:rsidTr="00B155A6">
        <w:trPr>
          <w:trHeight w:val="69"/>
          <w:jc w:val="center"/>
        </w:trPr>
        <w:tc>
          <w:tcPr>
            <w:tcW w:w="5000" w:type="pct"/>
            <w:gridSpan w:val="9"/>
          </w:tcPr>
          <w:p w:rsidR="00AA4661" w:rsidRPr="00F8728A" w:rsidRDefault="00AA4661" w:rsidP="00CF297A">
            <w:pPr>
              <w:widowControl w:val="0"/>
              <w:numPr>
                <w:ilvl w:val="0"/>
                <w:numId w:val="48"/>
              </w:numPr>
              <w:spacing w:before="40" w:after="40"/>
              <w:ind w:left="504" w:right="144"/>
              <w:jc w:val="both"/>
              <w:rPr>
                <w:rFonts w:ascii="Calibri" w:hAnsi="Calibri" w:cs="Calibri"/>
                <w:b/>
                <w:i/>
                <w:smallCaps/>
                <w:color w:val="000000"/>
                <w:sz w:val="22"/>
              </w:rPr>
            </w:pPr>
            <w:r w:rsidRPr="00F8728A">
              <w:rPr>
                <w:rFonts w:ascii="Calibri" w:hAnsi="Calibri" w:cs="Calibri"/>
                <w:b/>
                <w:i/>
                <w:smallCaps/>
                <w:color w:val="000000"/>
                <w:sz w:val="22"/>
              </w:rPr>
              <w:t>Създаване на общи стандарти за типа, структурния обхват и формата на метаданните и данните, хармонизирани с ЕС на градско ниво</w:t>
            </w:r>
          </w:p>
        </w:tc>
      </w:tr>
      <w:tr w:rsidR="00AA4661" w:rsidRPr="00F8728A" w:rsidTr="00B46A56">
        <w:trPr>
          <w:jc w:val="center"/>
        </w:trPr>
        <w:tc>
          <w:tcPr>
            <w:tcW w:w="1327" w:type="pct"/>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705"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Наднацио-нално ниво</w:t>
            </w:r>
          </w:p>
        </w:tc>
        <w:tc>
          <w:tcPr>
            <w:tcW w:w="556"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553"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542"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464"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853"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B46A56">
        <w:trPr>
          <w:jc w:val="center"/>
        </w:trPr>
        <w:tc>
          <w:tcPr>
            <w:tcW w:w="1327" w:type="pct"/>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705" w:type="pct"/>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c>
          <w:tcPr>
            <w:tcW w:w="556" w:type="pct"/>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c>
          <w:tcPr>
            <w:tcW w:w="553" w:type="pct"/>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c>
          <w:tcPr>
            <w:tcW w:w="542" w:type="pct"/>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c>
          <w:tcPr>
            <w:tcW w:w="464" w:type="pct"/>
            <w:shd w:val="clear" w:color="auto" w:fill="FFFFFF"/>
          </w:tcPr>
          <w:p w:rsidR="00AA4661" w:rsidRPr="00F8728A" w:rsidRDefault="00AA4661" w:rsidP="00B155A6">
            <w:pPr>
              <w:spacing w:after="0"/>
              <w:jc w:val="center"/>
              <w:rPr>
                <w:rFonts w:ascii="Calibri" w:hAnsi="Calibri" w:cs="Calibri"/>
              </w:rPr>
            </w:pPr>
          </w:p>
        </w:tc>
        <w:tc>
          <w:tcPr>
            <w:tcW w:w="853" w:type="pct"/>
            <w:shd w:val="clear" w:color="auto" w:fill="FFFFFF"/>
          </w:tcPr>
          <w:p w:rsidR="00AA4661" w:rsidRPr="00F8728A" w:rsidRDefault="00AA4661" w:rsidP="00B155A6">
            <w:pPr>
              <w:spacing w:after="0"/>
              <w:jc w:val="center"/>
              <w:rPr>
                <w:rFonts w:ascii="Calibri" w:hAnsi="Calibri" w:cs="Calibri"/>
              </w:rPr>
            </w:pPr>
          </w:p>
        </w:tc>
      </w:tr>
      <w:tr w:rsidR="00AA4661" w:rsidRPr="00F8728A" w:rsidTr="00B46A56">
        <w:trPr>
          <w:trHeight w:val="1773"/>
          <w:jc w:val="center"/>
        </w:trPr>
        <w:tc>
          <w:tcPr>
            <w:tcW w:w="1327" w:type="pct"/>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3673" w:type="pct"/>
            <w:gridSpan w:val="6"/>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Достъпът до пространствени данни, разработването, поддържането и използването на инфраструктурата за пространствена информация и предоставянето на информация за околната среда се регулират от Закона за достъп до пространствени данни, който предвижда създаването на Национален портал за пространствени данни и по този начин прилага директивата INSPIRE. Последната има за цел да създаде инфраструктура на ЕС за пространствени данни за целите на политиките на ЕС в областта на околната среда и дейностите с въздействие върху околната среда. Директивата влезе в сила през 2007 г. и ще бъде напълно въведена до 2021 г. Новият начин за обмен на данни изисква стандартизиране на метаданните и данните по отношение на тематични клъстери, вид, структура, обхват и формат.</w:t>
            </w:r>
          </w:p>
        </w:tc>
      </w:tr>
      <w:tr w:rsidR="00AA4661" w:rsidRPr="00F8728A" w:rsidTr="00B46A56">
        <w:trPr>
          <w:trHeight w:val="128"/>
          <w:jc w:val="center"/>
        </w:trPr>
        <w:tc>
          <w:tcPr>
            <w:tcW w:w="1327" w:type="pct"/>
            <w:gridSpan w:val="3"/>
            <w:shd w:val="clear" w:color="auto" w:fill="000000"/>
            <w:vAlign w:val="center"/>
          </w:tcPr>
          <w:p w:rsidR="00AA4661" w:rsidRPr="00F8728A" w:rsidRDefault="00AA4661" w:rsidP="00B155A6">
            <w:pPr>
              <w:spacing w:before="20" w:after="20"/>
              <w:jc w:val="center"/>
              <w:rPr>
                <w:rFonts w:ascii="Calibri" w:hAnsi="Calibri" w:cs="Calibri"/>
                <w:color w:val="FFFFFF"/>
                <w:sz w:val="18"/>
                <w:szCs w:val="18"/>
              </w:rPr>
            </w:pPr>
            <w:r w:rsidRPr="00F8728A">
              <w:rPr>
                <w:rFonts w:ascii="Calibri" w:hAnsi="Calibri" w:cs="Calibri"/>
                <w:color w:val="FFFFFF"/>
                <w:sz w:val="18"/>
                <w:szCs w:val="18"/>
              </w:rPr>
              <w:t>Релевантност на варианта</w:t>
            </w:r>
          </w:p>
        </w:tc>
        <w:tc>
          <w:tcPr>
            <w:tcW w:w="3673" w:type="pct"/>
            <w:gridSpan w:val="6"/>
            <w:vMerge/>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p>
        </w:tc>
      </w:tr>
      <w:tr w:rsidR="00AA4661" w:rsidRPr="00F8728A" w:rsidTr="00B46A56">
        <w:trPr>
          <w:trHeight w:val="133"/>
          <w:jc w:val="center"/>
        </w:trPr>
        <w:tc>
          <w:tcPr>
            <w:tcW w:w="472"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427"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428"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3673" w:type="pct"/>
            <w:gridSpan w:val="6"/>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B46A56">
        <w:trPr>
          <w:trHeight w:val="53"/>
          <w:jc w:val="center"/>
        </w:trPr>
        <w:tc>
          <w:tcPr>
            <w:tcW w:w="472"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 -</w:t>
            </w:r>
          </w:p>
        </w:tc>
        <w:tc>
          <w:tcPr>
            <w:tcW w:w="427"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428"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3673" w:type="pct"/>
            <w:gridSpan w:val="6"/>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B46A56">
        <w:trPr>
          <w:trHeight w:val="63"/>
          <w:jc w:val="center"/>
        </w:trPr>
        <w:tc>
          <w:tcPr>
            <w:tcW w:w="1327" w:type="pct"/>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3673" w:type="pct"/>
            <w:gridSpan w:val="6"/>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Позволява обмен пространствената информация между организациите от обществения сектор, улеснява обществения достъп до пространствена информация на национално и местно ниво и подпомага процеса на разработване на политики. Подобрява качеството на изследванията.</w:t>
            </w:r>
          </w:p>
        </w:tc>
      </w:tr>
      <w:tr w:rsidR="00AA4661" w:rsidRPr="00F8728A" w:rsidTr="00B46A56">
        <w:trPr>
          <w:trHeight w:val="59"/>
          <w:jc w:val="center"/>
        </w:trPr>
        <w:tc>
          <w:tcPr>
            <w:tcW w:w="1327" w:type="pct"/>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705" w:type="pct"/>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2968" w:type="pct"/>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 Туризъм, Селско и Горско стопанство и Биоразнообразие.</w:t>
            </w:r>
          </w:p>
        </w:tc>
      </w:tr>
      <w:tr w:rsidR="00AA4661" w:rsidRPr="00F8728A" w:rsidTr="00B46A56">
        <w:trPr>
          <w:jc w:val="center"/>
        </w:trPr>
        <w:tc>
          <w:tcPr>
            <w:tcW w:w="1327" w:type="pct"/>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3673" w:type="pct"/>
            <w:gridSpan w:val="6"/>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w:t>
            </w:r>
          </w:p>
        </w:tc>
      </w:tr>
      <w:tr w:rsidR="00AA4661" w:rsidRPr="00F8728A" w:rsidTr="00B51FED">
        <w:trPr>
          <w:trHeight w:val="360"/>
          <w:jc w:val="center"/>
        </w:trPr>
        <w:tc>
          <w:tcPr>
            <w:tcW w:w="5000" w:type="pct"/>
            <w:gridSpan w:val="9"/>
          </w:tcPr>
          <w:p w:rsidR="00AA4661" w:rsidRPr="00F8728A" w:rsidRDefault="00AA4661" w:rsidP="00CF297A">
            <w:pPr>
              <w:widowControl w:val="0"/>
              <w:numPr>
                <w:ilvl w:val="0"/>
                <w:numId w:val="48"/>
              </w:numPr>
              <w:spacing w:before="40" w:after="40"/>
              <w:ind w:left="504" w:right="144"/>
              <w:jc w:val="both"/>
              <w:rPr>
                <w:rFonts w:ascii="Calibri" w:hAnsi="Calibri" w:cs="Calibri"/>
                <w:i/>
                <w:color w:val="000000"/>
                <w:sz w:val="22"/>
              </w:rPr>
            </w:pPr>
            <w:r w:rsidRPr="00F8728A">
              <w:rPr>
                <w:rFonts w:ascii="Calibri" w:hAnsi="Calibri" w:cs="Calibri"/>
                <w:b/>
                <w:i/>
                <w:smallCaps/>
                <w:color w:val="000000"/>
                <w:sz w:val="22"/>
              </w:rPr>
              <w:t>Обмен на информация с европейски държави и международни институции.</w:t>
            </w:r>
          </w:p>
        </w:tc>
      </w:tr>
      <w:tr w:rsidR="00AA4661" w:rsidRPr="00F8728A" w:rsidTr="00B51FED">
        <w:trPr>
          <w:jc w:val="center"/>
        </w:trPr>
        <w:tc>
          <w:tcPr>
            <w:tcW w:w="1327" w:type="pct"/>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705"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556"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553"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542"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464"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853"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B51FED">
        <w:trPr>
          <w:jc w:val="center"/>
        </w:trPr>
        <w:tc>
          <w:tcPr>
            <w:tcW w:w="1327" w:type="pct"/>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705" w:type="pct"/>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c>
          <w:tcPr>
            <w:tcW w:w="556" w:type="pct"/>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c>
          <w:tcPr>
            <w:tcW w:w="553" w:type="pct"/>
            <w:shd w:val="clear" w:color="auto" w:fill="FFFFFF"/>
          </w:tcPr>
          <w:p w:rsidR="00AA4661" w:rsidRPr="00F8728A" w:rsidRDefault="00AA4661" w:rsidP="00B155A6">
            <w:pPr>
              <w:spacing w:after="0"/>
              <w:jc w:val="center"/>
              <w:rPr>
                <w:rFonts w:ascii="Calibri" w:hAnsi="Calibri" w:cs="Calibri"/>
              </w:rPr>
            </w:pPr>
          </w:p>
        </w:tc>
        <w:tc>
          <w:tcPr>
            <w:tcW w:w="542" w:type="pct"/>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c>
          <w:tcPr>
            <w:tcW w:w="464" w:type="pct"/>
            <w:shd w:val="clear" w:color="auto" w:fill="FFFFFF"/>
          </w:tcPr>
          <w:p w:rsidR="00AA4661" w:rsidRPr="00F8728A" w:rsidRDefault="00AA4661" w:rsidP="00B155A6">
            <w:pPr>
              <w:spacing w:after="0"/>
              <w:jc w:val="center"/>
              <w:rPr>
                <w:rFonts w:ascii="Calibri" w:hAnsi="Calibri" w:cs="Calibri"/>
              </w:rPr>
            </w:pPr>
          </w:p>
        </w:tc>
        <w:tc>
          <w:tcPr>
            <w:tcW w:w="853" w:type="pct"/>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r>
      <w:tr w:rsidR="00AA4661" w:rsidRPr="00F8728A" w:rsidTr="00B51FED">
        <w:trPr>
          <w:trHeight w:val="1287"/>
          <w:jc w:val="center"/>
        </w:trPr>
        <w:tc>
          <w:tcPr>
            <w:tcW w:w="1327" w:type="pct"/>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3673" w:type="pct"/>
            <w:gridSpan w:val="6"/>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Вариантът има за цел по-добра координация на усилията на държавите-членки на ЕС по отношение на АИК и разширяване на мрежите от професионалисти и научни общности. При осъществяването на този вариант основните заинтересовани страни трябва да определят най-важните отношения за по-нататъшно развитие и да предоставят данни за надеждни партньори за бъдещо сътрудничество. Работата в тясно сътрудничество с водещи институции ще увеличи капацитета и знанията. За тази цел могат да се използват средства на ЕС, както и други програми за сътрудничество, включително трансгранични, и програми за териториално сътрудничество.</w:t>
            </w:r>
          </w:p>
        </w:tc>
      </w:tr>
      <w:tr w:rsidR="00AA4661" w:rsidRPr="00F8728A" w:rsidTr="00B51FED">
        <w:trPr>
          <w:trHeight w:val="85"/>
          <w:jc w:val="center"/>
        </w:trPr>
        <w:tc>
          <w:tcPr>
            <w:tcW w:w="1327" w:type="pct"/>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3673" w:type="pct"/>
            <w:gridSpan w:val="6"/>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B51FED">
        <w:trPr>
          <w:trHeight w:val="85"/>
          <w:jc w:val="center"/>
        </w:trPr>
        <w:tc>
          <w:tcPr>
            <w:tcW w:w="472"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427"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428"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3673" w:type="pct"/>
            <w:gridSpan w:val="6"/>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B51FED">
        <w:trPr>
          <w:trHeight w:val="53"/>
          <w:jc w:val="center"/>
        </w:trPr>
        <w:tc>
          <w:tcPr>
            <w:tcW w:w="472"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 -</w:t>
            </w:r>
          </w:p>
        </w:tc>
        <w:tc>
          <w:tcPr>
            <w:tcW w:w="427"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428"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3673" w:type="pct"/>
            <w:gridSpan w:val="6"/>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B51FED">
        <w:trPr>
          <w:trHeight w:val="573"/>
          <w:jc w:val="center"/>
        </w:trPr>
        <w:tc>
          <w:tcPr>
            <w:tcW w:w="1327" w:type="pct"/>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3673" w:type="pct"/>
            <w:gridSpan w:val="6"/>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Улеснява публичния достъп до пространствена информация в цяла Европа и подпомага процеса на вземане на решения през границите. Предоставя информация за трансграничните рискове от ИК.</w:t>
            </w:r>
          </w:p>
        </w:tc>
      </w:tr>
      <w:tr w:rsidR="00AA4661" w:rsidRPr="00F8728A" w:rsidTr="00B51FED">
        <w:trPr>
          <w:trHeight w:val="59"/>
          <w:jc w:val="center"/>
        </w:trPr>
        <w:tc>
          <w:tcPr>
            <w:tcW w:w="1327" w:type="pct"/>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705" w:type="pct"/>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2968" w:type="pct"/>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 Туризъм, Селско и Горско стопанство, Биоразнообразие</w:t>
            </w:r>
          </w:p>
        </w:tc>
      </w:tr>
      <w:tr w:rsidR="00AA4661" w:rsidRPr="00F8728A" w:rsidTr="00B51FED">
        <w:trPr>
          <w:jc w:val="center"/>
        </w:trPr>
        <w:tc>
          <w:tcPr>
            <w:tcW w:w="1327" w:type="pct"/>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3673" w:type="pct"/>
            <w:gridSpan w:val="6"/>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w:t>
            </w:r>
          </w:p>
        </w:tc>
      </w:tr>
    </w:tbl>
    <w:p w:rsidR="00AA4661" w:rsidRPr="00F8728A" w:rsidRDefault="00AA4661" w:rsidP="00FF27EC">
      <w:pPr>
        <w:spacing w:after="0"/>
        <w:rPr>
          <w:sz w:val="8"/>
          <w:szCs w:val="8"/>
        </w:rPr>
      </w:pP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1"/>
        <w:gridCol w:w="900"/>
        <w:gridCol w:w="810"/>
        <w:gridCol w:w="1361"/>
        <w:gridCol w:w="287"/>
        <w:gridCol w:w="765"/>
        <w:gridCol w:w="995"/>
        <w:gridCol w:w="817"/>
        <w:gridCol w:w="768"/>
        <w:gridCol w:w="1761"/>
      </w:tblGrid>
      <w:tr w:rsidR="00AA4661" w:rsidRPr="00F8728A" w:rsidTr="00B51FED">
        <w:trPr>
          <w:trHeight w:val="360"/>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i/>
                <w:color w:val="000000"/>
                <w:sz w:val="22"/>
              </w:rPr>
            </w:pPr>
            <w:r w:rsidRPr="00F8728A">
              <w:rPr>
                <w:rFonts w:ascii="Calibri" w:hAnsi="Calibri" w:cs="Calibri"/>
                <w:b/>
                <w:i/>
                <w:smallCaps/>
                <w:color w:val="000000"/>
                <w:sz w:val="22"/>
              </w:rPr>
              <w:t>Осигуряване на отворен достъп до информация за широката общественост</w:t>
            </w:r>
          </w:p>
        </w:tc>
      </w:tr>
      <w:tr w:rsidR="00AA4661" w:rsidRPr="00F8728A" w:rsidTr="00B51FED">
        <w:trPr>
          <w:jc w:val="center"/>
        </w:trPr>
        <w:tc>
          <w:tcPr>
            <w:tcW w:w="2601"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361"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Наднацио-нално ниво</w:t>
            </w:r>
          </w:p>
        </w:tc>
        <w:tc>
          <w:tcPr>
            <w:tcW w:w="1052"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995"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81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768"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761"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B51FED">
        <w:trPr>
          <w:jc w:val="center"/>
        </w:trPr>
        <w:tc>
          <w:tcPr>
            <w:tcW w:w="2601"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361" w:type="dxa"/>
            <w:shd w:val="clear" w:color="auto" w:fill="FFFFFF"/>
          </w:tcPr>
          <w:p w:rsidR="00AA4661" w:rsidRPr="00F8728A" w:rsidRDefault="00AA4661" w:rsidP="00B155A6">
            <w:pPr>
              <w:spacing w:after="0"/>
              <w:jc w:val="center"/>
              <w:rPr>
                <w:rFonts w:ascii="Calibri" w:hAnsi="Calibri" w:cs="Calibri"/>
              </w:rPr>
            </w:pPr>
          </w:p>
        </w:tc>
        <w:tc>
          <w:tcPr>
            <w:tcW w:w="1052" w:type="dxa"/>
            <w:gridSpan w:val="2"/>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c>
          <w:tcPr>
            <w:tcW w:w="995" w:type="dxa"/>
            <w:shd w:val="clear" w:color="auto" w:fill="FFFFFF"/>
          </w:tcPr>
          <w:p w:rsidR="00AA4661" w:rsidRPr="00F8728A" w:rsidRDefault="00AA4661" w:rsidP="00B155A6">
            <w:pPr>
              <w:spacing w:after="0"/>
              <w:jc w:val="center"/>
              <w:rPr>
                <w:rFonts w:ascii="Calibri" w:hAnsi="Calibri" w:cs="Calibri"/>
              </w:rPr>
            </w:pPr>
          </w:p>
        </w:tc>
        <w:tc>
          <w:tcPr>
            <w:tcW w:w="817" w:type="dxa"/>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c>
          <w:tcPr>
            <w:tcW w:w="768" w:type="dxa"/>
            <w:shd w:val="clear" w:color="auto" w:fill="FFFFFF"/>
          </w:tcPr>
          <w:p w:rsidR="00AA4661" w:rsidRPr="00F8728A" w:rsidRDefault="00AA4661" w:rsidP="00B155A6">
            <w:pPr>
              <w:spacing w:after="0"/>
              <w:jc w:val="center"/>
              <w:rPr>
                <w:rFonts w:ascii="Calibri" w:hAnsi="Calibri" w:cs="Calibri"/>
              </w:rPr>
            </w:pPr>
          </w:p>
        </w:tc>
        <w:tc>
          <w:tcPr>
            <w:tcW w:w="1761" w:type="dxa"/>
            <w:shd w:val="clear" w:color="auto" w:fill="FFFFFF"/>
          </w:tcPr>
          <w:p w:rsidR="00AA4661" w:rsidRPr="00F8728A" w:rsidRDefault="00AA4661" w:rsidP="00B155A6">
            <w:pPr>
              <w:spacing w:after="0"/>
              <w:jc w:val="center"/>
              <w:rPr>
                <w:rFonts w:ascii="Calibri" w:hAnsi="Calibri" w:cs="Calibri"/>
              </w:rPr>
            </w:pPr>
          </w:p>
        </w:tc>
      </w:tr>
      <w:tr w:rsidR="00AA4661" w:rsidRPr="00F8728A" w:rsidTr="00B73D7E">
        <w:trPr>
          <w:trHeight w:val="2691"/>
          <w:jc w:val="center"/>
        </w:trPr>
        <w:tc>
          <w:tcPr>
            <w:tcW w:w="2601"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754" w:type="dxa"/>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 xml:space="preserve">Независимо от всички усилия за обединяване на информационните системи и предоставяне на подходяща информация на широката общественост, все още са необходими допълнителни действия, за да се осигури свободен достъп до платформите за АИК на национално и местно равнище. Информацията за околната среда, ИК, екстремните метеорологични събития и въздействията трябва да бъде интегрирана в един "пакет" като част от Националната стратегия за АИК. Водещата институция трябва да бъде МОСВ и нейните звена - РИОСВ, Дирекциите за басейново управление на водите, с подкрепата на МРРБ и неговите държавни дружества. Като се има предвид сложността на градската среда и уникалността на всеки град и градска зона, трябва да бъдат създадени допълнителни платформи за АИК на местно ниво като част от местните стратегии/планове за адаптация. За да се избегне неправилното функциониране на създадените бази данни и платформи, какъвто е случаят с повечето проекти, финансирани от ЕС, е необходимо да се осигурят поне двама специалисти по ИТ за обработка и поддръжка на данни. </w:t>
            </w:r>
          </w:p>
        </w:tc>
      </w:tr>
      <w:tr w:rsidR="00AA4661" w:rsidRPr="00F8728A" w:rsidTr="00B51FED">
        <w:trPr>
          <w:trHeight w:val="85"/>
          <w:jc w:val="center"/>
        </w:trPr>
        <w:tc>
          <w:tcPr>
            <w:tcW w:w="2601"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754"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B51FED">
        <w:trPr>
          <w:trHeight w:val="85"/>
          <w:jc w:val="center"/>
        </w:trPr>
        <w:tc>
          <w:tcPr>
            <w:tcW w:w="891"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4"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B51FED">
        <w:trPr>
          <w:trHeight w:val="53"/>
          <w:jc w:val="center"/>
        </w:trPr>
        <w:tc>
          <w:tcPr>
            <w:tcW w:w="891"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 -</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4"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B51FED">
        <w:trPr>
          <w:trHeight w:val="573"/>
          <w:jc w:val="center"/>
        </w:trPr>
        <w:tc>
          <w:tcPr>
            <w:tcW w:w="2601"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754"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Повишаване на осведомеността и ангажираността. Обща обществена култура за околната среда и повече възможности за информирано участие в процеса на AИК.</w:t>
            </w:r>
          </w:p>
        </w:tc>
      </w:tr>
      <w:tr w:rsidR="00AA4661" w:rsidRPr="00F8728A" w:rsidTr="00B51FED">
        <w:trPr>
          <w:trHeight w:val="59"/>
          <w:jc w:val="center"/>
        </w:trPr>
        <w:tc>
          <w:tcPr>
            <w:tcW w:w="2601"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648"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106"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 Туризъм, Селско и Горско стопанство, Биоразнообразие</w:t>
            </w:r>
          </w:p>
        </w:tc>
      </w:tr>
      <w:tr w:rsidR="00AA4661" w:rsidRPr="00F8728A" w:rsidTr="00B51FED">
        <w:trPr>
          <w:jc w:val="center"/>
        </w:trPr>
        <w:tc>
          <w:tcPr>
            <w:tcW w:w="2601"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754"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w:t>
            </w:r>
          </w:p>
        </w:tc>
      </w:tr>
    </w:tbl>
    <w:p w:rsidR="00AA4661" w:rsidRPr="00F8728A" w:rsidRDefault="00AA4661" w:rsidP="00FF27EC">
      <w:pPr>
        <w:spacing w:after="0"/>
        <w:rPr>
          <w:sz w:val="8"/>
          <w:szCs w:val="8"/>
        </w:rPr>
      </w:pPr>
    </w:p>
    <w:p w:rsidR="00AA4661" w:rsidRPr="00F8728A" w:rsidRDefault="00AA4661">
      <w:pPr>
        <w:widowControl w:val="0"/>
        <w:spacing w:after="0"/>
        <w:rPr>
          <w:sz w:val="8"/>
          <w:szCs w:val="8"/>
        </w:rPr>
      </w:pPr>
      <w:r w:rsidRPr="00F8728A">
        <w:rPr>
          <w:sz w:val="8"/>
          <w:szCs w:val="8"/>
        </w:rPr>
        <w:br w:type="page"/>
      </w:r>
    </w:p>
    <w:tbl>
      <w:tblPr>
        <w:tblW w:w="5156"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901"/>
        <w:gridCol w:w="909"/>
        <w:gridCol w:w="819"/>
        <w:gridCol w:w="1093"/>
        <w:gridCol w:w="166"/>
        <w:gridCol w:w="930"/>
        <w:gridCol w:w="1057"/>
        <w:gridCol w:w="1036"/>
        <w:gridCol w:w="1083"/>
        <w:gridCol w:w="1460"/>
      </w:tblGrid>
      <w:tr w:rsidR="00AA4661" w:rsidRPr="00F8728A" w:rsidTr="000614A3">
        <w:trPr>
          <w:trHeight w:val="69"/>
          <w:jc w:val="center"/>
        </w:trPr>
        <w:tc>
          <w:tcPr>
            <w:tcW w:w="5000" w:type="pct"/>
            <w:gridSpan w:val="10"/>
            <w:shd w:val="clear" w:color="auto" w:fill="A8D08D"/>
          </w:tcPr>
          <w:p w:rsidR="00AA4661" w:rsidRPr="00F8728A" w:rsidRDefault="00AA4661" w:rsidP="00CF297A">
            <w:pPr>
              <w:pStyle w:val="ListParagraph1"/>
              <w:widowControl w:val="0"/>
              <w:numPr>
                <w:ilvl w:val="0"/>
                <w:numId w:val="61"/>
              </w:numPr>
              <w:spacing w:before="20" w:after="20" w:line="240" w:lineRule="auto"/>
              <w:ind w:left="893"/>
              <w:contextualSpacing w:val="0"/>
              <w:jc w:val="both"/>
              <w:rPr>
                <w:b/>
                <w:sz w:val="20"/>
                <w:szCs w:val="22"/>
                <w:lang w:val="bg-BG" w:eastAsia="en-US"/>
              </w:rPr>
            </w:pPr>
            <w:r w:rsidRPr="00F8728A">
              <w:rPr>
                <w:rFonts w:ascii="Calibri" w:hAnsi="Calibri" w:cs="Calibri"/>
                <w:b/>
                <w:bCs/>
                <w:color w:val="000000"/>
                <w:sz w:val="24"/>
                <w:szCs w:val="22"/>
                <w:lang w:val="bg-BG" w:eastAsia="en-US"/>
              </w:rPr>
              <w:t>Категория „Научни изследвания“</w:t>
            </w:r>
          </w:p>
        </w:tc>
      </w:tr>
      <w:tr w:rsidR="00AA4661" w:rsidRPr="00F8728A" w:rsidTr="000614A3">
        <w:trPr>
          <w:trHeight w:val="145"/>
          <w:jc w:val="center"/>
        </w:trPr>
        <w:tc>
          <w:tcPr>
            <w:tcW w:w="5000" w:type="pct"/>
            <w:gridSpan w:val="10"/>
            <w:shd w:val="clear" w:color="auto" w:fill="E2EFD9"/>
          </w:tcPr>
          <w:p w:rsidR="00AA4661" w:rsidRPr="00F8728A" w:rsidRDefault="00AA4661" w:rsidP="00B155A6">
            <w:pPr>
              <w:spacing w:before="40" w:after="40"/>
              <w:ind w:left="125"/>
              <w:jc w:val="both"/>
              <w:rPr>
                <w:b/>
                <w:bCs/>
                <w:sz w:val="22"/>
              </w:rPr>
            </w:pPr>
            <w:r w:rsidRPr="00F8728A">
              <w:rPr>
                <w:rFonts w:ascii="Calibri" w:hAnsi="Calibri" w:cs="Calibri"/>
                <w:b/>
                <w:bCs/>
                <w:color w:val="000000"/>
                <w:sz w:val="22"/>
              </w:rPr>
              <w:t>Осигуряване на обща дългосрочна визия и цели в изследването на АИК на градската среда чрез промени в Националната стратегия за развитие на научните изследвания</w:t>
            </w:r>
          </w:p>
        </w:tc>
      </w:tr>
      <w:tr w:rsidR="00AA4661" w:rsidRPr="00F8728A" w:rsidTr="000614A3">
        <w:trPr>
          <w:trHeight w:val="69"/>
          <w:jc w:val="center"/>
        </w:trPr>
        <w:tc>
          <w:tcPr>
            <w:tcW w:w="5000" w:type="pct"/>
            <w:gridSpan w:val="10"/>
          </w:tcPr>
          <w:p w:rsidR="00AA4661" w:rsidRPr="00F8728A" w:rsidRDefault="00AA4661" w:rsidP="00CF297A">
            <w:pPr>
              <w:widowControl w:val="0"/>
              <w:numPr>
                <w:ilvl w:val="0"/>
                <w:numId w:val="48"/>
              </w:numPr>
              <w:spacing w:before="40" w:after="40"/>
              <w:ind w:right="144"/>
              <w:jc w:val="both"/>
              <w:rPr>
                <w:rFonts w:ascii="Calibri" w:hAnsi="Calibri"/>
                <w:b/>
                <w:bCs/>
                <w:i/>
                <w:smallCaps/>
                <w:sz w:val="22"/>
              </w:rPr>
            </w:pPr>
            <w:r w:rsidRPr="00F8728A">
              <w:rPr>
                <w:rFonts w:ascii="Calibri" w:hAnsi="Calibri" w:cs="Calibri"/>
                <w:b/>
                <w:i/>
                <w:smallCaps/>
                <w:color w:val="000000"/>
                <w:sz w:val="22"/>
              </w:rPr>
              <w:t>Идентифициране</w:t>
            </w:r>
            <w:r w:rsidRPr="00F8728A">
              <w:rPr>
                <w:rFonts w:ascii="Calibri" w:hAnsi="Calibri"/>
                <w:b/>
                <w:bCs/>
                <w:i/>
                <w:smallCaps/>
                <w:sz w:val="22"/>
              </w:rPr>
              <w:t xml:space="preserve"> на приоритетни научни теми, свързани с града, откритите и зелени пространства, сградите, инфраструктурата, строителните материали, човешкото здраве и оценката им за устойчивост на риска.</w:t>
            </w:r>
          </w:p>
        </w:tc>
      </w:tr>
      <w:tr w:rsidR="00AA4661" w:rsidRPr="00F8728A" w:rsidTr="000614A3">
        <w:trPr>
          <w:jc w:val="center"/>
        </w:trPr>
        <w:tc>
          <w:tcPr>
            <w:tcW w:w="1390" w:type="pct"/>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578"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Наднацио-нално ниво</w:t>
            </w:r>
          </w:p>
        </w:tc>
        <w:tc>
          <w:tcPr>
            <w:tcW w:w="580" w:type="pct"/>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559"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548"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573"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772"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1390" w:type="pct"/>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578" w:type="pct"/>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c>
          <w:tcPr>
            <w:tcW w:w="580" w:type="pct"/>
            <w:gridSpan w:val="2"/>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c>
          <w:tcPr>
            <w:tcW w:w="559" w:type="pct"/>
            <w:shd w:val="clear" w:color="auto" w:fill="FFFFFF"/>
          </w:tcPr>
          <w:p w:rsidR="00AA4661" w:rsidRPr="00F8728A" w:rsidRDefault="00AA4661" w:rsidP="00B155A6">
            <w:pPr>
              <w:spacing w:after="0"/>
              <w:jc w:val="center"/>
              <w:rPr>
                <w:rFonts w:ascii="Calibri" w:hAnsi="Calibri" w:cs="Calibri"/>
              </w:rPr>
            </w:pPr>
          </w:p>
        </w:tc>
        <w:tc>
          <w:tcPr>
            <w:tcW w:w="548" w:type="pct"/>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c>
          <w:tcPr>
            <w:tcW w:w="573" w:type="pct"/>
            <w:shd w:val="clear" w:color="auto" w:fill="FFFFFF"/>
          </w:tcPr>
          <w:p w:rsidR="00AA4661" w:rsidRPr="00F8728A" w:rsidRDefault="00AA4661" w:rsidP="00B155A6">
            <w:pPr>
              <w:spacing w:after="0"/>
              <w:jc w:val="center"/>
              <w:rPr>
                <w:rFonts w:ascii="Calibri" w:hAnsi="Calibri" w:cs="Calibri"/>
              </w:rPr>
            </w:pPr>
          </w:p>
        </w:tc>
        <w:tc>
          <w:tcPr>
            <w:tcW w:w="772" w:type="pct"/>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r>
      <w:tr w:rsidR="00AA4661" w:rsidRPr="00F8728A" w:rsidTr="000614A3">
        <w:trPr>
          <w:trHeight w:val="3987"/>
          <w:jc w:val="center"/>
        </w:trPr>
        <w:tc>
          <w:tcPr>
            <w:tcW w:w="1390" w:type="pct"/>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3610" w:type="pct"/>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Стратегията за развитие на националните научни изследвания определя тематичните приоритети до 2020 г. Сред тях са и тези, свързани с градската среда:</w:t>
            </w:r>
          </w:p>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1. Енергията, енергийната ефективност и транспортът - енергоспестяването, възобновяемите енергийни източници и енергийната ефективност, както и сградите с нулево потребление на енергия, са сред приоритетите на градската среда, които се нуждаят от допълнителни обосновки и новаторски идеи, основани на научните изследвания. Същите теми са в основата на интегрираната концепция за градска мобилност.</w:t>
            </w:r>
          </w:p>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2. Нови материали и технологии - тези теми, в допълнение към иновативната инфраструктура и управлението на интелигентни съоръжения ще създадат по-добра околна среда и ще намалят рисковете, свързани с ИК.</w:t>
            </w:r>
          </w:p>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3. Наследство - поведението на конструкциите и материалите при екстремни метеорологични условия, заедно с допълнителни теми относно поведението на строителните материали и конструкциите, ще развият допълнително знанията за защитата на изброените сгради и археологическите обекти.</w:t>
            </w:r>
          </w:p>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 xml:space="preserve">Тези три теми изискват научно обоснован подход за оценка на опасностите и рисковете. Последиците от неправилното адаптиране и финансовите анализи на резултатите от прилагането на опциите ще насочат повече внимание върху градската среда. </w:t>
            </w:r>
          </w:p>
        </w:tc>
      </w:tr>
      <w:tr w:rsidR="00AA4661" w:rsidRPr="00F8728A" w:rsidTr="000614A3">
        <w:trPr>
          <w:trHeight w:val="85"/>
          <w:jc w:val="center"/>
        </w:trPr>
        <w:tc>
          <w:tcPr>
            <w:tcW w:w="1390" w:type="pct"/>
            <w:gridSpan w:val="3"/>
            <w:shd w:val="clear" w:color="auto" w:fill="000000"/>
            <w:vAlign w:val="center"/>
          </w:tcPr>
          <w:p w:rsidR="00AA4661" w:rsidRPr="00F8728A" w:rsidRDefault="00AA4661" w:rsidP="00B155A6">
            <w:pPr>
              <w:spacing w:before="20" w:after="20"/>
              <w:jc w:val="center"/>
              <w:rPr>
                <w:rFonts w:ascii="Calibri" w:hAnsi="Calibri" w:cs="Calibri"/>
                <w:color w:val="FFFFFF"/>
                <w:sz w:val="18"/>
                <w:szCs w:val="18"/>
              </w:rPr>
            </w:pPr>
            <w:r w:rsidRPr="00F8728A">
              <w:rPr>
                <w:rFonts w:ascii="Calibri" w:hAnsi="Calibri" w:cs="Calibri"/>
                <w:color w:val="FFFFFF"/>
                <w:sz w:val="18"/>
                <w:szCs w:val="18"/>
              </w:rPr>
              <w:t>Релевантност на варианта</w:t>
            </w:r>
          </w:p>
        </w:tc>
        <w:tc>
          <w:tcPr>
            <w:tcW w:w="3610" w:type="pct"/>
            <w:gridSpan w:val="7"/>
            <w:vMerge/>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p>
        </w:tc>
      </w:tr>
      <w:tr w:rsidR="00AA4661" w:rsidRPr="00F8728A" w:rsidTr="000614A3">
        <w:trPr>
          <w:trHeight w:val="85"/>
          <w:jc w:val="center"/>
        </w:trPr>
        <w:tc>
          <w:tcPr>
            <w:tcW w:w="476"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481"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432"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3610" w:type="pct"/>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85"/>
          <w:jc w:val="center"/>
        </w:trPr>
        <w:tc>
          <w:tcPr>
            <w:tcW w:w="476"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 -</w:t>
            </w:r>
          </w:p>
        </w:tc>
        <w:tc>
          <w:tcPr>
            <w:tcW w:w="481"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432"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3610" w:type="pct"/>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63"/>
          <w:jc w:val="center"/>
        </w:trPr>
        <w:tc>
          <w:tcPr>
            <w:tcW w:w="1390" w:type="pct"/>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3610" w:type="pct"/>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 xml:space="preserve">Възможности за включване на темата за АИК на градската среда в дневния ред на националните научни изследвания. </w:t>
            </w:r>
          </w:p>
        </w:tc>
      </w:tr>
      <w:tr w:rsidR="00AA4661" w:rsidRPr="00F8728A" w:rsidTr="000614A3">
        <w:trPr>
          <w:trHeight w:val="59"/>
          <w:jc w:val="center"/>
        </w:trPr>
        <w:tc>
          <w:tcPr>
            <w:tcW w:w="1390" w:type="pct"/>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666" w:type="pct"/>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2944" w:type="pct"/>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 Туризъм, Селско и Горско стопанство, Биоразнообразие.</w:t>
            </w:r>
          </w:p>
        </w:tc>
      </w:tr>
      <w:tr w:rsidR="00AA4661" w:rsidRPr="00F8728A" w:rsidTr="000614A3">
        <w:trPr>
          <w:jc w:val="center"/>
        </w:trPr>
        <w:tc>
          <w:tcPr>
            <w:tcW w:w="1390" w:type="pct"/>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3610" w:type="pct"/>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Всички рискове свързани със здравето на градското население, качеството на живот и безопасността.</w:t>
            </w:r>
          </w:p>
        </w:tc>
      </w:tr>
    </w:tbl>
    <w:p w:rsidR="00485D6A" w:rsidRPr="00F8728A" w:rsidRDefault="00485D6A" w:rsidP="00FF27EC">
      <w:pPr>
        <w:spacing w:after="0"/>
        <w:rPr>
          <w:color w:val="FFFFFF"/>
          <w:sz w:val="8"/>
          <w:szCs w:val="8"/>
        </w:rPr>
      </w:pPr>
    </w:p>
    <w:p w:rsidR="00485D6A" w:rsidRPr="00F8728A" w:rsidRDefault="00485D6A">
      <w:pPr>
        <w:spacing w:after="0"/>
        <w:rPr>
          <w:color w:val="FFFFFF"/>
          <w:sz w:val="8"/>
          <w:szCs w:val="8"/>
        </w:rPr>
      </w:pPr>
      <w:r w:rsidRPr="00F8728A">
        <w:rPr>
          <w:color w:val="FFFFFF"/>
          <w:sz w:val="8"/>
          <w:szCs w:val="8"/>
        </w:rPr>
        <w:br w:type="page"/>
      </w: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981"/>
        <w:gridCol w:w="810"/>
        <w:gridCol w:w="810"/>
        <w:gridCol w:w="1391"/>
        <w:gridCol w:w="293"/>
        <w:gridCol w:w="773"/>
        <w:gridCol w:w="1004"/>
        <w:gridCol w:w="847"/>
        <w:gridCol w:w="797"/>
        <w:gridCol w:w="1649"/>
      </w:tblGrid>
      <w:tr w:rsidR="00AA4661" w:rsidRPr="00F8728A" w:rsidTr="000614A3">
        <w:trPr>
          <w:trHeight w:val="360"/>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i/>
                <w:color w:val="000000"/>
                <w:sz w:val="22"/>
              </w:rPr>
            </w:pPr>
            <w:r w:rsidRPr="00F8728A">
              <w:rPr>
                <w:rFonts w:ascii="Calibri" w:hAnsi="Calibri" w:cs="Calibri"/>
                <w:b/>
                <w:i/>
                <w:smallCaps/>
                <w:color w:val="000000"/>
                <w:sz w:val="22"/>
              </w:rPr>
              <w:t>Подкрепа на иновациите в строителството, технологиите и услугите, свързани с АИК</w:t>
            </w:r>
          </w:p>
        </w:tc>
      </w:tr>
      <w:tr w:rsidR="00AA4661" w:rsidRPr="00F8728A" w:rsidTr="000614A3">
        <w:trPr>
          <w:jc w:val="center"/>
        </w:trPr>
        <w:tc>
          <w:tcPr>
            <w:tcW w:w="2601"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391"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66"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1004"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84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79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649"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601"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391" w:type="dxa"/>
            <w:shd w:val="clear" w:color="auto" w:fill="FFFFFF"/>
          </w:tcPr>
          <w:p w:rsidR="00AA4661" w:rsidRPr="00F8728A" w:rsidRDefault="00AA4661" w:rsidP="00B155A6">
            <w:pPr>
              <w:spacing w:before="20" w:after="20"/>
              <w:jc w:val="center"/>
              <w:rPr>
                <w:rFonts w:ascii="Calibri" w:hAnsi="Calibri" w:cs="Calibri"/>
              </w:rPr>
            </w:pPr>
          </w:p>
        </w:tc>
        <w:tc>
          <w:tcPr>
            <w:tcW w:w="1066" w:type="dxa"/>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1004"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847"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797" w:type="dxa"/>
            <w:shd w:val="clear" w:color="auto" w:fill="FFFFFF"/>
          </w:tcPr>
          <w:p w:rsidR="00AA4661" w:rsidRPr="00F8728A" w:rsidRDefault="00AA4661" w:rsidP="00B155A6">
            <w:pPr>
              <w:spacing w:before="20" w:after="20"/>
              <w:jc w:val="center"/>
              <w:rPr>
                <w:rFonts w:ascii="Calibri" w:hAnsi="Calibri" w:cs="Calibri"/>
              </w:rPr>
            </w:pPr>
          </w:p>
        </w:tc>
        <w:tc>
          <w:tcPr>
            <w:tcW w:w="1649" w:type="dxa"/>
            <w:shd w:val="clear" w:color="auto" w:fill="FFFFFF"/>
          </w:tcPr>
          <w:p w:rsidR="00AA4661" w:rsidRPr="00F8728A" w:rsidRDefault="00AA4661" w:rsidP="00B155A6">
            <w:pPr>
              <w:spacing w:before="20" w:after="20"/>
              <w:jc w:val="center"/>
              <w:rPr>
                <w:rFonts w:ascii="Calibri" w:hAnsi="Calibri" w:cs="Calibri"/>
              </w:rPr>
            </w:pPr>
          </w:p>
        </w:tc>
      </w:tr>
      <w:tr w:rsidR="00AA4661" w:rsidRPr="00F8728A" w:rsidTr="00B73D7E">
        <w:trPr>
          <w:trHeight w:val="5103"/>
          <w:jc w:val="center"/>
        </w:trPr>
        <w:tc>
          <w:tcPr>
            <w:tcW w:w="2601" w:type="dxa"/>
            <w:gridSpan w:val="3"/>
            <w:shd w:val="clear" w:color="auto" w:fill="D9D9D9"/>
            <w:vAlign w:val="center"/>
          </w:tcPr>
          <w:p w:rsidR="00AA4661" w:rsidRPr="00F8728A" w:rsidRDefault="00AA4661" w:rsidP="00485D6A">
            <w:pPr>
              <w:spacing w:before="20" w:after="20"/>
              <w:jc w:val="center"/>
              <w:rPr>
                <w:rFonts w:ascii="Calibri" w:hAnsi="Calibri" w:cs="Calibri"/>
              </w:rPr>
            </w:pPr>
            <w:r w:rsidRPr="00F8728A">
              <w:rPr>
                <w:rFonts w:ascii="Calibri" w:hAnsi="Calibri" w:cs="Calibri"/>
              </w:rPr>
              <w:t>Описание</w:t>
            </w:r>
          </w:p>
        </w:tc>
        <w:tc>
          <w:tcPr>
            <w:tcW w:w="6754" w:type="dxa"/>
            <w:gridSpan w:val="7"/>
            <w:vMerge w:val="restart"/>
            <w:shd w:val="clear" w:color="auto" w:fill="D9D9D9"/>
          </w:tcPr>
          <w:p w:rsidR="00AA4661" w:rsidRPr="00F8728A" w:rsidRDefault="00AA4661" w:rsidP="00485D6A">
            <w:pPr>
              <w:autoSpaceDE w:val="0"/>
              <w:autoSpaceDN w:val="0"/>
              <w:adjustRightInd w:val="0"/>
              <w:spacing w:before="20" w:after="20"/>
              <w:jc w:val="both"/>
              <w:rPr>
                <w:rFonts w:ascii="Calibri" w:hAnsi="Calibri" w:cs="Calibri"/>
              </w:rPr>
            </w:pPr>
            <w:r w:rsidRPr="00F8728A">
              <w:rPr>
                <w:rFonts w:ascii="Calibri" w:hAnsi="Calibri" w:cs="Calibri"/>
              </w:rPr>
              <w:t>Възможността за подпомагане развитието на иновациите в строителството предоставя възможности за справяне с изменението на климата, което все още е слабо представено в страната. Иновациите се отнасят не само до строителния процес, но и до всички предишни и последващи действия и етапи в планирането, изграждането, използването и управлението на градската среда. Творческите опции също са свързани с политиките, научните изследвания, образованието и развитието на експертни и научни възможности. Подкрепата за иновациите може да бъде осигурена чрез:</w:t>
            </w:r>
          </w:p>
          <w:p w:rsidR="00AA4661" w:rsidRPr="00F8728A" w:rsidRDefault="00AA4661" w:rsidP="00CF297A">
            <w:pPr>
              <w:widowControl w:val="0"/>
              <w:numPr>
                <w:ilvl w:val="0"/>
                <w:numId w:val="57"/>
              </w:numPr>
              <w:autoSpaceDE w:val="0"/>
              <w:autoSpaceDN w:val="0"/>
              <w:adjustRightInd w:val="0"/>
              <w:spacing w:before="20" w:after="20"/>
              <w:ind w:left="205" w:hanging="205"/>
              <w:jc w:val="both"/>
              <w:rPr>
                <w:rFonts w:ascii="Calibri" w:hAnsi="Calibri" w:cs="Calibri"/>
              </w:rPr>
            </w:pPr>
            <w:r w:rsidRPr="00F8728A">
              <w:rPr>
                <w:rFonts w:ascii="Calibri" w:hAnsi="Calibri" w:cs="Calibri"/>
              </w:rPr>
              <w:t>подходящо финансиране за научноизследователска и развойна дейност (НИРД)</w:t>
            </w:r>
          </w:p>
          <w:p w:rsidR="00AA4661" w:rsidRPr="00F8728A" w:rsidRDefault="00AA4661" w:rsidP="00CF297A">
            <w:pPr>
              <w:widowControl w:val="0"/>
              <w:numPr>
                <w:ilvl w:val="0"/>
                <w:numId w:val="57"/>
              </w:numPr>
              <w:autoSpaceDE w:val="0"/>
              <w:autoSpaceDN w:val="0"/>
              <w:adjustRightInd w:val="0"/>
              <w:spacing w:before="20" w:after="20"/>
              <w:ind w:left="205" w:hanging="205"/>
              <w:jc w:val="both"/>
              <w:rPr>
                <w:rFonts w:ascii="Calibri" w:hAnsi="Calibri" w:cs="Calibri"/>
              </w:rPr>
            </w:pPr>
            <w:r w:rsidRPr="00F8728A">
              <w:rPr>
                <w:rFonts w:ascii="Calibri" w:hAnsi="Calibri" w:cs="Calibri"/>
              </w:rPr>
              <w:t>Трансдисциплинарни проекти, стимулиращи творческото мислене</w:t>
            </w:r>
          </w:p>
          <w:p w:rsidR="00AA4661" w:rsidRPr="00F8728A" w:rsidRDefault="00AA4661" w:rsidP="00CF297A">
            <w:pPr>
              <w:widowControl w:val="0"/>
              <w:numPr>
                <w:ilvl w:val="0"/>
                <w:numId w:val="57"/>
              </w:numPr>
              <w:autoSpaceDE w:val="0"/>
              <w:autoSpaceDN w:val="0"/>
              <w:adjustRightInd w:val="0"/>
              <w:spacing w:before="20" w:after="20"/>
              <w:ind w:left="205" w:hanging="205"/>
              <w:jc w:val="both"/>
              <w:rPr>
                <w:rFonts w:ascii="Calibri" w:hAnsi="Calibri" w:cs="Calibri"/>
              </w:rPr>
            </w:pPr>
            <w:r w:rsidRPr="00F8728A">
              <w:rPr>
                <w:rFonts w:ascii="Calibri" w:hAnsi="Calibri" w:cs="Calibri"/>
              </w:rPr>
              <w:t>Мрежи и комуникация на знания и идеи</w:t>
            </w:r>
          </w:p>
          <w:p w:rsidR="00AA4661" w:rsidRPr="00F8728A" w:rsidRDefault="00AA4661" w:rsidP="00CF297A">
            <w:pPr>
              <w:widowControl w:val="0"/>
              <w:numPr>
                <w:ilvl w:val="0"/>
                <w:numId w:val="57"/>
              </w:numPr>
              <w:autoSpaceDE w:val="0"/>
              <w:autoSpaceDN w:val="0"/>
              <w:adjustRightInd w:val="0"/>
              <w:spacing w:before="20" w:after="20"/>
              <w:ind w:left="205" w:hanging="205"/>
              <w:jc w:val="both"/>
              <w:rPr>
                <w:rFonts w:ascii="Calibri" w:hAnsi="Calibri" w:cs="Calibri"/>
              </w:rPr>
            </w:pPr>
            <w:r w:rsidRPr="00F8728A">
              <w:rPr>
                <w:rFonts w:ascii="Calibri" w:hAnsi="Calibri" w:cs="Calibri"/>
              </w:rPr>
              <w:t>Фестивали на науката и награди (</w:t>
            </w:r>
            <w:hyperlink r:id="rId99" w:history="1">
              <w:r w:rsidRPr="00F8728A">
                <w:rPr>
                  <w:rFonts w:ascii="Calibri" w:hAnsi="Calibri" w:cs="Calibri"/>
                </w:rPr>
                <w:t>https://www.britishcouncil.bg/en/sofia-science-festival</w:t>
              </w:r>
            </w:hyperlink>
            <w:r w:rsidRPr="00F8728A">
              <w:rPr>
                <w:rFonts w:ascii="Calibri" w:hAnsi="Calibri" w:cs="Calibri"/>
              </w:rPr>
              <w:t>)</w:t>
            </w:r>
          </w:p>
          <w:p w:rsidR="00AA4661" w:rsidRPr="00F8728A" w:rsidRDefault="00AA4661" w:rsidP="00CF297A">
            <w:pPr>
              <w:widowControl w:val="0"/>
              <w:numPr>
                <w:ilvl w:val="0"/>
                <w:numId w:val="57"/>
              </w:numPr>
              <w:autoSpaceDE w:val="0"/>
              <w:autoSpaceDN w:val="0"/>
              <w:adjustRightInd w:val="0"/>
              <w:spacing w:before="20" w:after="20"/>
              <w:ind w:left="205" w:hanging="205"/>
              <w:jc w:val="both"/>
              <w:rPr>
                <w:rFonts w:ascii="Calibri" w:hAnsi="Calibri" w:cs="Calibri"/>
              </w:rPr>
            </w:pPr>
            <w:r w:rsidRPr="00F8728A">
              <w:rPr>
                <w:rFonts w:ascii="Calibri" w:hAnsi="Calibri" w:cs="Calibri"/>
              </w:rPr>
              <w:t xml:space="preserve">Конкурси за проекти във всички сфери (планиране, архитектура, дизайн, ландшафтна архитектура, инженеринг, ИКТ, социални услуги, интелигентна градска мобилност, и др.) </w:t>
            </w:r>
            <w:hyperlink r:id="rId100" w:history="1">
              <w:r w:rsidRPr="00F8728A">
                <w:rPr>
                  <w:rFonts w:ascii="Calibri" w:hAnsi="Calibri" w:cs="Calibri"/>
                </w:rPr>
                <w:t>http://ec.europa.eu/growth/industry/innovation/policy/social/competition_en</w:t>
              </w:r>
            </w:hyperlink>
            <w:r w:rsidRPr="00F8728A">
              <w:rPr>
                <w:rFonts w:ascii="Calibri" w:hAnsi="Calibri" w:cs="Calibri"/>
              </w:rPr>
              <w:t xml:space="preserve"> </w:t>
            </w:r>
          </w:p>
          <w:p w:rsidR="00AA4661" w:rsidRPr="00F8728A" w:rsidRDefault="00AA4661" w:rsidP="00CF297A">
            <w:pPr>
              <w:widowControl w:val="0"/>
              <w:numPr>
                <w:ilvl w:val="0"/>
                <w:numId w:val="57"/>
              </w:numPr>
              <w:autoSpaceDE w:val="0"/>
              <w:autoSpaceDN w:val="0"/>
              <w:adjustRightInd w:val="0"/>
              <w:spacing w:before="20" w:after="20"/>
              <w:ind w:left="205" w:hanging="205"/>
              <w:jc w:val="both"/>
              <w:rPr>
                <w:rFonts w:ascii="Calibri" w:hAnsi="Calibri" w:cs="Calibri"/>
              </w:rPr>
            </w:pPr>
            <w:r w:rsidRPr="00F8728A">
              <w:rPr>
                <w:rFonts w:ascii="Calibri" w:hAnsi="Calibri" w:cs="Calibri"/>
              </w:rPr>
              <w:t>Публичност, популяризиране на идеи и разпространяване на иновативни урбанистични проекти</w:t>
            </w:r>
          </w:p>
          <w:p w:rsidR="00AA4661" w:rsidRPr="00F8728A" w:rsidRDefault="00AA4661" w:rsidP="00CF297A">
            <w:pPr>
              <w:widowControl w:val="0"/>
              <w:numPr>
                <w:ilvl w:val="0"/>
                <w:numId w:val="57"/>
              </w:numPr>
              <w:autoSpaceDE w:val="0"/>
              <w:autoSpaceDN w:val="0"/>
              <w:adjustRightInd w:val="0"/>
              <w:spacing w:before="20" w:after="20"/>
              <w:ind w:left="205" w:hanging="205"/>
              <w:jc w:val="both"/>
              <w:rPr>
                <w:rFonts w:ascii="Calibri" w:hAnsi="Calibri" w:cs="Calibri"/>
              </w:rPr>
            </w:pPr>
            <w:r w:rsidRPr="00F8728A">
              <w:rPr>
                <w:rFonts w:ascii="Calibri" w:hAnsi="Calibri" w:cs="Calibri"/>
              </w:rPr>
              <w:t>Организиране на събития и интерактивни игри за стимулиране на иновативни идеи сред младите изследователи и творци</w:t>
            </w:r>
          </w:p>
          <w:p w:rsidR="00AA4661" w:rsidRPr="00F8728A" w:rsidRDefault="00AA4661" w:rsidP="00CF297A">
            <w:pPr>
              <w:widowControl w:val="0"/>
              <w:numPr>
                <w:ilvl w:val="0"/>
                <w:numId w:val="57"/>
              </w:numPr>
              <w:autoSpaceDE w:val="0"/>
              <w:autoSpaceDN w:val="0"/>
              <w:adjustRightInd w:val="0"/>
              <w:spacing w:before="20" w:after="20"/>
              <w:ind w:left="205" w:hanging="205"/>
              <w:jc w:val="both"/>
              <w:rPr>
                <w:rFonts w:ascii="Calibri" w:hAnsi="Calibri" w:cs="Calibri"/>
              </w:rPr>
            </w:pPr>
            <w:r w:rsidRPr="00F8728A">
              <w:rPr>
                <w:rFonts w:ascii="Calibri" w:hAnsi="Calibri" w:cs="Calibri"/>
              </w:rPr>
              <w:t>Изложби, видео продукции за креативни идеи</w:t>
            </w:r>
          </w:p>
          <w:p w:rsidR="00AA4661" w:rsidRPr="00F8728A" w:rsidRDefault="00AA4661" w:rsidP="00CF297A">
            <w:pPr>
              <w:widowControl w:val="0"/>
              <w:numPr>
                <w:ilvl w:val="0"/>
                <w:numId w:val="57"/>
              </w:numPr>
              <w:autoSpaceDE w:val="0"/>
              <w:autoSpaceDN w:val="0"/>
              <w:adjustRightInd w:val="0"/>
              <w:spacing w:before="20" w:after="20"/>
              <w:ind w:left="205" w:hanging="205"/>
              <w:jc w:val="both"/>
              <w:rPr>
                <w:rFonts w:ascii="Calibri" w:hAnsi="Calibri" w:cs="Calibri"/>
              </w:rPr>
            </w:pPr>
            <w:r w:rsidRPr="00F8728A">
              <w:rPr>
                <w:rFonts w:ascii="Calibri" w:hAnsi="Calibri" w:cs="Calibri"/>
              </w:rPr>
              <w:t>Стипендии, стажове и творчески обмен/посещения</w:t>
            </w:r>
          </w:p>
        </w:tc>
      </w:tr>
      <w:tr w:rsidR="00AA4661" w:rsidRPr="00F8728A" w:rsidTr="000614A3">
        <w:trPr>
          <w:trHeight w:val="60"/>
          <w:jc w:val="center"/>
        </w:trPr>
        <w:tc>
          <w:tcPr>
            <w:tcW w:w="2601"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754"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60"/>
          <w:jc w:val="center"/>
        </w:trPr>
        <w:tc>
          <w:tcPr>
            <w:tcW w:w="981"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4"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85"/>
          <w:jc w:val="center"/>
        </w:trPr>
        <w:tc>
          <w:tcPr>
            <w:tcW w:w="981"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 -</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4"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73"/>
          <w:jc w:val="center"/>
        </w:trPr>
        <w:tc>
          <w:tcPr>
            <w:tcW w:w="2601"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754"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Развитие на иновативни идеи за градската среда, стимулиране на нова предприемаческа култура, популяризиране на градското планиране и дизайн</w:t>
            </w:r>
          </w:p>
        </w:tc>
      </w:tr>
      <w:tr w:rsidR="00AA4661" w:rsidRPr="00F8728A" w:rsidTr="000614A3">
        <w:trPr>
          <w:trHeight w:val="59"/>
          <w:jc w:val="center"/>
        </w:trPr>
        <w:tc>
          <w:tcPr>
            <w:tcW w:w="2601"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684"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070"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w:t>
            </w:r>
          </w:p>
        </w:tc>
      </w:tr>
      <w:tr w:rsidR="00AA4661" w:rsidRPr="00F8728A" w:rsidTr="000614A3">
        <w:trPr>
          <w:jc w:val="center"/>
        </w:trPr>
        <w:tc>
          <w:tcPr>
            <w:tcW w:w="2601"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754"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w:t>
            </w:r>
          </w:p>
        </w:tc>
      </w:tr>
    </w:tbl>
    <w:p w:rsidR="00485D6A" w:rsidRPr="00F8728A" w:rsidRDefault="00485D6A" w:rsidP="00FF27EC">
      <w:pPr>
        <w:widowControl w:val="0"/>
        <w:spacing w:after="0"/>
        <w:rPr>
          <w:sz w:val="8"/>
          <w:szCs w:val="8"/>
        </w:rPr>
      </w:pPr>
    </w:p>
    <w:p w:rsidR="00485D6A" w:rsidRPr="00F8728A" w:rsidRDefault="00485D6A">
      <w:pPr>
        <w:spacing w:after="0"/>
        <w:rPr>
          <w:sz w:val="8"/>
          <w:szCs w:val="8"/>
        </w:rPr>
      </w:pPr>
      <w:r w:rsidRPr="00F8728A">
        <w:rPr>
          <w:sz w:val="8"/>
          <w:szCs w:val="8"/>
        </w:rPr>
        <w:br w:type="page"/>
      </w:r>
    </w:p>
    <w:tbl>
      <w:tblPr>
        <w:tblW w:w="5156"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990"/>
        <w:gridCol w:w="819"/>
        <w:gridCol w:w="821"/>
        <w:gridCol w:w="1133"/>
        <w:gridCol w:w="136"/>
        <w:gridCol w:w="930"/>
        <w:gridCol w:w="1055"/>
        <w:gridCol w:w="1038"/>
        <w:gridCol w:w="989"/>
        <w:gridCol w:w="1543"/>
      </w:tblGrid>
      <w:tr w:rsidR="00AA4661" w:rsidRPr="00F8728A" w:rsidTr="000614A3">
        <w:trPr>
          <w:trHeight w:val="69"/>
          <w:jc w:val="center"/>
        </w:trPr>
        <w:tc>
          <w:tcPr>
            <w:tcW w:w="5000" w:type="pct"/>
            <w:gridSpan w:val="10"/>
            <w:shd w:val="clear" w:color="auto" w:fill="A8D08D"/>
          </w:tcPr>
          <w:p w:rsidR="00AA4661" w:rsidRPr="00F8728A" w:rsidRDefault="00AA4661" w:rsidP="00CF297A">
            <w:pPr>
              <w:pStyle w:val="ListParagraph1"/>
              <w:widowControl w:val="0"/>
              <w:numPr>
                <w:ilvl w:val="0"/>
                <w:numId w:val="61"/>
              </w:numPr>
              <w:spacing w:before="20" w:after="20" w:line="240" w:lineRule="auto"/>
              <w:ind w:left="893"/>
              <w:contextualSpacing w:val="0"/>
              <w:jc w:val="both"/>
              <w:rPr>
                <w:b/>
                <w:sz w:val="20"/>
                <w:szCs w:val="22"/>
                <w:lang w:val="bg-BG" w:eastAsia="en-US"/>
              </w:rPr>
            </w:pPr>
            <w:r w:rsidRPr="00F8728A">
              <w:rPr>
                <w:rFonts w:ascii="Calibri" w:hAnsi="Calibri" w:cs="Calibri"/>
                <w:b/>
                <w:bCs/>
                <w:color w:val="000000"/>
                <w:sz w:val="24"/>
                <w:szCs w:val="22"/>
                <w:lang w:val="bg-BG" w:eastAsia="en-US"/>
              </w:rPr>
              <w:t>Категория „Институции“</w:t>
            </w:r>
          </w:p>
        </w:tc>
      </w:tr>
      <w:tr w:rsidR="00AA4661" w:rsidRPr="00F8728A" w:rsidTr="000614A3">
        <w:trPr>
          <w:trHeight w:val="145"/>
          <w:jc w:val="center"/>
        </w:trPr>
        <w:tc>
          <w:tcPr>
            <w:tcW w:w="5000" w:type="pct"/>
            <w:gridSpan w:val="10"/>
            <w:shd w:val="clear" w:color="auto" w:fill="E2EFD9"/>
          </w:tcPr>
          <w:p w:rsidR="00AA4661" w:rsidRPr="00F8728A" w:rsidRDefault="00AA4661" w:rsidP="00B155A6">
            <w:pPr>
              <w:spacing w:before="40" w:after="40"/>
              <w:ind w:left="125"/>
              <w:jc w:val="both"/>
              <w:rPr>
                <w:b/>
                <w:bCs/>
                <w:sz w:val="22"/>
              </w:rPr>
            </w:pPr>
            <w:r w:rsidRPr="00F8728A">
              <w:rPr>
                <w:rFonts w:ascii="Calibri" w:hAnsi="Calibri" w:cs="Calibri"/>
                <w:b/>
                <w:bCs/>
                <w:color w:val="000000"/>
                <w:sz w:val="22"/>
              </w:rPr>
              <w:t>Развитие на устойчиви институции, способни да провеждат политиката за АИК на всички административни нива</w:t>
            </w:r>
          </w:p>
        </w:tc>
      </w:tr>
      <w:tr w:rsidR="00AA4661" w:rsidRPr="00F8728A" w:rsidTr="000614A3">
        <w:trPr>
          <w:trHeight w:val="69"/>
          <w:jc w:val="center"/>
        </w:trPr>
        <w:tc>
          <w:tcPr>
            <w:tcW w:w="5000" w:type="pct"/>
            <w:gridSpan w:val="10"/>
          </w:tcPr>
          <w:p w:rsidR="00AA4661" w:rsidRPr="00F8728A" w:rsidRDefault="00AA4661" w:rsidP="00CF297A">
            <w:pPr>
              <w:widowControl w:val="0"/>
              <w:numPr>
                <w:ilvl w:val="0"/>
                <w:numId w:val="48"/>
              </w:numPr>
              <w:spacing w:before="40" w:after="40"/>
              <w:ind w:left="504" w:right="144"/>
              <w:jc w:val="both"/>
              <w:rPr>
                <w:rFonts w:ascii="Calibri" w:hAnsi="Calibri" w:cs="Calibri"/>
                <w:b/>
                <w:bCs/>
                <w:i/>
                <w:smallCaps/>
                <w:sz w:val="22"/>
              </w:rPr>
            </w:pPr>
            <w:r w:rsidRPr="00F8728A">
              <w:rPr>
                <w:rFonts w:ascii="Calibri" w:hAnsi="Calibri" w:cs="Calibri"/>
                <w:b/>
                <w:i/>
                <w:smallCaps/>
                <w:color w:val="000000"/>
                <w:sz w:val="22"/>
              </w:rPr>
              <w:t>Осигуряване</w:t>
            </w:r>
            <w:r w:rsidRPr="00F8728A">
              <w:rPr>
                <w:rFonts w:ascii="Calibri" w:hAnsi="Calibri" w:cs="Calibri"/>
                <w:b/>
                <w:bCs/>
                <w:i/>
                <w:smallCaps/>
                <w:sz w:val="22"/>
              </w:rPr>
              <w:t xml:space="preserve"> на хоризонтална координация между МРРБ, МОСВ, МЕ, МЗХГ, МФ</w:t>
            </w:r>
          </w:p>
        </w:tc>
      </w:tr>
      <w:tr w:rsidR="00AA4661" w:rsidRPr="00F8728A" w:rsidTr="000614A3">
        <w:trPr>
          <w:jc w:val="center"/>
        </w:trPr>
        <w:tc>
          <w:tcPr>
            <w:tcW w:w="1391" w:type="pct"/>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599"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Наднацио-нално ниво</w:t>
            </w:r>
          </w:p>
        </w:tc>
        <w:tc>
          <w:tcPr>
            <w:tcW w:w="564" w:type="pct"/>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558"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549"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523"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816"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1391" w:type="pct"/>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599" w:type="pct"/>
            <w:shd w:val="clear" w:color="auto" w:fill="FFFFFF"/>
          </w:tcPr>
          <w:p w:rsidR="00AA4661" w:rsidRPr="00F8728A" w:rsidRDefault="00AA4661" w:rsidP="00B155A6">
            <w:pPr>
              <w:spacing w:before="20" w:after="20"/>
              <w:jc w:val="center"/>
              <w:rPr>
                <w:rFonts w:ascii="Calibri" w:hAnsi="Calibri" w:cs="Calibri"/>
              </w:rPr>
            </w:pPr>
          </w:p>
        </w:tc>
        <w:tc>
          <w:tcPr>
            <w:tcW w:w="564" w:type="pct"/>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558" w:type="pct"/>
            <w:shd w:val="clear" w:color="auto" w:fill="FFFFFF"/>
          </w:tcPr>
          <w:p w:rsidR="00AA4661" w:rsidRPr="00F8728A" w:rsidRDefault="00AA4661" w:rsidP="00B155A6">
            <w:pPr>
              <w:spacing w:before="20" w:after="20"/>
              <w:jc w:val="center"/>
              <w:rPr>
                <w:rFonts w:ascii="Calibri" w:hAnsi="Calibri" w:cs="Calibri"/>
              </w:rPr>
            </w:pPr>
          </w:p>
        </w:tc>
        <w:tc>
          <w:tcPr>
            <w:tcW w:w="549" w:type="pct"/>
            <w:shd w:val="clear" w:color="auto" w:fill="FFFFFF"/>
          </w:tcPr>
          <w:p w:rsidR="00AA4661" w:rsidRPr="00F8728A" w:rsidRDefault="00AA4661" w:rsidP="00B155A6">
            <w:pPr>
              <w:spacing w:before="20" w:after="20"/>
              <w:jc w:val="center"/>
              <w:rPr>
                <w:rFonts w:ascii="Calibri" w:hAnsi="Calibri" w:cs="Calibri"/>
              </w:rPr>
            </w:pPr>
          </w:p>
        </w:tc>
        <w:tc>
          <w:tcPr>
            <w:tcW w:w="523" w:type="pct"/>
            <w:shd w:val="clear" w:color="auto" w:fill="FFFFFF"/>
          </w:tcPr>
          <w:p w:rsidR="00AA4661" w:rsidRPr="00F8728A" w:rsidRDefault="00AA4661" w:rsidP="00B155A6">
            <w:pPr>
              <w:spacing w:before="20" w:after="20"/>
              <w:jc w:val="center"/>
              <w:rPr>
                <w:rFonts w:ascii="Calibri" w:hAnsi="Calibri" w:cs="Calibri"/>
              </w:rPr>
            </w:pPr>
          </w:p>
        </w:tc>
        <w:tc>
          <w:tcPr>
            <w:tcW w:w="816" w:type="pct"/>
            <w:shd w:val="clear" w:color="auto" w:fill="FFFFFF"/>
          </w:tcPr>
          <w:p w:rsidR="00AA4661" w:rsidRPr="00F8728A" w:rsidRDefault="00AA4661" w:rsidP="00B155A6">
            <w:pPr>
              <w:spacing w:before="20" w:after="20"/>
              <w:jc w:val="center"/>
              <w:rPr>
                <w:rFonts w:ascii="Calibri" w:hAnsi="Calibri" w:cs="Calibri"/>
              </w:rPr>
            </w:pPr>
          </w:p>
        </w:tc>
      </w:tr>
      <w:tr w:rsidR="00AA4661" w:rsidRPr="00F8728A" w:rsidTr="000614A3">
        <w:trPr>
          <w:trHeight w:val="2952"/>
          <w:jc w:val="center"/>
        </w:trPr>
        <w:tc>
          <w:tcPr>
            <w:tcW w:w="1391" w:type="pct"/>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3609" w:type="pct"/>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Важна част от тези възможности за адаптация и дейностите, включени в категорията "Институции", е добре развита система за координация и сътрудничество между институциите на по-високо ниво в период с ограничен брой приоритети и тежка конкуренция за ограничени ресурси. "Работа в екип" е ключовият израз за този вариант. Основните заинтересовани институции са представени в раздел 2.5.2.:</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МОСВ – ИАОС, БД, РИОСВ</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 xml:space="preserve">ME – Агенция за устойчиво енергийно развитие </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МЗ – Регионални здравни инспекторати</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МК - НИНКН</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МТСП – Агенция за социално подпомагане</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МТИТС</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Министерство на туризма</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МВР</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МИ</w:t>
            </w:r>
          </w:p>
        </w:tc>
      </w:tr>
      <w:tr w:rsidR="00AA4661" w:rsidRPr="00F8728A" w:rsidTr="000614A3">
        <w:trPr>
          <w:trHeight w:val="128"/>
          <w:jc w:val="center"/>
        </w:trPr>
        <w:tc>
          <w:tcPr>
            <w:tcW w:w="1391" w:type="pct"/>
            <w:gridSpan w:val="3"/>
            <w:shd w:val="clear" w:color="auto" w:fill="000000"/>
            <w:vAlign w:val="center"/>
          </w:tcPr>
          <w:p w:rsidR="00AA4661" w:rsidRPr="00F8728A" w:rsidRDefault="00AA4661" w:rsidP="00B155A6">
            <w:pPr>
              <w:spacing w:before="20" w:after="20"/>
              <w:jc w:val="center"/>
              <w:rPr>
                <w:rFonts w:ascii="Calibri" w:hAnsi="Calibri" w:cs="Calibri"/>
                <w:color w:val="FFFFFF"/>
                <w:sz w:val="18"/>
                <w:szCs w:val="18"/>
              </w:rPr>
            </w:pPr>
            <w:r w:rsidRPr="00F8728A">
              <w:rPr>
                <w:rFonts w:ascii="Calibri" w:hAnsi="Calibri" w:cs="Calibri"/>
                <w:color w:val="FFFFFF"/>
                <w:sz w:val="18"/>
                <w:szCs w:val="18"/>
              </w:rPr>
              <w:t>Релевантност на варианта</w:t>
            </w:r>
          </w:p>
        </w:tc>
        <w:tc>
          <w:tcPr>
            <w:tcW w:w="3609" w:type="pct"/>
            <w:gridSpan w:val="7"/>
            <w:vMerge/>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p>
        </w:tc>
      </w:tr>
      <w:tr w:rsidR="00AA4661" w:rsidRPr="00F8728A" w:rsidTr="000614A3">
        <w:trPr>
          <w:trHeight w:val="367"/>
          <w:jc w:val="center"/>
        </w:trPr>
        <w:tc>
          <w:tcPr>
            <w:tcW w:w="524"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433"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434"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3609" w:type="pct"/>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192"/>
          <w:jc w:val="center"/>
        </w:trPr>
        <w:tc>
          <w:tcPr>
            <w:tcW w:w="524"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433"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434"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3609" w:type="pct"/>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63"/>
          <w:jc w:val="center"/>
        </w:trPr>
        <w:tc>
          <w:tcPr>
            <w:tcW w:w="1391" w:type="pct"/>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3609" w:type="pct"/>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 xml:space="preserve">Институционално развитие, подобрена координация и сътрудничество </w:t>
            </w:r>
          </w:p>
        </w:tc>
      </w:tr>
      <w:tr w:rsidR="00AA4661" w:rsidRPr="00F8728A" w:rsidTr="000614A3">
        <w:trPr>
          <w:trHeight w:val="59"/>
          <w:jc w:val="center"/>
        </w:trPr>
        <w:tc>
          <w:tcPr>
            <w:tcW w:w="1391" w:type="pct"/>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671" w:type="pct"/>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2938" w:type="pct"/>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 Туризъм, Селско и Горско стопанство, Биоразнообразие.</w:t>
            </w:r>
          </w:p>
        </w:tc>
      </w:tr>
      <w:tr w:rsidR="00AA4661" w:rsidRPr="00F8728A" w:rsidTr="000614A3">
        <w:trPr>
          <w:jc w:val="center"/>
        </w:trPr>
        <w:tc>
          <w:tcPr>
            <w:tcW w:w="1391" w:type="pct"/>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3609" w:type="pct"/>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 xml:space="preserve">Всички рискове </w:t>
            </w:r>
          </w:p>
        </w:tc>
      </w:tr>
    </w:tbl>
    <w:p w:rsidR="00AA4661" w:rsidRPr="00F8728A" w:rsidRDefault="00AA4661" w:rsidP="00FF27EC">
      <w:pPr>
        <w:spacing w:after="0"/>
        <w:rPr>
          <w:sz w:val="8"/>
          <w:szCs w:val="8"/>
        </w:rPr>
      </w:pP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981"/>
        <w:gridCol w:w="810"/>
        <w:gridCol w:w="810"/>
        <w:gridCol w:w="1361"/>
        <w:gridCol w:w="287"/>
        <w:gridCol w:w="765"/>
        <w:gridCol w:w="995"/>
        <w:gridCol w:w="817"/>
        <w:gridCol w:w="768"/>
        <w:gridCol w:w="1761"/>
      </w:tblGrid>
      <w:tr w:rsidR="00AA4661" w:rsidRPr="00F8728A" w:rsidTr="000614A3">
        <w:trPr>
          <w:trHeight w:val="360"/>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b/>
                <w:i/>
                <w:smallCaps/>
                <w:color w:val="000000"/>
                <w:sz w:val="22"/>
              </w:rPr>
            </w:pPr>
            <w:r w:rsidRPr="00F8728A">
              <w:rPr>
                <w:rFonts w:ascii="Calibri" w:hAnsi="Calibri" w:cs="Calibri"/>
                <w:b/>
                <w:i/>
                <w:smallCaps/>
                <w:color w:val="000000"/>
                <w:sz w:val="22"/>
              </w:rPr>
              <w:t>Осигуряване на вертикално и хоризонтално координиране между всички дирекции на МРРБ, свързани с АИК и УРБ на градската среда</w:t>
            </w:r>
          </w:p>
        </w:tc>
      </w:tr>
      <w:tr w:rsidR="00AA4661" w:rsidRPr="00F8728A" w:rsidTr="000614A3">
        <w:trPr>
          <w:jc w:val="center"/>
        </w:trPr>
        <w:tc>
          <w:tcPr>
            <w:tcW w:w="2601"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361" w:type="dxa"/>
            <w:shd w:val="clear" w:color="auto" w:fill="F2F2F2"/>
            <w:vAlign w:val="center"/>
          </w:tcPr>
          <w:p w:rsidR="00AA4661" w:rsidRPr="00F8728A" w:rsidRDefault="00AA4661" w:rsidP="00B155A6">
            <w:pPr>
              <w:spacing w:after="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52" w:type="dxa"/>
            <w:gridSpan w:val="2"/>
            <w:shd w:val="clear" w:color="auto" w:fill="F2F2F2"/>
            <w:vAlign w:val="center"/>
          </w:tcPr>
          <w:p w:rsidR="00AA4661" w:rsidRPr="00F8728A" w:rsidRDefault="00AA4661" w:rsidP="00B155A6">
            <w:pPr>
              <w:spacing w:after="0"/>
              <w:jc w:val="center"/>
              <w:rPr>
                <w:rFonts w:ascii="Calibri" w:hAnsi="Calibri" w:cs="Calibri"/>
              </w:rPr>
            </w:pPr>
            <w:r w:rsidRPr="00F8728A">
              <w:rPr>
                <w:rFonts w:ascii="Calibri" w:hAnsi="Calibri" w:cs="Calibri"/>
              </w:rPr>
              <w:t>Национал-но ниво</w:t>
            </w:r>
          </w:p>
        </w:tc>
        <w:tc>
          <w:tcPr>
            <w:tcW w:w="995" w:type="dxa"/>
            <w:shd w:val="clear" w:color="auto" w:fill="F2F2F2"/>
            <w:vAlign w:val="center"/>
          </w:tcPr>
          <w:p w:rsidR="00AA4661" w:rsidRPr="00F8728A" w:rsidRDefault="00AA4661" w:rsidP="00B155A6">
            <w:pPr>
              <w:spacing w:after="0"/>
              <w:jc w:val="center"/>
              <w:rPr>
                <w:rFonts w:ascii="Calibri" w:hAnsi="Calibri" w:cs="Calibri"/>
              </w:rPr>
            </w:pPr>
            <w:r w:rsidRPr="00F8728A">
              <w:rPr>
                <w:rFonts w:ascii="Calibri" w:hAnsi="Calibri" w:cs="Calibri"/>
              </w:rPr>
              <w:t>Регионал-но ниво</w:t>
            </w:r>
          </w:p>
        </w:tc>
        <w:tc>
          <w:tcPr>
            <w:tcW w:w="817" w:type="dxa"/>
            <w:shd w:val="clear" w:color="auto" w:fill="F2F2F2"/>
            <w:vAlign w:val="center"/>
          </w:tcPr>
          <w:p w:rsidR="00AA4661" w:rsidRPr="00F8728A" w:rsidRDefault="00AA4661" w:rsidP="00B155A6">
            <w:pPr>
              <w:spacing w:after="0"/>
              <w:jc w:val="center"/>
              <w:rPr>
                <w:rFonts w:ascii="Calibri" w:hAnsi="Calibri" w:cs="Calibri"/>
              </w:rPr>
            </w:pPr>
            <w:r w:rsidRPr="00F8728A">
              <w:rPr>
                <w:rFonts w:ascii="Calibri" w:hAnsi="Calibri" w:cs="Calibri"/>
              </w:rPr>
              <w:t>Локално ниво</w:t>
            </w:r>
          </w:p>
        </w:tc>
        <w:tc>
          <w:tcPr>
            <w:tcW w:w="768" w:type="dxa"/>
            <w:shd w:val="clear" w:color="auto" w:fill="F2F2F2"/>
            <w:vAlign w:val="center"/>
          </w:tcPr>
          <w:p w:rsidR="00AA4661" w:rsidRPr="00F8728A" w:rsidRDefault="00AA4661" w:rsidP="00B155A6">
            <w:pPr>
              <w:spacing w:after="0"/>
              <w:jc w:val="center"/>
              <w:rPr>
                <w:rFonts w:ascii="Calibri" w:hAnsi="Calibri" w:cs="Calibri"/>
              </w:rPr>
            </w:pPr>
            <w:r w:rsidRPr="00F8728A">
              <w:rPr>
                <w:rFonts w:ascii="Calibri" w:hAnsi="Calibri" w:cs="Calibri"/>
              </w:rPr>
              <w:t>Градско ниво</w:t>
            </w:r>
          </w:p>
        </w:tc>
        <w:tc>
          <w:tcPr>
            <w:tcW w:w="1761" w:type="dxa"/>
            <w:shd w:val="clear" w:color="auto" w:fill="F2F2F2"/>
            <w:vAlign w:val="center"/>
          </w:tcPr>
          <w:p w:rsidR="00AA4661" w:rsidRPr="00F8728A" w:rsidRDefault="00AA4661" w:rsidP="00B155A6">
            <w:pPr>
              <w:spacing w:after="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601"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361" w:type="dxa"/>
            <w:shd w:val="clear" w:color="auto" w:fill="FFFFFF"/>
          </w:tcPr>
          <w:p w:rsidR="00AA4661" w:rsidRPr="00F8728A" w:rsidRDefault="00AA4661" w:rsidP="00B155A6">
            <w:pPr>
              <w:spacing w:after="0"/>
              <w:jc w:val="center"/>
              <w:rPr>
                <w:rFonts w:ascii="Calibri" w:hAnsi="Calibri" w:cs="Calibri"/>
              </w:rPr>
            </w:pPr>
          </w:p>
        </w:tc>
        <w:tc>
          <w:tcPr>
            <w:tcW w:w="1052" w:type="dxa"/>
            <w:gridSpan w:val="2"/>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c>
          <w:tcPr>
            <w:tcW w:w="995" w:type="dxa"/>
            <w:shd w:val="clear" w:color="auto" w:fill="FFFFFF"/>
          </w:tcPr>
          <w:p w:rsidR="00AA4661" w:rsidRPr="00F8728A" w:rsidRDefault="00AA4661" w:rsidP="00B155A6">
            <w:pPr>
              <w:spacing w:after="0"/>
              <w:jc w:val="center"/>
              <w:rPr>
                <w:rFonts w:ascii="Calibri" w:hAnsi="Calibri" w:cs="Calibri"/>
              </w:rPr>
            </w:pPr>
          </w:p>
        </w:tc>
        <w:tc>
          <w:tcPr>
            <w:tcW w:w="817" w:type="dxa"/>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c>
          <w:tcPr>
            <w:tcW w:w="768" w:type="dxa"/>
            <w:shd w:val="clear" w:color="auto" w:fill="FFFFFF"/>
          </w:tcPr>
          <w:p w:rsidR="00AA4661" w:rsidRPr="00F8728A" w:rsidRDefault="00AA4661" w:rsidP="00B155A6">
            <w:pPr>
              <w:spacing w:after="0"/>
              <w:jc w:val="center"/>
              <w:rPr>
                <w:rFonts w:ascii="Calibri" w:hAnsi="Calibri" w:cs="Calibri"/>
              </w:rPr>
            </w:pPr>
          </w:p>
        </w:tc>
        <w:tc>
          <w:tcPr>
            <w:tcW w:w="1761" w:type="dxa"/>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r>
      <w:tr w:rsidR="00AA4661" w:rsidRPr="00F8728A" w:rsidTr="000614A3">
        <w:trPr>
          <w:trHeight w:val="3753"/>
          <w:jc w:val="center"/>
        </w:trPr>
        <w:tc>
          <w:tcPr>
            <w:tcW w:w="2601"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754" w:type="dxa"/>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 xml:space="preserve">Вариантът цели по-добра "вътрешна" координация на работата на всички дирекции, свързани с АИК и УРБ, въз основа на добре проучена и оценена организационна схема. В МРРБ има подобна координация, но все още има неразвити връзки в областта на АИК и УРБ. </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ГД ‘Стратегическо планиране и програми за регионално развитие’</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Дирекция ‘Устройство на територията и административно-териториално устройство’</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Дирекция ‘Технически правила и норми’</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Дирекция ‘Водоснабдяване и Канализация’</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Дирекция ‘Геозащита и Благоустройствени дейности’</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Дирекция ‘Жилищна политика’</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Дирекция за Национален Строителен Контрол</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Държавните дружества и компании на МРРБ съща трябва да са част от този процес, подсигурявайки допълнителна експертиза:</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Агенция „Пътна инфраструктура“ (АПИ)</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Национален институт за строителни изследвания (НИСИ)</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Национален център за териториално развитие (НЦТР)</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Геозащита Варна, Плевен и Перник</w:t>
            </w:r>
          </w:p>
        </w:tc>
      </w:tr>
      <w:tr w:rsidR="00AA4661" w:rsidRPr="00F8728A" w:rsidTr="000614A3">
        <w:trPr>
          <w:trHeight w:val="77"/>
          <w:jc w:val="center"/>
        </w:trPr>
        <w:tc>
          <w:tcPr>
            <w:tcW w:w="2601"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754"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279"/>
          <w:jc w:val="center"/>
        </w:trPr>
        <w:tc>
          <w:tcPr>
            <w:tcW w:w="981"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4"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77"/>
          <w:jc w:val="center"/>
        </w:trPr>
        <w:tc>
          <w:tcPr>
            <w:tcW w:w="981"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 xml:space="preserve">++/- </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4"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339"/>
          <w:jc w:val="center"/>
        </w:trPr>
        <w:tc>
          <w:tcPr>
            <w:tcW w:w="2601" w:type="dxa"/>
            <w:gridSpan w:val="3"/>
            <w:shd w:val="clear" w:color="auto" w:fill="F2F2F2"/>
            <w:vAlign w:val="center"/>
          </w:tcPr>
          <w:p w:rsidR="00AA4661" w:rsidRPr="00F8728A" w:rsidRDefault="00AA4661" w:rsidP="00B155A6">
            <w:pPr>
              <w:spacing w:after="0"/>
              <w:jc w:val="center"/>
              <w:rPr>
                <w:rFonts w:ascii="Calibri" w:hAnsi="Calibri" w:cs="Calibri"/>
              </w:rPr>
            </w:pPr>
            <w:r w:rsidRPr="00F8728A">
              <w:rPr>
                <w:rFonts w:ascii="Calibri" w:hAnsi="Calibri" w:cs="Calibri"/>
              </w:rPr>
              <w:t>Възможности, които предоставя</w:t>
            </w:r>
          </w:p>
        </w:tc>
        <w:tc>
          <w:tcPr>
            <w:tcW w:w="6754"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Устойчиво институционално развитие, по-добра координационна система</w:t>
            </w:r>
          </w:p>
        </w:tc>
      </w:tr>
      <w:tr w:rsidR="00AA4661" w:rsidRPr="00F8728A" w:rsidTr="000614A3">
        <w:trPr>
          <w:trHeight w:val="59"/>
          <w:jc w:val="center"/>
        </w:trPr>
        <w:tc>
          <w:tcPr>
            <w:tcW w:w="2601" w:type="dxa"/>
            <w:gridSpan w:val="3"/>
            <w:shd w:val="clear" w:color="auto" w:fill="D9D9D9"/>
            <w:vAlign w:val="center"/>
          </w:tcPr>
          <w:p w:rsidR="00AA4661" w:rsidRPr="00F8728A" w:rsidRDefault="00AA4661" w:rsidP="00B155A6">
            <w:pPr>
              <w:spacing w:after="0"/>
              <w:jc w:val="center"/>
              <w:rPr>
                <w:rFonts w:ascii="Calibri" w:hAnsi="Calibri" w:cs="Calibri"/>
              </w:rPr>
            </w:pPr>
            <w:r w:rsidRPr="00F8728A">
              <w:rPr>
                <w:rFonts w:ascii="Calibri" w:hAnsi="Calibri" w:cs="Calibri"/>
              </w:rPr>
              <w:t>Въздействие извън този сектор</w:t>
            </w:r>
          </w:p>
        </w:tc>
        <w:tc>
          <w:tcPr>
            <w:tcW w:w="1648"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106"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 Биоразнообразие, Селско и Горско стопанство, Туризъм.</w:t>
            </w:r>
          </w:p>
        </w:tc>
      </w:tr>
      <w:tr w:rsidR="00AA4661" w:rsidRPr="00F8728A" w:rsidTr="000614A3">
        <w:trPr>
          <w:jc w:val="center"/>
        </w:trPr>
        <w:tc>
          <w:tcPr>
            <w:tcW w:w="2601"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754"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w:t>
            </w:r>
          </w:p>
        </w:tc>
      </w:tr>
    </w:tbl>
    <w:p w:rsidR="00AA4661" w:rsidRPr="00F8728A" w:rsidRDefault="00AA4661" w:rsidP="00FF27EC">
      <w:pPr>
        <w:spacing w:after="0"/>
        <w:rPr>
          <w:sz w:val="8"/>
          <w:szCs w:val="8"/>
        </w:rPr>
      </w:pP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5"/>
        <w:gridCol w:w="900"/>
        <w:gridCol w:w="810"/>
        <w:gridCol w:w="1357"/>
        <w:gridCol w:w="287"/>
        <w:gridCol w:w="765"/>
        <w:gridCol w:w="995"/>
        <w:gridCol w:w="817"/>
        <w:gridCol w:w="768"/>
        <w:gridCol w:w="1761"/>
      </w:tblGrid>
      <w:tr w:rsidR="00AA4661" w:rsidRPr="00F8728A" w:rsidTr="000614A3">
        <w:trPr>
          <w:trHeight w:val="360"/>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i/>
                <w:color w:val="000000"/>
                <w:sz w:val="22"/>
              </w:rPr>
            </w:pPr>
            <w:r w:rsidRPr="00F8728A">
              <w:rPr>
                <w:rFonts w:ascii="Calibri" w:hAnsi="Calibri" w:cs="Calibri"/>
                <w:b/>
                <w:i/>
                <w:smallCaps/>
                <w:color w:val="000000"/>
                <w:sz w:val="22"/>
              </w:rPr>
              <w:t>Подобряване на сътрудничеството между национални, регионални и местни власти при прилагането на политиките за АИК</w:t>
            </w:r>
          </w:p>
        </w:tc>
      </w:tr>
      <w:tr w:rsidR="00AA4661" w:rsidRPr="00F8728A" w:rsidTr="000614A3">
        <w:trPr>
          <w:jc w:val="center"/>
        </w:trPr>
        <w:tc>
          <w:tcPr>
            <w:tcW w:w="2605"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357" w:type="dxa"/>
            <w:shd w:val="clear" w:color="auto" w:fill="F2F2F2"/>
            <w:vAlign w:val="center"/>
          </w:tcPr>
          <w:p w:rsidR="00AA4661" w:rsidRPr="00F8728A" w:rsidRDefault="00AA4661" w:rsidP="00B155A6">
            <w:pPr>
              <w:spacing w:after="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52" w:type="dxa"/>
            <w:gridSpan w:val="2"/>
            <w:shd w:val="clear" w:color="auto" w:fill="F2F2F2"/>
            <w:vAlign w:val="center"/>
          </w:tcPr>
          <w:p w:rsidR="00AA4661" w:rsidRPr="00F8728A" w:rsidRDefault="00AA4661" w:rsidP="00B155A6">
            <w:pPr>
              <w:spacing w:after="0"/>
              <w:jc w:val="center"/>
              <w:rPr>
                <w:rFonts w:ascii="Calibri" w:hAnsi="Calibri" w:cs="Calibri"/>
              </w:rPr>
            </w:pPr>
            <w:r w:rsidRPr="00F8728A">
              <w:rPr>
                <w:rFonts w:ascii="Calibri" w:hAnsi="Calibri" w:cs="Calibri"/>
              </w:rPr>
              <w:t>Национал-но ниво</w:t>
            </w:r>
          </w:p>
        </w:tc>
        <w:tc>
          <w:tcPr>
            <w:tcW w:w="995" w:type="dxa"/>
            <w:shd w:val="clear" w:color="auto" w:fill="F2F2F2"/>
            <w:vAlign w:val="center"/>
          </w:tcPr>
          <w:p w:rsidR="00AA4661" w:rsidRPr="00F8728A" w:rsidRDefault="00AA4661" w:rsidP="00B155A6">
            <w:pPr>
              <w:spacing w:after="0"/>
              <w:jc w:val="center"/>
              <w:rPr>
                <w:rFonts w:ascii="Calibri" w:hAnsi="Calibri" w:cs="Calibri"/>
              </w:rPr>
            </w:pPr>
            <w:r w:rsidRPr="00F8728A">
              <w:rPr>
                <w:rFonts w:ascii="Calibri" w:hAnsi="Calibri" w:cs="Calibri"/>
              </w:rPr>
              <w:t>Регионал-но ниво</w:t>
            </w:r>
          </w:p>
        </w:tc>
        <w:tc>
          <w:tcPr>
            <w:tcW w:w="817" w:type="dxa"/>
            <w:shd w:val="clear" w:color="auto" w:fill="F2F2F2"/>
            <w:vAlign w:val="center"/>
          </w:tcPr>
          <w:p w:rsidR="00AA4661" w:rsidRPr="00F8728A" w:rsidRDefault="00AA4661" w:rsidP="00B155A6">
            <w:pPr>
              <w:spacing w:after="0"/>
              <w:jc w:val="center"/>
              <w:rPr>
                <w:rFonts w:ascii="Calibri" w:hAnsi="Calibri" w:cs="Calibri"/>
              </w:rPr>
            </w:pPr>
            <w:r w:rsidRPr="00F8728A">
              <w:rPr>
                <w:rFonts w:ascii="Calibri" w:hAnsi="Calibri" w:cs="Calibri"/>
              </w:rPr>
              <w:t>Локално ниво</w:t>
            </w:r>
          </w:p>
        </w:tc>
        <w:tc>
          <w:tcPr>
            <w:tcW w:w="768" w:type="dxa"/>
            <w:shd w:val="clear" w:color="auto" w:fill="F2F2F2"/>
            <w:vAlign w:val="center"/>
          </w:tcPr>
          <w:p w:rsidR="00AA4661" w:rsidRPr="00F8728A" w:rsidRDefault="00AA4661" w:rsidP="00B155A6">
            <w:pPr>
              <w:spacing w:after="0"/>
              <w:jc w:val="center"/>
              <w:rPr>
                <w:rFonts w:ascii="Calibri" w:hAnsi="Calibri" w:cs="Calibri"/>
              </w:rPr>
            </w:pPr>
            <w:r w:rsidRPr="00F8728A">
              <w:rPr>
                <w:rFonts w:ascii="Calibri" w:hAnsi="Calibri" w:cs="Calibri"/>
              </w:rPr>
              <w:t>Градско ниво</w:t>
            </w:r>
          </w:p>
        </w:tc>
        <w:tc>
          <w:tcPr>
            <w:tcW w:w="1761" w:type="dxa"/>
            <w:shd w:val="clear" w:color="auto" w:fill="F2F2F2"/>
            <w:vAlign w:val="center"/>
          </w:tcPr>
          <w:p w:rsidR="00AA4661" w:rsidRPr="00F8728A" w:rsidRDefault="00AA4661" w:rsidP="00B155A6">
            <w:pPr>
              <w:spacing w:after="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605"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357" w:type="dxa"/>
            <w:shd w:val="clear" w:color="auto" w:fill="FFFFFF"/>
          </w:tcPr>
          <w:p w:rsidR="00AA4661" w:rsidRPr="00F8728A" w:rsidRDefault="00AA4661" w:rsidP="00B155A6">
            <w:pPr>
              <w:spacing w:after="0"/>
              <w:jc w:val="center"/>
              <w:rPr>
                <w:rFonts w:ascii="Calibri" w:hAnsi="Calibri" w:cs="Calibri"/>
              </w:rPr>
            </w:pPr>
          </w:p>
        </w:tc>
        <w:tc>
          <w:tcPr>
            <w:tcW w:w="1052" w:type="dxa"/>
            <w:gridSpan w:val="2"/>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c>
          <w:tcPr>
            <w:tcW w:w="995" w:type="dxa"/>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c>
          <w:tcPr>
            <w:tcW w:w="817" w:type="dxa"/>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c>
          <w:tcPr>
            <w:tcW w:w="768" w:type="dxa"/>
            <w:shd w:val="clear" w:color="auto" w:fill="FFFFFF"/>
          </w:tcPr>
          <w:p w:rsidR="00AA4661" w:rsidRPr="00F8728A" w:rsidRDefault="00AA4661" w:rsidP="00B155A6">
            <w:pPr>
              <w:spacing w:after="0"/>
              <w:jc w:val="center"/>
              <w:rPr>
                <w:rFonts w:ascii="Calibri" w:hAnsi="Calibri" w:cs="Calibri"/>
              </w:rPr>
            </w:pPr>
          </w:p>
        </w:tc>
        <w:tc>
          <w:tcPr>
            <w:tcW w:w="1761" w:type="dxa"/>
            <w:shd w:val="clear" w:color="auto" w:fill="FFFFFF"/>
          </w:tcPr>
          <w:p w:rsidR="00AA4661" w:rsidRPr="00F8728A" w:rsidRDefault="00AA4661" w:rsidP="00B155A6">
            <w:pPr>
              <w:spacing w:after="0"/>
              <w:jc w:val="center"/>
              <w:rPr>
                <w:rFonts w:ascii="Calibri" w:hAnsi="Calibri" w:cs="Calibri"/>
              </w:rPr>
            </w:pPr>
          </w:p>
        </w:tc>
      </w:tr>
      <w:tr w:rsidR="00AA4661" w:rsidRPr="00F8728A" w:rsidTr="000614A3">
        <w:trPr>
          <w:trHeight w:val="3933"/>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750" w:type="dxa"/>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Този вариант е част от набор от мерки за изграждане на институционален и административен капацитет и за подобряване на координацията и сътрудничеството. В допълнение към вариант 9 това е по-ниско ниво на "външна" координация. Всички институции, участващи в осъществяването на политиката по АИК, са в целевата група:</w:t>
            </w:r>
          </w:p>
          <w:p w:rsidR="00AA4661" w:rsidRPr="00F8728A" w:rsidRDefault="00AA4661" w:rsidP="00CF297A">
            <w:pPr>
              <w:widowControl w:val="0"/>
              <w:numPr>
                <w:ilvl w:val="0"/>
                <w:numId w:val="56"/>
              </w:numPr>
              <w:autoSpaceDE w:val="0"/>
              <w:autoSpaceDN w:val="0"/>
              <w:adjustRightInd w:val="0"/>
              <w:spacing w:before="20" w:after="20"/>
              <w:ind w:left="205" w:hanging="205"/>
              <w:contextualSpacing/>
              <w:jc w:val="both"/>
              <w:rPr>
                <w:rFonts w:ascii="Calibri" w:hAnsi="Calibri" w:cs="Calibri"/>
              </w:rPr>
            </w:pPr>
            <w:r w:rsidRPr="00F8728A">
              <w:rPr>
                <w:rFonts w:ascii="Calibri" w:hAnsi="Calibri" w:cs="Calibri"/>
              </w:rPr>
              <w:t>Министерски съвет – Съвет за намаляване на риска от бедствия</w:t>
            </w:r>
          </w:p>
          <w:p w:rsidR="00AA4661" w:rsidRPr="00F8728A" w:rsidRDefault="00AA4661" w:rsidP="00CF297A">
            <w:pPr>
              <w:widowControl w:val="0"/>
              <w:numPr>
                <w:ilvl w:val="0"/>
                <w:numId w:val="56"/>
              </w:numPr>
              <w:autoSpaceDE w:val="0"/>
              <w:autoSpaceDN w:val="0"/>
              <w:adjustRightInd w:val="0"/>
              <w:spacing w:before="20" w:after="20"/>
              <w:ind w:left="205" w:hanging="205"/>
              <w:contextualSpacing/>
              <w:jc w:val="both"/>
              <w:rPr>
                <w:rFonts w:ascii="Calibri" w:hAnsi="Calibri" w:cs="Calibri"/>
              </w:rPr>
            </w:pPr>
            <w:r w:rsidRPr="00F8728A">
              <w:rPr>
                <w:rFonts w:ascii="Calibri" w:hAnsi="Calibri" w:cs="Calibri"/>
              </w:rPr>
              <w:t>МРРБ – Съвет по регионална политика, НЕСУТРП, Междуведомствени работни групи – Жилищна политика</w:t>
            </w:r>
          </w:p>
          <w:p w:rsidR="00AA4661" w:rsidRPr="00F8728A" w:rsidRDefault="00AA4661" w:rsidP="00CF297A">
            <w:pPr>
              <w:widowControl w:val="0"/>
              <w:numPr>
                <w:ilvl w:val="0"/>
                <w:numId w:val="56"/>
              </w:numPr>
              <w:autoSpaceDE w:val="0"/>
              <w:autoSpaceDN w:val="0"/>
              <w:adjustRightInd w:val="0"/>
              <w:spacing w:before="20" w:after="20"/>
              <w:ind w:left="205" w:hanging="205"/>
              <w:contextualSpacing/>
              <w:jc w:val="both"/>
              <w:rPr>
                <w:rFonts w:ascii="Calibri" w:hAnsi="Calibri" w:cs="Calibri"/>
              </w:rPr>
            </w:pPr>
            <w:r w:rsidRPr="00F8728A">
              <w:rPr>
                <w:rFonts w:ascii="Calibri" w:hAnsi="Calibri" w:cs="Calibri"/>
              </w:rPr>
              <w:t>Регионални съвети за развитие на ниво NUTS2, Басейнови дирекции,</w:t>
            </w:r>
          </w:p>
          <w:p w:rsidR="00AA4661" w:rsidRPr="00F8728A" w:rsidRDefault="00AA4661" w:rsidP="00CF297A">
            <w:pPr>
              <w:widowControl w:val="0"/>
              <w:numPr>
                <w:ilvl w:val="0"/>
                <w:numId w:val="56"/>
              </w:numPr>
              <w:autoSpaceDE w:val="0"/>
              <w:autoSpaceDN w:val="0"/>
              <w:adjustRightInd w:val="0"/>
              <w:spacing w:before="20" w:after="20"/>
              <w:ind w:left="205" w:hanging="205"/>
              <w:contextualSpacing/>
              <w:jc w:val="both"/>
              <w:rPr>
                <w:rFonts w:ascii="Calibri" w:hAnsi="Calibri" w:cs="Calibri"/>
              </w:rPr>
            </w:pPr>
            <w:r w:rsidRPr="00F8728A">
              <w:rPr>
                <w:rFonts w:ascii="Calibri" w:hAnsi="Calibri" w:cs="Calibri"/>
              </w:rPr>
              <w:t>Областни администрации и Областни съвети за развитие на ниво NUTS3, РИОСВ, РЗИ, Областни съвети за намаляване на риска от бедствия</w:t>
            </w:r>
          </w:p>
          <w:p w:rsidR="00AA4661" w:rsidRPr="00F8728A" w:rsidRDefault="00AA4661" w:rsidP="00CF297A">
            <w:pPr>
              <w:widowControl w:val="0"/>
              <w:numPr>
                <w:ilvl w:val="0"/>
                <w:numId w:val="56"/>
              </w:numPr>
              <w:autoSpaceDE w:val="0"/>
              <w:autoSpaceDN w:val="0"/>
              <w:adjustRightInd w:val="0"/>
              <w:spacing w:before="20" w:after="20"/>
              <w:ind w:left="205" w:hanging="205"/>
              <w:contextualSpacing/>
              <w:jc w:val="both"/>
              <w:rPr>
                <w:rFonts w:ascii="Calibri" w:hAnsi="Calibri" w:cs="Calibri"/>
              </w:rPr>
            </w:pPr>
            <w:r w:rsidRPr="00F8728A">
              <w:rPr>
                <w:rFonts w:ascii="Calibri" w:hAnsi="Calibri" w:cs="Calibri"/>
              </w:rPr>
              <w:t xml:space="preserve">Общински администрации, Общински съвети, ОЕСУТ, Общински съвети за намаляване на риска от бедствия </w:t>
            </w:r>
          </w:p>
          <w:p w:rsidR="00AA4661" w:rsidRPr="00F8728A" w:rsidRDefault="00AA4661" w:rsidP="00CF297A">
            <w:pPr>
              <w:widowControl w:val="0"/>
              <w:numPr>
                <w:ilvl w:val="0"/>
                <w:numId w:val="56"/>
              </w:numPr>
              <w:autoSpaceDE w:val="0"/>
              <w:autoSpaceDN w:val="0"/>
              <w:adjustRightInd w:val="0"/>
              <w:spacing w:before="20" w:after="20"/>
              <w:ind w:left="205" w:hanging="205"/>
              <w:contextualSpacing/>
              <w:jc w:val="both"/>
              <w:rPr>
                <w:rFonts w:ascii="Calibri" w:hAnsi="Calibri" w:cs="Calibri"/>
              </w:rPr>
            </w:pPr>
            <w:r w:rsidRPr="00F8728A">
              <w:rPr>
                <w:rFonts w:ascii="Calibri" w:hAnsi="Calibri" w:cs="Calibri"/>
              </w:rPr>
              <w:t>Районни администрации в големите градове с техните експертни съвети по устройство на територията и административни отдели по ТСУ</w:t>
            </w:r>
          </w:p>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Те взаимодействат в процеса на консултиране на плановите документи и проекти и чрез Експертните съвети по устройство на територията имат добре установени връзки с компетентните органи на регионално и местно ниво. Те имат достатъчно опит в професионалните си области, но недостатъчно познават процеса на АИК и УРБ и притежават слаби комуникационни умения.</w:t>
            </w:r>
          </w:p>
        </w:tc>
      </w:tr>
      <w:tr w:rsidR="00AA4661" w:rsidRPr="00F8728A" w:rsidTr="000614A3">
        <w:trPr>
          <w:trHeight w:val="77"/>
          <w:jc w:val="center"/>
        </w:trPr>
        <w:tc>
          <w:tcPr>
            <w:tcW w:w="2605"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77"/>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3"/>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 xml:space="preserve">+/- </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73"/>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750"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Подобрен капацитет, сътрудничество и съвместни действия в сферата на АИК на градската среда.</w:t>
            </w:r>
          </w:p>
        </w:tc>
      </w:tr>
      <w:tr w:rsidR="00AA4661" w:rsidRPr="00F8728A" w:rsidTr="000614A3">
        <w:trPr>
          <w:trHeight w:val="59"/>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644"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106"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 Биоразнообразие, Селско и Горско стопанство, Туризъм..</w:t>
            </w:r>
          </w:p>
        </w:tc>
      </w:tr>
      <w:tr w:rsidR="00AA4661" w:rsidRPr="00F8728A" w:rsidTr="000614A3">
        <w:trPr>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750"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w:t>
            </w:r>
          </w:p>
        </w:tc>
      </w:tr>
    </w:tbl>
    <w:p w:rsidR="00AA4661" w:rsidRPr="00F8728A" w:rsidRDefault="00AA4661" w:rsidP="00FF27EC">
      <w:pPr>
        <w:spacing w:after="0"/>
        <w:rPr>
          <w:sz w:val="8"/>
          <w:szCs w:val="8"/>
        </w:rPr>
      </w:pPr>
    </w:p>
    <w:p w:rsidR="00485D6A" w:rsidRPr="00F8728A" w:rsidRDefault="00485D6A">
      <w:pPr>
        <w:spacing w:after="0"/>
        <w:rPr>
          <w:sz w:val="8"/>
          <w:szCs w:val="8"/>
        </w:rPr>
      </w:pPr>
      <w:r w:rsidRPr="00F8728A">
        <w:rPr>
          <w:sz w:val="8"/>
          <w:szCs w:val="8"/>
        </w:rPr>
        <w:br w:type="page"/>
      </w: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5"/>
        <w:gridCol w:w="900"/>
        <w:gridCol w:w="810"/>
        <w:gridCol w:w="1357"/>
        <w:gridCol w:w="287"/>
        <w:gridCol w:w="765"/>
        <w:gridCol w:w="995"/>
        <w:gridCol w:w="817"/>
        <w:gridCol w:w="768"/>
        <w:gridCol w:w="1761"/>
      </w:tblGrid>
      <w:tr w:rsidR="00AA4661" w:rsidRPr="00F8728A" w:rsidTr="000614A3">
        <w:trPr>
          <w:trHeight w:val="360"/>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b/>
                <w:i/>
                <w:smallCaps/>
                <w:color w:val="000000"/>
                <w:sz w:val="22"/>
              </w:rPr>
            </w:pPr>
            <w:r w:rsidRPr="00F8728A">
              <w:rPr>
                <w:rFonts w:ascii="Calibri" w:hAnsi="Calibri" w:cs="Calibri"/>
                <w:b/>
                <w:i/>
                <w:smallCaps/>
                <w:color w:val="000000"/>
                <w:sz w:val="22"/>
              </w:rPr>
              <w:t>Развиване на капацитет във всички дирекции чрез преквалификация и назначаване на допълнителни експерти</w:t>
            </w:r>
          </w:p>
        </w:tc>
      </w:tr>
      <w:tr w:rsidR="00AA4661" w:rsidRPr="00F8728A" w:rsidTr="000614A3">
        <w:trPr>
          <w:jc w:val="center"/>
        </w:trPr>
        <w:tc>
          <w:tcPr>
            <w:tcW w:w="2605"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35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Наднацио-нално ниво</w:t>
            </w:r>
          </w:p>
        </w:tc>
        <w:tc>
          <w:tcPr>
            <w:tcW w:w="1052"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995"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81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768"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761"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605"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357" w:type="dxa"/>
            <w:shd w:val="clear" w:color="auto" w:fill="FFFFFF"/>
          </w:tcPr>
          <w:p w:rsidR="00AA4661" w:rsidRPr="00F8728A" w:rsidRDefault="00AA4661" w:rsidP="00B155A6">
            <w:pPr>
              <w:spacing w:before="20" w:after="20"/>
              <w:jc w:val="center"/>
              <w:rPr>
                <w:rFonts w:ascii="Calibri" w:hAnsi="Calibri" w:cs="Calibri"/>
              </w:rPr>
            </w:pPr>
          </w:p>
        </w:tc>
        <w:tc>
          <w:tcPr>
            <w:tcW w:w="1052" w:type="dxa"/>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995" w:type="dxa"/>
            <w:shd w:val="clear" w:color="auto" w:fill="FFFFFF"/>
          </w:tcPr>
          <w:p w:rsidR="00AA4661" w:rsidRPr="00F8728A" w:rsidRDefault="00AA4661" w:rsidP="00B155A6">
            <w:pPr>
              <w:spacing w:before="20" w:after="20"/>
              <w:jc w:val="center"/>
              <w:rPr>
                <w:rFonts w:ascii="Calibri" w:hAnsi="Calibri" w:cs="Calibri"/>
              </w:rPr>
            </w:pPr>
          </w:p>
        </w:tc>
        <w:tc>
          <w:tcPr>
            <w:tcW w:w="817"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768" w:type="dxa"/>
            <w:shd w:val="clear" w:color="auto" w:fill="FFFFFF"/>
          </w:tcPr>
          <w:p w:rsidR="00AA4661" w:rsidRPr="00F8728A" w:rsidRDefault="00AA4661" w:rsidP="00B155A6">
            <w:pPr>
              <w:spacing w:before="20" w:after="20"/>
              <w:jc w:val="center"/>
              <w:rPr>
                <w:rFonts w:ascii="Calibri" w:hAnsi="Calibri" w:cs="Calibri"/>
              </w:rPr>
            </w:pPr>
          </w:p>
        </w:tc>
        <w:tc>
          <w:tcPr>
            <w:tcW w:w="1761" w:type="dxa"/>
            <w:shd w:val="clear" w:color="auto" w:fill="FFFFFF"/>
          </w:tcPr>
          <w:p w:rsidR="00AA4661" w:rsidRPr="00F8728A" w:rsidRDefault="00AA4661" w:rsidP="00B155A6">
            <w:pPr>
              <w:spacing w:before="20" w:after="20"/>
              <w:jc w:val="center"/>
              <w:rPr>
                <w:rFonts w:ascii="Calibri" w:hAnsi="Calibri" w:cs="Calibri"/>
              </w:rPr>
            </w:pPr>
          </w:p>
        </w:tc>
      </w:tr>
      <w:tr w:rsidR="00AA4661" w:rsidRPr="00F8728A" w:rsidTr="000614A3">
        <w:trPr>
          <w:trHeight w:val="3852"/>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750" w:type="dxa"/>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Възможностите са насочени към укрепване на експертния капацитет в дирекциите и звената в рамките на МРРБ, работещи в областта на регионалното/пространствено и устройственото планиране и строителството:</w:t>
            </w:r>
          </w:p>
          <w:p w:rsidR="00AA4661" w:rsidRPr="00F8728A" w:rsidRDefault="00AA4661" w:rsidP="00CF297A">
            <w:pPr>
              <w:widowControl w:val="0"/>
              <w:numPr>
                <w:ilvl w:val="0"/>
                <w:numId w:val="60"/>
              </w:numPr>
              <w:autoSpaceDE w:val="0"/>
              <w:autoSpaceDN w:val="0"/>
              <w:adjustRightInd w:val="0"/>
              <w:spacing w:before="20" w:after="20"/>
              <w:contextualSpacing/>
              <w:jc w:val="both"/>
              <w:rPr>
                <w:rFonts w:ascii="Calibri" w:hAnsi="Calibri" w:cs="Calibri"/>
              </w:rPr>
            </w:pPr>
            <w:r w:rsidRPr="00F8728A">
              <w:rPr>
                <w:rFonts w:ascii="Calibri" w:hAnsi="Calibri" w:cs="Calibri"/>
              </w:rPr>
              <w:t>ГД ‘Стратегическо планиране и програми за регионално развитие’</w:t>
            </w:r>
          </w:p>
          <w:p w:rsidR="00AA4661" w:rsidRPr="00F8728A" w:rsidRDefault="00AA4661" w:rsidP="00CF297A">
            <w:pPr>
              <w:widowControl w:val="0"/>
              <w:numPr>
                <w:ilvl w:val="0"/>
                <w:numId w:val="60"/>
              </w:numPr>
              <w:autoSpaceDE w:val="0"/>
              <w:autoSpaceDN w:val="0"/>
              <w:adjustRightInd w:val="0"/>
              <w:spacing w:before="20" w:after="20"/>
              <w:contextualSpacing/>
              <w:jc w:val="both"/>
              <w:rPr>
                <w:rFonts w:ascii="Calibri" w:hAnsi="Calibri" w:cs="Calibri"/>
              </w:rPr>
            </w:pPr>
            <w:r w:rsidRPr="00F8728A">
              <w:rPr>
                <w:rFonts w:ascii="Calibri" w:hAnsi="Calibri" w:cs="Calibri"/>
              </w:rPr>
              <w:t>Дирекция ‘Устройство на територията и административно-териториално устройство’</w:t>
            </w:r>
          </w:p>
          <w:p w:rsidR="00AA4661" w:rsidRPr="00F8728A" w:rsidRDefault="00AA4661" w:rsidP="00CF297A">
            <w:pPr>
              <w:widowControl w:val="0"/>
              <w:numPr>
                <w:ilvl w:val="0"/>
                <w:numId w:val="60"/>
              </w:numPr>
              <w:autoSpaceDE w:val="0"/>
              <w:autoSpaceDN w:val="0"/>
              <w:adjustRightInd w:val="0"/>
              <w:spacing w:before="20" w:after="20"/>
              <w:contextualSpacing/>
              <w:jc w:val="both"/>
              <w:rPr>
                <w:rFonts w:ascii="Calibri" w:hAnsi="Calibri" w:cs="Calibri"/>
              </w:rPr>
            </w:pPr>
            <w:r w:rsidRPr="00F8728A">
              <w:rPr>
                <w:rFonts w:ascii="Calibri" w:hAnsi="Calibri" w:cs="Calibri"/>
              </w:rPr>
              <w:t>Дирекция ‘Технически правила и норми’</w:t>
            </w:r>
          </w:p>
          <w:p w:rsidR="00AA4661" w:rsidRPr="00F8728A" w:rsidRDefault="00AA4661" w:rsidP="00CF297A">
            <w:pPr>
              <w:widowControl w:val="0"/>
              <w:numPr>
                <w:ilvl w:val="0"/>
                <w:numId w:val="60"/>
              </w:numPr>
              <w:autoSpaceDE w:val="0"/>
              <w:autoSpaceDN w:val="0"/>
              <w:adjustRightInd w:val="0"/>
              <w:spacing w:before="20" w:after="20"/>
              <w:contextualSpacing/>
              <w:jc w:val="both"/>
              <w:rPr>
                <w:rFonts w:ascii="Calibri" w:hAnsi="Calibri" w:cs="Calibri"/>
              </w:rPr>
            </w:pPr>
            <w:r w:rsidRPr="00F8728A">
              <w:rPr>
                <w:rFonts w:ascii="Calibri" w:hAnsi="Calibri" w:cs="Calibri"/>
              </w:rPr>
              <w:t>Дирекция ‘Водоснабдяване и Канализация’</w:t>
            </w:r>
          </w:p>
          <w:p w:rsidR="00AA4661" w:rsidRPr="00F8728A" w:rsidRDefault="00AA4661" w:rsidP="00CF297A">
            <w:pPr>
              <w:widowControl w:val="0"/>
              <w:numPr>
                <w:ilvl w:val="0"/>
                <w:numId w:val="60"/>
              </w:numPr>
              <w:autoSpaceDE w:val="0"/>
              <w:autoSpaceDN w:val="0"/>
              <w:adjustRightInd w:val="0"/>
              <w:spacing w:before="20" w:after="20"/>
              <w:contextualSpacing/>
              <w:jc w:val="both"/>
              <w:rPr>
                <w:rFonts w:ascii="Calibri" w:hAnsi="Calibri" w:cs="Calibri"/>
              </w:rPr>
            </w:pPr>
            <w:r w:rsidRPr="00F8728A">
              <w:rPr>
                <w:rFonts w:ascii="Calibri" w:hAnsi="Calibri" w:cs="Calibri"/>
              </w:rPr>
              <w:t>Дирекция ‘Геозащита и Благоустройствени дейности’</w:t>
            </w:r>
          </w:p>
          <w:p w:rsidR="00AA4661" w:rsidRPr="00F8728A" w:rsidRDefault="00AA4661" w:rsidP="00CF297A">
            <w:pPr>
              <w:widowControl w:val="0"/>
              <w:numPr>
                <w:ilvl w:val="0"/>
                <w:numId w:val="60"/>
              </w:numPr>
              <w:autoSpaceDE w:val="0"/>
              <w:autoSpaceDN w:val="0"/>
              <w:adjustRightInd w:val="0"/>
              <w:spacing w:before="20" w:after="20"/>
              <w:contextualSpacing/>
              <w:jc w:val="both"/>
              <w:rPr>
                <w:rFonts w:ascii="Calibri" w:hAnsi="Calibri" w:cs="Calibri"/>
              </w:rPr>
            </w:pPr>
            <w:r w:rsidRPr="00F8728A">
              <w:rPr>
                <w:rFonts w:ascii="Calibri" w:hAnsi="Calibri" w:cs="Calibri"/>
              </w:rPr>
              <w:t>Дирекция ‘Жилищна политика’</w:t>
            </w:r>
          </w:p>
          <w:p w:rsidR="00AA4661" w:rsidRPr="00F8728A" w:rsidRDefault="00AA4661" w:rsidP="00CF297A">
            <w:pPr>
              <w:widowControl w:val="0"/>
              <w:numPr>
                <w:ilvl w:val="0"/>
                <w:numId w:val="60"/>
              </w:numPr>
              <w:autoSpaceDE w:val="0"/>
              <w:autoSpaceDN w:val="0"/>
              <w:adjustRightInd w:val="0"/>
              <w:spacing w:before="20" w:after="20"/>
              <w:contextualSpacing/>
              <w:jc w:val="both"/>
              <w:rPr>
                <w:rFonts w:ascii="Calibri" w:hAnsi="Calibri" w:cs="Calibri"/>
              </w:rPr>
            </w:pPr>
            <w:r w:rsidRPr="00F8728A">
              <w:rPr>
                <w:rFonts w:ascii="Calibri" w:hAnsi="Calibri" w:cs="Calibri"/>
              </w:rPr>
              <w:t>Дирекция за Национален Строителен Контрол</w:t>
            </w:r>
          </w:p>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Държавни дружества към МРРБ:</w:t>
            </w:r>
          </w:p>
          <w:p w:rsidR="00AA4661" w:rsidRPr="00F8728A" w:rsidRDefault="00AA4661" w:rsidP="00CF297A">
            <w:pPr>
              <w:widowControl w:val="0"/>
              <w:numPr>
                <w:ilvl w:val="0"/>
                <w:numId w:val="59"/>
              </w:numPr>
              <w:tabs>
                <w:tab w:val="left" w:pos="205"/>
              </w:tabs>
              <w:autoSpaceDE w:val="0"/>
              <w:autoSpaceDN w:val="0"/>
              <w:adjustRightInd w:val="0"/>
              <w:spacing w:before="20" w:after="20"/>
              <w:contextualSpacing/>
              <w:jc w:val="both"/>
              <w:rPr>
                <w:rFonts w:ascii="Calibri" w:hAnsi="Calibri" w:cs="Calibri"/>
              </w:rPr>
            </w:pPr>
            <w:r w:rsidRPr="00F8728A">
              <w:rPr>
                <w:rFonts w:ascii="Calibri" w:hAnsi="Calibri" w:cs="Calibri"/>
              </w:rPr>
              <w:t>Агенция „Пътна инфраструктура“ (АПИ)</w:t>
            </w:r>
          </w:p>
          <w:p w:rsidR="00AA4661" w:rsidRPr="00F8728A" w:rsidRDefault="00AA4661" w:rsidP="00CF297A">
            <w:pPr>
              <w:widowControl w:val="0"/>
              <w:numPr>
                <w:ilvl w:val="0"/>
                <w:numId w:val="59"/>
              </w:numPr>
              <w:tabs>
                <w:tab w:val="left" w:pos="205"/>
              </w:tabs>
              <w:autoSpaceDE w:val="0"/>
              <w:autoSpaceDN w:val="0"/>
              <w:adjustRightInd w:val="0"/>
              <w:spacing w:before="20" w:after="20"/>
              <w:contextualSpacing/>
              <w:jc w:val="both"/>
              <w:rPr>
                <w:rFonts w:ascii="Calibri" w:hAnsi="Calibri" w:cs="Calibri"/>
              </w:rPr>
            </w:pPr>
            <w:r w:rsidRPr="00F8728A">
              <w:rPr>
                <w:rFonts w:ascii="Calibri" w:hAnsi="Calibri" w:cs="Calibri"/>
              </w:rPr>
              <w:t>Национален институт за строителни изследвания (НИСИ)</w:t>
            </w:r>
          </w:p>
          <w:p w:rsidR="00AA4661" w:rsidRPr="00F8728A" w:rsidRDefault="00AA4661" w:rsidP="00CF297A">
            <w:pPr>
              <w:widowControl w:val="0"/>
              <w:numPr>
                <w:ilvl w:val="0"/>
                <w:numId w:val="59"/>
              </w:numPr>
              <w:tabs>
                <w:tab w:val="left" w:pos="205"/>
              </w:tabs>
              <w:autoSpaceDE w:val="0"/>
              <w:autoSpaceDN w:val="0"/>
              <w:adjustRightInd w:val="0"/>
              <w:spacing w:before="20" w:after="20"/>
              <w:contextualSpacing/>
              <w:jc w:val="both"/>
              <w:rPr>
                <w:rFonts w:ascii="Calibri" w:hAnsi="Calibri" w:cs="Calibri"/>
              </w:rPr>
            </w:pPr>
            <w:r w:rsidRPr="00F8728A">
              <w:rPr>
                <w:rFonts w:ascii="Calibri" w:hAnsi="Calibri" w:cs="Calibri"/>
              </w:rPr>
              <w:t>Национален център за териториално развитие (НЦТР)</w:t>
            </w:r>
          </w:p>
          <w:p w:rsidR="00AA4661" w:rsidRPr="00F8728A" w:rsidRDefault="00AA4661" w:rsidP="00CF297A">
            <w:pPr>
              <w:widowControl w:val="0"/>
              <w:numPr>
                <w:ilvl w:val="0"/>
                <w:numId w:val="59"/>
              </w:numPr>
              <w:tabs>
                <w:tab w:val="left" w:pos="205"/>
              </w:tabs>
              <w:autoSpaceDE w:val="0"/>
              <w:autoSpaceDN w:val="0"/>
              <w:adjustRightInd w:val="0"/>
              <w:spacing w:before="20" w:after="20"/>
              <w:contextualSpacing/>
              <w:jc w:val="both"/>
              <w:rPr>
                <w:rFonts w:ascii="Calibri" w:hAnsi="Calibri" w:cs="Calibri"/>
              </w:rPr>
            </w:pPr>
            <w:r w:rsidRPr="00F8728A">
              <w:rPr>
                <w:rFonts w:ascii="Calibri" w:hAnsi="Calibri" w:cs="Calibri"/>
              </w:rPr>
              <w:t>Геозащита Варна, Плевен и Перник</w:t>
            </w:r>
          </w:p>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 xml:space="preserve">Институционалният и организационен анализ ще покаже проблемите в структурата. Преквалификацията на персонала ще се извършва успоредно с дейностите по опции 21 и 24. </w:t>
            </w:r>
          </w:p>
        </w:tc>
      </w:tr>
      <w:tr w:rsidR="00AA4661" w:rsidRPr="00F8728A" w:rsidTr="000614A3">
        <w:trPr>
          <w:trHeight w:val="77"/>
          <w:jc w:val="center"/>
        </w:trPr>
        <w:tc>
          <w:tcPr>
            <w:tcW w:w="2605"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77"/>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77"/>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 -</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60"/>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750"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Развит административен и експертен капацитет. По-добре координирана работа.</w:t>
            </w:r>
          </w:p>
        </w:tc>
      </w:tr>
      <w:tr w:rsidR="00AA4661" w:rsidRPr="00F8728A" w:rsidTr="000614A3">
        <w:trPr>
          <w:trHeight w:val="59"/>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644"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106"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w:t>
            </w:r>
          </w:p>
        </w:tc>
      </w:tr>
      <w:tr w:rsidR="00AA4661" w:rsidRPr="00F8728A" w:rsidTr="000614A3">
        <w:trPr>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750"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 свързани с градски води, градски транспорт, наводнения, свлачища.</w:t>
            </w:r>
          </w:p>
        </w:tc>
      </w:tr>
    </w:tbl>
    <w:p w:rsidR="00AA4661" w:rsidRPr="00F8728A" w:rsidRDefault="00AA4661">
      <w:pPr>
        <w:widowControl w:val="0"/>
        <w:spacing w:after="0"/>
        <w:rPr>
          <w:sz w:val="10"/>
          <w:szCs w:val="10"/>
        </w:rPr>
      </w:pP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5"/>
        <w:gridCol w:w="900"/>
        <w:gridCol w:w="810"/>
        <w:gridCol w:w="1357"/>
        <w:gridCol w:w="287"/>
        <w:gridCol w:w="765"/>
        <w:gridCol w:w="995"/>
        <w:gridCol w:w="817"/>
        <w:gridCol w:w="768"/>
        <w:gridCol w:w="1761"/>
      </w:tblGrid>
      <w:tr w:rsidR="00AA4661" w:rsidRPr="00F8728A" w:rsidTr="000614A3">
        <w:trPr>
          <w:trHeight w:val="360"/>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i/>
                <w:color w:val="000000"/>
                <w:sz w:val="22"/>
              </w:rPr>
            </w:pPr>
            <w:r w:rsidRPr="00F8728A">
              <w:rPr>
                <w:rFonts w:ascii="Calibri" w:hAnsi="Calibri" w:cs="Calibri"/>
                <w:b/>
                <w:i/>
                <w:smallCaps/>
                <w:color w:val="000000"/>
                <w:sz w:val="22"/>
              </w:rPr>
              <w:t>Осигуряване на насоки и методологична подкрепа на общините за развиване на местни стратегии за АИК</w:t>
            </w:r>
          </w:p>
        </w:tc>
      </w:tr>
      <w:tr w:rsidR="00AA4661" w:rsidRPr="00F8728A" w:rsidTr="000614A3">
        <w:trPr>
          <w:jc w:val="center"/>
        </w:trPr>
        <w:tc>
          <w:tcPr>
            <w:tcW w:w="2605"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35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52"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995"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81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768"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761"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605"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357" w:type="dxa"/>
            <w:shd w:val="clear" w:color="auto" w:fill="FFFFFF"/>
          </w:tcPr>
          <w:p w:rsidR="00AA4661" w:rsidRPr="00F8728A" w:rsidRDefault="00AA4661" w:rsidP="00B155A6">
            <w:pPr>
              <w:spacing w:before="20" w:after="20"/>
              <w:jc w:val="center"/>
              <w:rPr>
                <w:rFonts w:ascii="Calibri" w:hAnsi="Calibri" w:cs="Calibri"/>
              </w:rPr>
            </w:pPr>
          </w:p>
        </w:tc>
        <w:tc>
          <w:tcPr>
            <w:tcW w:w="1052" w:type="dxa"/>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995" w:type="dxa"/>
            <w:shd w:val="clear" w:color="auto" w:fill="FFFFFF"/>
          </w:tcPr>
          <w:p w:rsidR="00AA4661" w:rsidRPr="00F8728A" w:rsidRDefault="00AA4661" w:rsidP="00B155A6">
            <w:pPr>
              <w:spacing w:before="20" w:after="20"/>
              <w:jc w:val="center"/>
              <w:rPr>
                <w:rFonts w:ascii="Calibri" w:hAnsi="Calibri" w:cs="Calibri"/>
              </w:rPr>
            </w:pPr>
          </w:p>
        </w:tc>
        <w:tc>
          <w:tcPr>
            <w:tcW w:w="817"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768" w:type="dxa"/>
            <w:shd w:val="clear" w:color="auto" w:fill="FFFFFF"/>
          </w:tcPr>
          <w:p w:rsidR="00AA4661" w:rsidRPr="00F8728A" w:rsidRDefault="00AA4661" w:rsidP="00B155A6">
            <w:pPr>
              <w:spacing w:before="20" w:after="20"/>
              <w:jc w:val="center"/>
              <w:rPr>
                <w:rFonts w:ascii="Calibri" w:hAnsi="Calibri" w:cs="Calibri"/>
              </w:rPr>
            </w:pPr>
          </w:p>
        </w:tc>
        <w:tc>
          <w:tcPr>
            <w:tcW w:w="1761"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r>
      <w:tr w:rsidR="00AA4661" w:rsidRPr="00F8728A" w:rsidTr="000614A3">
        <w:trPr>
          <w:trHeight w:val="2214"/>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750" w:type="dxa"/>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 xml:space="preserve">Този вариант е насочен към българските общини с ограничен административен и експертен капацитет и ограничени бюджети. Той се опитва да осигури подкрепа за онези общини, които не са подписали Конвента на кметовете, да осигури качество на местните документи за АИК като алтернатива за това, тази задача да не се оставя на случайно избрани консултанти. Малките общини се нуждаят от по-добра методологична подкрепа, която е по-добре организирана на централно ниво. За планирането на действията си по АИК общините биха могли да намерят онлайн подкрепа чрез национална интерактивна платформа (виж опции 6 и/или 24), в допълнение към тази, предоставена от ЕС и инициативата на Mayors Adapt. Платформата на ЕС Climate ADAPT осигурява достъп до добри примери за местни стратегии за АИК от различни държави-членки.  </w:t>
            </w:r>
            <w:hyperlink r:id="rId101" w:history="1">
              <w:r w:rsidRPr="00F8728A">
                <w:rPr>
                  <w:rStyle w:val="Hyperlink"/>
                  <w:rFonts w:ascii="Calibri" w:hAnsi="Calibri" w:cs="Calibri"/>
                </w:rPr>
                <w:t>http://climate-adapt.eea.europa.eu/countries-regions/cities</w:t>
              </w:r>
            </w:hyperlink>
            <w:r w:rsidRPr="00F8728A">
              <w:rPr>
                <w:rFonts w:ascii="Calibri" w:hAnsi="Calibri" w:cs="Calibri"/>
              </w:rPr>
              <w:t xml:space="preserve"> </w:t>
            </w:r>
          </w:p>
        </w:tc>
      </w:tr>
      <w:tr w:rsidR="00AA4661" w:rsidRPr="00F8728A" w:rsidTr="000614A3">
        <w:trPr>
          <w:trHeight w:val="77"/>
          <w:jc w:val="center"/>
        </w:trPr>
        <w:tc>
          <w:tcPr>
            <w:tcW w:w="2605"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77"/>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77"/>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 -</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73"/>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750"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Приети съвременни, последователни и приложими документи за АИК на градовете. Ясни задачи и планове за справяне с бедствия и екстремни климатични събития.</w:t>
            </w:r>
          </w:p>
        </w:tc>
      </w:tr>
      <w:tr w:rsidR="00AA4661" w:rsidRPr="00F8728A" w:rsidTr="000614A3">
        <w:trPr>
          <w:trHeight w:val="59"/>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644"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106"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 Биоразнообразие, Селско и Горско стопанство, Туризъм.</w:t>
            </w:r>
          </w:p>
        </w:tc>
      </w:tr>
      <w:tr w:rsidR="00AA4661" w:rsidRPr="00F8728A" w:rsidTr="000614A3">
        <w:trPr>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750"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 свързани със застроената градска среда.</w:t>
            </w:r>
          </w:p>
        </w:tc>
      </w:tr>
    </w:tbl>
    <w:p w:rsidR="00AA4661" w:rsidRPr="00F8728A" w:rsidRDefault="00AA4661" w:rsidP="00097C02">
      <w:pPr>
        <w:spacing w:after="0"/>
        <w:rPr>
          <w:sz w:val="8"/>
          <w:szCs w:val="8"/>
        </w:rPr>
      </w:pPr>
    </w:p>
    <w:tbl>
      <w:tblPr>
        <w:tblW w:w="5156"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905"/>
        <w:gridCol w:w="909"/>
        <w:gridCol w:w="819"/>
        <w:gridCol w:w="1134"/>
        <w:gridCol w:w="138"/>
        <w:gridCol w:w="928"/>
        <w:gridCol w:w="1055"/>
        <w:gridCol w:w="1038"/>
        <w:gridCol w:w="989"/>
        <w:gridCol w:w="1539"/>
      </w:tblGrid>
      <w:tr w:rsidR="00AA4661" w:rsidRPr="00F8728A" w:rsidTr="000614A3">
        <w:trPr>
          <w:trHeight w:val="69"/>
          <w:jc w:val="center"/>
        </w:trPr>
        <w:tc>
          <w:tcPr>
            <w:tcW w:w="5000" w:type="pct"/>
            <w:gridSpan w:val="10"/>
            <w:shd w:val="clear" w:color="auto" w:fill="A8D08D"/>
          </w:tcPr>
          <w:p w:rsidR="00AA4661" w:rsidRPr="00F8728A" w:rsidRDefault="00AA4661" w:rsidP="00CF297A">
            <w:pPr>
              <w:pStyle w:val="ListParagraph1"/>
              <w:widowControl w:val="0"/>
              <w:numPr>
                <w:ilvl w:val="0"/>
                <w:numId w:val="61"/>
              </w:numPr>
              <w:spacing w:before="20" w:after="20" w:line="240" w:lineRule="auto"/>
              <w:ind w:left="893"/>
              <w:jc w:val="both"/>
              <w:rPr>
                <w:b/>
                <w:sz w:val="20"/>
                <w:szCs w:val="22"/>
                <w:lang w:val="bg-BG" w:eastAsia="en-US"/>
              </w:rPr>
            </w:pPr>
            <w:r w:rsidRPr="00F8728A">
              <w:rPr>
                <w:rFonts w:ascii="Calibri" w:hAnsi="Calibri" w:cs="Calibri"/>
                <w:b/>
                <w:bCs/>
                <w:color w:val="000000"/>
                <w:sz w:val="24"/>
                <w:szCs w:val="22"/>
                <w:lang w:val="bg-BG" w:eastAsia="en-US"/>
              </w:rPr>
              <w:t>Категория „Законодателство“</w:t>
            </w:r>
          </w:p>
        </w:tc>
      </w:tr>
      <w:tr w:rsidR="00AA4661" w:rsidRPr="00F8728A" w:rsidTr="000614A3">
        <w:trPr>
          <w:trHeight w:val="145"/>
          <w:jc w:val="center"/>
        </w:trPr>
        <w:tc>
          <w:tcPr>
            <w:tcW w:w="5000" w:type="pct"/>
            <w:gridSpan w:val="10"/>
            <w:shd w:val="clear" w:color="auto" w:fill="E2EFD9"/>
          </w:tcPr>
          <w:p w:rsidR="00AA4661" w:rsidRPr="00F8728A" w:rsidRDefault="00AA4661" w:rsidP="00B155A6">
            <w:pPr>
              <w:spacing w:before="40" w:after="40"/>
              <w:ind w:left="125"/>
              <w:jc w:val="both"/>
              <w:rPr>
                <w:b/>
                <w:bCs/>
                <w:sz w:val="22"/>
              </w:rPr>
            </w:pPr>
            <w:r w:rsidRPr="00F8728A">
              <w:rPr>
                <w:rFonts w:ascii="Calibri" w:hAnsi="Calibri" w:cs="Calibri"/>
                <w:b/>
                <w:bCs/>
                <w:color w:val="000000"/>
                <w:sz w:val="22"/>
              </w:rPr>
              <w:t>Преразглеждане и промяна на всички законодателни документи за транспониране на проблемите на АИК след Оценка на въздействието на регулациите</w:t>
            </w:r>
          </w:p>
        </w:tc>
      </w:tr>
      <w:tr w:rsidR="00AA4661" w:rsidRPr="00F8728A" w:rsidTr="000614A3">
        <w:trPr>
          <w:trHeight w:val="69"/>
          <w:jc w:val="center"/>
        </w:trPr>
        <w:tc>
          <w:tcPr>
            <w:tcW w:w="5000" w:type="pct"/>
            <w:gridSpan w:val="10"/>
          </w:tcPr>
          <w:p w:rsidR="00AA4661" w:rsidRPr="00F8728A" w:rsidRDefault="00AA4661" w:rsidP="00CF297A">
            <w:pPr>
              <w:widowControl w:val="0"/>
              <w:numPr>
                <w:ilvl w:val="0"/>
                <w:numId w:val="48"/>
              </w:numPr>
              <w:spacing w:before="40" w:after="40"/>
              <w:ind w:left="504" w:right="144"/>
              <w:jc w:val="both"/>
              <w:rPr>
                <w:rFonts w:ascii="Calibri" w:hAnsi="Calibri" w:cs="Calibri"/>
                <w:i/>
                <w:color w:val="000000"/>
                <w:sz w:val="22"/>
              </w:rPr>
            </w:pPr>
            <w:r w:rsidRPr="00F8728A">
              <w:rPr>
                <w:rFonts w:ascii="Calibri" w:hAnsi="Calibri" w:cs="Calibri"/>
                <w:b/>
                <w:i/>
                <w:smallCaps/>
                <w:color w:val="000000"/>
                <w:sz w:val="22"/>
              </w:rPr>
              <w:t xml:space="preserve">Включване на изискванията за АИК във всички свързани законодателни документи за регионално и пространствено/градско планиране </w:t>
            </w:r>
          </w:p>
        </w:tc>
      </w:tr>
      <w:tr w:rsidR="00AA4661" w:rsidRPr="00F8728A" w:rsidTr="000614A3">
        <w:trPr>
          <w:jc w:val="center"/>
        </w:trPr>
        <w:tc>
          <w:tcPr>
            <w:tcW w:w="1392" w:type="pct"/>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600"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Наднацио-нално ниво</w:t>
            </w:r>
          </w:p>
        </w:tc>
        <w:tc>
          <w:tcPr>
            <w:tcW w:w="564" w:type="pct"/>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558"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549"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523"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814"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1392" w:type="pct"/>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600" w:type="pct"/>
            <w:shd w:val="clear" w:color="auto" w:fill="FFFFFF"/>
          </w:tcPr>
          <w:p w:rsidR="00AA4661" w:rsidRPr="00F8728A" w:rsidRDefault="00AA4661" w:rsidP="00B155A6">
            <w:pPr>
              <w:spacing w:before="20" w:after="20"/>
              <w:jc w:val="center"/>
              <w:rPr>
                <w:rFonts w:ascii="Calibri" w:hAnsi="Calibri" w:cs="Calibri"/>
              </w:rPr>
            </w:pPr>
          </w:p>
        </w:tc>
        <w:tc>
          <w:tcPr>
            <w:tcW w:w="564" w:type="pct"/>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558" w:type="pct"/>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549" w:type="pct"/>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523" w:type="pct"/>
            <w:shd w:val="clear" w:color="auto" w:fill="FFFFFF"/>
          </w:tcPr>
          <w:p w:rsidR="00AA4661" w:rsidRPr="00F8728A" w:rsidRDefault="00AA4661" w:rsidP="00B155A6">
            <w:pPr>
              <w:spacing w:before="20" w:after="20"/>
              <w:jc w:val="center"/>
              <w:rPr>
                <w:rFonts w:ascii="Calibri" w:hAnsi="Calibri" w:cs="Calibri"/>
              </w:rPr>
            </w:pPr>
          </w:p>
        </w:tc>
        <w:tc>
          <w:tcPr>
            <w:tcW w:w="814" w:type="pct"/>
            <w:shd w:val="clear" w:color="auto" w:fill="FFFFFF"/>
          </w:tcPr>
          <w:p w:rsidR="00AA4661" w:rsidRPr="00F8728A" w:rsidRDefault="00AA4661" w:rsidP="00B155A6">
            <w:pPr>
              <w:spacing w:before="20" w:after="20"/>
              <w:jc w:val="center"/>
              <w:rPr>
                <w:rFonts w:ascii="Calibri" w:hAnsi="Calibri" w:cs="Calibri"/>
              </w:rPr>
            </w:pPr>
          </w:p>
        </w:tc>
      </w:tr>
      <w:tr w:rsidR="00AA4661" w:rsidRPr="00F8728A" w:rsidTr="00B73D7E">
        <w:trPr>
          <w:trHeight w:val="4293"/>
          <w:jc w:val="center"/>
        </w:trPr>
        <w:tc>
          <w:tcPr>
            <w:tcW w:w="1392" w:type="pct"/>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3608" w:type="pct"/>
            <w:gridSpan w:val="7"/>
            <w:vMerge w:val="restart"/>
            <w:shd w:val="clear" w:color="auto" w:fill="D9D9D9"/>
          </w:tcPr>
          <w:p w:rsidR="00AA4661" w:rsidRPr="00F8728A" w:rsidRDefault="00AA4661" w:rsidP="00B155A6">
            <w:pPr>
              <w:autoSpaceDE w:val="0"/>
              <w:autoSpaceDN w:val="0"/>
              <w:adjustRightInd w:val="0"/>
              <w:spacing w:before="20" w:after="20"/>
              <w:contextualSpacing/>
              <w:rPr>
                <w:rFonts w:ascii="Calibri" w:hAnsi="Calibri" w:cs="Calibri"/>
              </w:rPr>
            </w:pPr>
            <w:r w:rsidRPr="00F8728A">
              <w:rPr>
                <w:rFonts w:ascii="Calibri" w:hAnsi="Calibri" w:cs="Calibri"/>
              </w:rPr>
              <w:t xml:space="preserve">Първата стъпка, за да се приложи тази опция, е оценка на въздействието на регулациите (ОВР), за да се обоснове необходимостта от изменение. Законът за устройство на територията и Законът за регионално развитие имат своите ОВР, извършени през 2011 г. и през 2012 г. </w:t>
            </w:r>
            <w:hyperlink r:id="rId102" w:history="1">
              <w:r w:rsidRPr="00F8728A">
                <w:rPr>
                  <w:rStyle w:val="Hyperlink"/>
                  <w:rFonts w:ascii="Calibri" w:hAnsi="Calibri" w:cs="Calibri"/>
                </w:rPr>
                <w:t>www.mrrb.government.bg/static/media/.../29f1fc40949e8732a8a83b1cc0e4930e.doc</w:t>
              </w:r>
            </w:hyperlink>
            <w:r w:rsidRPr="00F8728A">
              <w:rPr>
                <w:rFonts w:ascii="Calibri" w:hAnsi="Calibri" w:cs="Calibri"/>
              </w:rPr>
              <w:t xml:space="preserve"> </w:t>
            </w:r>
          </w:p>
          <w:p w:rsidR="00AA4661" w:rsidRPr="00F8728A" w:rsidRDefault="00AA4661" w:rsidP="00B155A6">
            <w:pPr>
              <w:autoSpaceDE w:val="0"/>
              <w:autoSpaceDN w:val="0"/>
              <w:adjustRightInd w:val="0"/>
              <w:spacing w:before="20" w:after="20"/>
              <w:contextualSpacing/>
              <w:jc w:val="both"/>
              <w:rPr>
                <w:rFonts w:ascii="Calibri" w:hAnsi="Calibri" w:cs="Calibri"/>
              </w:rPr>
            </w:pPr>
            <w:r w:rsidRPr="00F8728A">
              <w:rPr>
                <w:rFonts w:ascii="Calibri" w:hAnsi="Calibri" w:cs="Calibri"/>
              </w:rPr>
              <w:t>Както беше споменато в настоящия анализ, в някои законодателни документи вече са включени текстове относно АИК, но се нуждаят от леки корекции и актуализиране. Предстоящото преразглеждане на йерархичната система за планиране в България ще бъде възможност за по-добро хармонизиране на законодателството по отношение на основните цели на АИК в градската среда.</w:t>
            </w:r>
          </w:p>
          <w:p w:rsidR="00AA4661" w:rsidRPr="00F8728A" w:rsidRDefault="00AA4661" w:rsidP="00B155A6">
            <w:pPr>
              <w:autoSpaceDE w:val="0"/>
              <w:autoSpaceDN w:val="0"/>
              <w:adjustRightInd w:val="0"/>
              <w:spacing w:before="20" w:after="20"/>
              <w:contextualSpacing/>
              <w:jc w:val="both"/>
              <w:rPr>
                <w:rFonts w:ascii="Calibri" w:hAnsi="Calibri" w:cs="Calibri"/>
              </w:rPr>
            </w:pPr>
            <w:r w:rsidRPr="00F8728A">
              <w:rPr>
                <w:rFonts w:ascii="Calibri" w:hAnsi="Calibri" w:cs="Calibri"/>
              </w:rPr>
              <w:t>За вторичното законодателство ще се изисква по-задълбочен анализ и оценка на необходимите изменения:</w:t>
            </w:r>
          </w:p>
          <w:p w:rsidR="00AA4661" w:rsidRPr="00F8728A" w:rsidRDefault="00AA4661" w:rsidP="00CF297A">
            <w:pPr>
              <w:pStyle w:val="ListParagraph1"/>
              <w:widowControl w:val="0"/>
              <w:numPr>
                <w:ilvl w:val="0"/>
                <w:numId w:val="63"/>
              </w:numPr>
              <w:autoSpaceDE w:val="0"/>
              <w:autoSpaceDN w:val="0"/>
              <w:adjustRightInd w:val="0"/>
              <w:spacing w:before="20" w:after="20" w:line="240" w:lineRule="auto"/>
              <w:ind w:left="348" w:hanging="284"/>
              <w:jc w:val="both"/>
              <w:rPr>
                <w:rFonts w:ascii="Calibri" w:hAnsi="Calibri" w:cs="Calibri"/>
                <w:sz w:val="20"/>
                <w:szCs w:val="22"/>
                <w:lang w:val="bg-BG" w:eastAsia="en-US"/>
              </w:rPr>
            </w:pPr>
            <w:r w:rsidRPr="00F8728A">
              <w:rPr>
                <w:rFonts w:ascii="Calibri" w:hAnsi="Calibri" w:cs="Calibri"/>
                <w:sz w:val="20"/>
                <w:szCs w:val="22"/>
                <w:lang w:val="bg-BG" w:eastAsia="en-US"/>
              </w:rPr>
              <w:t xml:space="preserve">Наредба No. 7 за правила и нормативи за устройство на отделните видове територии и устройствени зони </w:t>
            </w:r>
          </w:p>
          <w:p w:rsidR="00AA4661" w:rsidRPr="00F8728A" w:rsidRDefault="00AA4661" w:rsidP="00CF297A">
            <w:pPr>
              <w:widowControl w:val="0"/>
              <w:numPr>
                <w:ilvl w:val="0"/>
                <w:numId w:val="63"/>
              </w:numPr>
              <w:autoSpaceDE w:val="0"/>
              <w:autoSpaceDN w:val="0"/>
              <w:adjustRightInd w:val="0"/>
              <w:spacing w:before="20" w:after="20"/>
              <w:ind w:left="348" w:hanging="284"/>
              <w:contextualSpacing/>
              <w:jc w:val="both"/>
              <w:rPr>
                <w:rFonts w:ascii="Calibri" w:hAnsi="Calibri" w:cs="Calibri"/>
              </w:rPr>
            </w:pPr>
            <w:r w:rsidRPr="00F8728A">
              <w:rPr>
                <w:rFonts w:ascii="Calibri" w:hAnsi="Calibri" w:cs="Calibri"/>
              </w:rPr>
              <w:t>Наредба No. 8 за обхвата и съдържанието на устройствените планове</w:t>
            </w:r>
          </w:p>
          <w:p w:rsidR="00AA4661" w:rsidRPr="00F8728A" w:rsidRDefault="00AA4661" w:rsidP="00CF297A">
            <w:pPr>
              <w:widowControl w:val="0"/>
              <w:numPr>
                <w:ilvl w:val="0"/>
                <w:numId w:val="63"/>
              </w:numPr>
              <w:spacing w:after="120"/>
              <w:ind w:left="348" w:hanging="284"/>
              <w:contextualSpacing/>
              <w:rPr>
                <w:rFonts w:ascii="Calibri" w:hAnsi="Calibri" w:cs="Calibri"/>
                <w:szCs w:val="20"/>
              </w:rPr>
            </w:pPr>
            <w:r w:rsidRPr="00F8728A">
              <w:rPr>
                <w:rFonts w:ascii="Calibri" w:hAnsi="Calibri" w:cs="Calibri"/>
                <w:szCs w:val="20"/>
              </w:rPr>
              <w:t xml:space="preserve">Наредба No. 4 за обхвата и съдържанието на инвестиционните проекти </w:t>
            </w:r>
          </w:p>
          <w:p w:rsidR="00AA4661" w:rsidRPr="00F8728A" w:rsidRDefault="00AA4661" w:rsidP="00CF297A">
            <w:pPr>
              <w:widowControl w:val="0"/>
              <w:numPr>
                <w:ilvl w:val="0"/>
                <w:numId w:val="63"/>
              </w:numPr>
              <w:spacing w:after="120"/>
              <w:ind w:left="348" w:hanging="284"/>
              <w:contextualSpacing/>
              <w:rPr>
                <w:rFonts w:ascii="Calibri" w:hAnsi="Calibri" w:cs="Calibri"/>
                <w:szCs w:val="20"/>
              </w:rPr>
            </w:pPr>
            <w:r w:rsidRPr="00F8728A">
              <w:rPr>
                <w:rFonts w:ascii="Calibri" w:hAnsi="Calibri" w:cs="Calibri"/>
                <w:szCs w:val="20"/>
              </w:rPr>
              <w:t>Наредба за условията и реда за извършване на екологична оценка на планове и програми</w:t>
            </w:r>
          </w:p>
          <w:p w:rsidR="00AA4661" w:rsidRPr="00F8728A" w:rsidRDefault="00AA4661" w:rsidP="00CF297A">
            <w:pPr>
              <w:widowControl w:val="0"/>
              <w:numPr>
                <w:ilvl w:val="0"/>
                <w:numId w:val="63"/>
              </w:numPr>
              <w:spacing w:after="120"/>
              <w:ind w:left="348" w:hanging="284"/>
              <w:contextualSpacing/>
              <w:rPr>
                <w:rFonts w:ascii="Calibri" w:hAnsi="Calibri" w:cs="Calibri"/>
              </w:rPr>
            </w:pPr>
            <w:r w:rsidRPr="00F8728A">
              <w:rPr>
                <w:rFonts w:ascii="Calibri" w:hAnsi="Calibri" w:cs="Calibri"/>
                <w:szCs w:val="20"/>
              </w:rPr>
              <w:t>Наредба за условията и реда за извършване на оценка на въздействието върху околната среда</w:t>
            </w:r>
          </w:p>
        </w:tc>
      </w:tr>
      <w:tr w:rsidR="00AA4661" w:rsidRPr="00F8728A" w:rsidTr="000614A3">
        <w:trPr>
          <w:trHeight w:val="77"/>
          <w:jc w:val="center"/>
        </w:trPr>
        <w:tc>
          <w:tcPr>
            <w:tcW w:w="1392" w:type="pct"/>
            <w:gridSpan w:val="3"/>
            <w:shd w:val="clear" w:color="auto" w:fill="000000"/>
            <w:vAlign w:val="center"/>
          </w:tcPr>
          <w:p w:rsidR="00AA4661" w:rsidRPr="00F8728A" w:rsidRDefault="00AA4661" w:rsidP="00B155A6">
            <w:pPr>
              <w:spacing w:before="20" w:after="20"/>
              <w:jc w:val="center"/>
              <w:rPr>
                <w:rFonts w:ascii="Calibri" w:hAnsi="Calibri" w:cs="Calibri"/>
                <w:color w:val="FFFFFF"/>
                <w:sz w:val="18"/>
                <w:szCs w:val="18"/>
              </w:rPr>
            </w:pPr>
            <w:r w:rsidRPr="00F8728A">
              <w:rPr>
                <w:rFonts w:ascii="Calibri" w:hAnsi="Calibri" w:cs="Calibri"/>
                <w:color w:val="FFFFFF"/>
                <w:sz w:val="18"/>
                <w:szCs w:val="18"/>
              </w:rPr>
              <w:t>Релевантност на варианта</w:t>
            </w:r>
          </w:p>
        </w:tc>
        <w:tc>
          <w:tcPr>
            <w:tcW w:w="3608" w:type="pct"/>
            <w:gridSpan w:val="7"/>
            <w:vMerge/>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p>
        </w:tc>
      </w:tr>
      <w:tr w:rsidR="00AA4661" w:rsidRPr="00F8728A" w:rsidTr="000614A3">
        <w:trPr>
          <w:trHeight w:val="77"/>
          <w:jc w:val="center"/>
        </w:trPr>
        <w:tc>
          <w:tcPr>
            <w:tcW w:w="478"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481"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433"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3608" w:type="pct"/>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77"/>
          <w:jc w:val="center"/>
        </w:trPr>
        <w:tc>
          <w:tcPr>
            <w:tcW w:w="478"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481"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433"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3608" w:type="pct"/>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63"/>
          <w:jc w:val="center"/>
        </w:trPr>
        <w:tc>
          <w:tcPr>
            <w:tcW w:w="1392" w:type="pct"/>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3608" w:type="pct"/>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По-добре фармонизирано законодателство.</w:t>
            </w:r>
          </w:p>
        </w:tc>
      </w:tr>
      <w:tr w:rsidR="00AA4661" w:rsidRPr="00F8728A" w:rsidTr="000614A3">
        <w:trPr>
          <w:trHeight w:val="59"/>
          <w:jc w:val="center"/>
        </w:trPr>
        <w:tc>
          <w:tcPr>
            <w:tcW w:w="1392" w:type="pct"/>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673" w:type="pct"/>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2934" w:type="pct"/>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 Туризъм, Селско и Горско стопанство, Биоразнообразие</w:t>
            </w:r>
          </w:p>
        </w:tc>
      </w:tr>
      <w:tr w:rsidR="00AA4661" w:rsidRPr="00F8728A" w:rsidTr="000614A3">
        <w:trPr>
          <w:jc w:val="center"/>
        </w:trPr>
        <w:tc>
          <w:tcPr>
            <w:tcW w:w="1392" w:type="pct"/>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3608" w:type="pct"/>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 xml:space="preserve">Всички рискове застрашанащи градското население, градската инфраструктура, градския транспорт, жилищния фонд и услуги. </w:t>
            </w:r>
          </w:p>
        </w:tc>
      </w:tr>
    </w:tbl>
    <w:p w:rsidR="00AA4661" w:rsidRPr="00F8728A" w:rsidRDefault="00AA4661" w:rsidP="00FF27EC">
      <w:pPr>
        <w:spacing w:after="0"/>
        <w:rPr>
          <w:sz w:val="8"/>
          <w:szCs w:val="8"/>
        </w:rPr>
      </w:pP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985"/>
        <w:gridCol w:w="810"/>
        <w:gridCol w:w="810"/>
        <w:gridCol w:w="1076"/>
        <w:gridCol w:w="493"/>
        <w:gridCol w:w="587"/>
        <w:gridCol w:w="990"/>
        <w:gridCol w:w="900"/>
        <w:gridCol w:w="811"/>
        <w:gridCol w:w="1893"/>
      </w:tblGrid>
      <w:tr w:rsidR="00AA4661" w:rsidRPr="00F8728A" w:rsidTr="000614A3">
        <w:trPr>
          <w:trHeight w:val="360"/>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i/>
                <w:color w:val="000000"/>
                <w:sz w:val="22"/>
              </w:rPr>
            </w:pPr>
            <w:r w:rsidRPr="00F8728A">
              <w:rPr>
                <w:rFonts w:ascii="Calibri" w:hAnsi="Calibri" w:cs="Calibri"/>
                <w:b/>
                <w:i/>
                <w:smallCaps/>
                <w:color w:val="000000"/>
                <w:sz w:val="22"/>
              </w:rPr>
              <w:t>Преразглеждане и актуализиране на изискванията за обхвата и съдържанието на основните инструменти в гореспоменатите закони и разпоредби (НКПР, схеми за пространствено развитие, устройствени планове)</w:t>
            </w:r>
          </w:p>
        </w:tc>
      </w:tr>
      <w:tr w:rsidR="00AA4661" w:rsidRPr="00F8728A" w:rsidTr="000614A3">
        <w:trPr>
          <w:jc w:val="center"/>
        </w:trPr>
        <w:tc>
          <w:tcPr>
            <w:tcW w:w="2605"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076"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80"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990"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900"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811"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893"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605"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076" w:type="dxa"/>
            <w:shd w:val="clear" w:color="auto" w:fill="FFFFFF"/>
          </w:tcPr>
          <w:p w:rsidR="00AA4661" w:rsidRPr="00F8728A" w:rsidRDefault="00AA4661" w:rsidP="00B155A6">
            <w:pPr>
              <w:spacing w:before="20" w:after="20"/>
              <w:jc w:val="center"/>
              <w:rPr>
                <w:rFonts w:ascii="Calibri" w:hAnsi="Calibri" w:cs="Calibri"/>
              </w:rPr>
            </w:pPr>
          </w:p>
        </w:tc>
        <w:tc>
          <w:tcPr>
            <w:tcW w:w="1080" w:type="dxa"/>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990" w:type="dxa"/>
            <w:shd w:val="clear" w:color="auto" w:fill="FFFFFF"/>
          </w:tcPr>
          <w:p w:rsidR="00AA4661" w:rsidRPr="00F8728A" w:rsidRDefault="00AA4661" w:rsidP="00B155A6">
            <w:pPr>
              <w:spacing w:before="20" w:after="20"/>
              <w:jc w:val="center"/>
              <w:rPr>
                <w:rFonts w:ascii="Calibri" w:hAnsi="Calibri" w:cs="Calibri"/>
              </w:rPr>
            </w:pPr>
          </w:p>
        </w:tc>
        <w:tc>
          <w:tcPr>
            <w:tcW w:w="900"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811" w:type="dxa"/>
            <w:shd w:val="clear" w:color="auto" w:fill="FFFFFF"/>
          </w:tcPr>
          <w:p w:rsidR="00AA4661" w:rsidRPr="00F8728A" w:rsidRDefault="00AA4661" w:rsidP="00B155A6">
            <w:pPr>
              <w:spacing w:before="20" w:after="20"/>
              <w:jc w:val="center"/>
              <w:rPr>
                <w:rFonts w:ascii="Calibri" w:hAnsi="Calibri" w:cs="Calibri"/>
              </w:rPr>
            </w:pPr>
          </w:p>
        </w:tc>
        <w:tc>
          <w:tcPr>
            <w:tcW w:w="1893"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r>
      <w:tr w:rsidR="00AA4661" w:rsidRPr="00F8728A" w:rsidTr="000614A3">
        <w:trPr>
          <w:trHeight w:val="1512"/>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750" w:type="dxa"/>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Този вариант би могъл да се развие след завършване на анализа за реформата на българската регионална политика и административната структура, като последната засяга ройоните от ниво 2 (NUTS2) и техните граници. Реформата на тази структура от статистически единици трябва да бъде завършена до края на септември 2018 г. и ще определи видовете и обхвата на документите за регионално и пространствено планиране. Едва тогава вариант 15 може да бъде по-добре и по-точно разработен.</w:t>
            </w:r>
          </w:p>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Същевременно в настоящите разпоредби за устройство на територията има известна възможност за включване на изисквания за подобряване на качеството на инвестиционните проекти и съответно на градската среда..</w:t>
            </w:r>
          </w:p>
        </w:tc>
      </w:tr>
      <w:tr w:rsidR="00AA4661" w:rsidRPr="00F8728A" w:rsidTr="000614A3">
        <w:trPr>
          <w:trHeight w:val="67"/>
          <w:jc w:val="center"/>
        </w:trPr>
        <w:tc>
          <w:tcPr>
            <w:tcW w:w="2605"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85"/>
          <w:jc w:val="center"/>
        </w:trPr>
        <w:tc>
          <w:tcPr>
            <w:tcW w:w="98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77"/>
          <w:jc w:val="center"/>
        </w:trPr>
        <w:tc>
          <w:tcPr>
            <w:tcW w:w="98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 -</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73"/>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750"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По-добре координирани документи за регионално и пространствено развитие и устройство на територията с целите на АИК и УРБ.</w:t>
            </w:r>
          </w:p>
        </w:tc>
      </w:tr>
      <w:tr w:rsidR="00AA4661" w:rsidRPr="00F8728A" w:rsidTr="000614A3">
        <w:trPr>
          <w:trHeight w:val="59"/>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569"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181"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Всички сектори, свързани с градската среда.</w:t>
            </w:r>
          </w:p>
        </w:tc>
      </w:tr>
      <w:tr w:rsidR="00AA4661" w:rsidRPr="00F8728A" w:rsidTr="000614A3">
        <w:trPr>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750"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w:t>
            </w:r>
          </w:p>
        </w:tc>
      </w:tr>
    </w:tbl>
    <w:p w:rsidR="00AA4661" w:rsidRPr="00F8728A" w:rsidRDefault="00AA4661" w:rsidP="00FF27EC">
      <w:pPr>
        <w:spacing w:after="0"/>
        <w:rPr>
          <w:sz w:val="8"/>
          <w:szCs w:val="8"/>
        </w:rPr>
      </w:pPr>
    </w:p>
    <w:tbl>
      <w:tblPr>
        <w:tblW w:w="5156"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903"/>
        <w:gridCol w:w="908"/>
        <w:gridCol w:w="821"/>
        <w:gridCol w:w="998"/>
        <w:gridCol w:w="1195"/>
        <w:gridCol w:w="1055"/>
        <w:gridCol w:w="1023"/>
        <w:gridCol w:w="1002"/>
        <w:gridCol w:w="1549"/>
      </w:tblGrid>
      <w:tr w:rsidR="00AA4661" w:rsidRPr="00F8728A" w:rsidTr="000614A3">
        <w:trPr>
          <w:trHeight w:val="69"/>
          <w:jc w:val="center"/>
        </w:trPr>
        <w:tc>
          <w:tcPr>
            <w:tcW w:w="5000" w:type="pct"/>
            <w:gridSpan w:val="9"/>
            <w:shd w:val="clear" w:color="auto" w:fill="A8D08D"/>
          </w:tcPr>
          <w:p w:rsidR="00AA4661" w:rsidRPr="00F8728A" w:rsidRDefault="00AA4661" w:rsidP="00CF297A">
            <w:pPr>
              <w:pStyle w:val="ListParagraph1"/>
              <w:widowControl w:val="0"/>
              <w:numPr>
                <w:ilvl w:val="0"/>
                <w:numId w:val="61"/>
              </w:numPr>
              <w:spacing w:before="20" w:after="20" w:line="240" w:lineRule="auto"/>
              <w:ind w:left="893"/>
              <w:jc w:val="both"/>
              <w:rPr>
                <w:b/>
                <w:sz w:val="20"/>
                <w:szCs w:val="22"/>
                <w:lang w:val="bg-BG" w:eastAsia="en-US"/>
              </w:rPr>
            </w:pPr>
            <w:r w:rsidRPr="00F8728A">
              <w:rPr>
                <w:rFonts w:ascii="Calibri" w:hAnsi="Calibri" w:cs="Calibri"/>
                <w:b/>
                <w:bCs/>
                <w:color w:val="000000"/>
                <w:sz w:val="24"/>
                <w:szCs w:val="22"/>
                <w:lang w:val="bg-BG" w:eastAsia="en-US"/>
              </w:rPr>
              <w:t>Категория „Финанси“</w:t>
            </w:r>
          </w:p>
        </w:tc>
      </w:tr>
      <w:tr w:rsidR="00AA4661" w:rsidRPr="00F8728A" w:rsidTr="000614A3">
        <w:trPr>
          <w:trHeight w:val="145"/>
          <w:jc w:val="center"/>
        </w:trPr>
        <w:tc>
          <w:tcPr>
            <w:tcW w:w="5000" w:type="pct"/>
            <w:gridSpan w:val="9"/>
            <w:shd w:val="clear" w:color="auto" w:fill="E2EFD9"/>
          </w:tcPr>
          <w:p w:rsidR="00AA4661" w:rsidRPr="00F8728A" w:rsidRDefault="00AA4661" w:rsidP="00B155A6">
            <w:pPr>
              <w:spacing w:before="40" w:after="40"/>
              <w:ind w:left="125"/>
              <w:jc w:val="both"/>
              <w:rPr>
                <w:b/>
                <w:bCs/>
                <w:sz w:val="22"/>
              </w:rPr>
            </w:pPr>
            <w:r w:rsidRPr="00F8728A">
              <w:rPr>
                <w:rFonts w:ascii="Calibri" w:hAnsi="Calibri" w:cs="Calibri"/>
                <w:b/>
                <w:bCs/>
                <w:color w:val="000000"/>
                <w:sz w:val="22"/>
              </w:rPr>
              <w:t>Промяна на финансовата, социалната и застрахователната политики</w:t>
            </w:r>
          </w:p>
        </w:tc>
      </w:tr>
      <w:tr w:rsidR="00AA4661" w:rsidRPr="00F8728A" w:rsidTr="000614A3">
        <w:trPr>
          <w:trHeight w:val="69"/>
          <w:jc w:val="center"/>
        </w:trPr>
        <w:tc>
          <w:tcPr>
            <w:tcW w:w="5000" w:type="pct"/>
            <w:gridSpan w:val="9"/>
          </w:tcPr>
          <w:p w:rsidR="00AA4661" w:rsidRPr="00F8728A" w:rsidRDefault="00AA4661" w:rsidP="00CF297A">
            <w:pPr>
              <w:widowControl w:val="0"/>
              <w:numPr>
                <w:ilvl w:val="0"/>
                <w:numId w:val="48"/>
              </w:numPr>
              <w:spacing w:before="40" w:after="40"/>
              <w:ind w:left="504" w:right="144"/>
              <w:jc w:val="both"/>
              <w:rPr>
                <w:rFonts w:ascii="Calibri" w:hAnsi="Calibri" w:cs="Calibri"/>
                <w:i/>
                <w:color w:val="000000"/>
                <w:sz w:val="22"/>
              </w:rPr>
            </w:pPr>
            <w:r w:rsidRPr="00F8728A">
              <w:rPr>
                <w:rFonts w:ascii="Calibri" w:hAnsi="Calibri" w:cs="Calibri"/>
                <w:b/>
                <w:i/>
                <w:smallCaps/>
                <w:color w:val="000000"/>
                <w:sz w:val="22"/>
              </w:rPr>
              <w:t>Преразглеждане на съществуващите финансови инструменти и проектиране на нови за АИК и УРБ, вкл. за енергийно обновяване</w:t>
            </w:r>
          </w:p>
        </w:tc>
      </w:tr>
      <w:tr w:rsidR="00AA4661" w:rsidRPr="00F8728A" w:rsidTr="000614A3">
        <w:trPr>
          <w:jc w:val="center"/>
        </w:trPr>
        <w:tc>
          <w:tcPr>
            <w:tcW w:w="1392" w:type="pct"/>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528"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Наднацио-нално ниво</w:t>
            </w:r>
          </w:p>
        </w:tc>
        <w:tc>
          <w:tcPr>
            <w:tcW w:w="632"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558"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541"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530"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820"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1392" w:type="pct"/>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528" w:type="pct"/>
            <w:shd w:val="clear" w:color="auto" w:fill="FFFFFF"/>
          </w:tcPr>
          <w:p w:rsidR="00AA4661" w:rsidRPr="00F8728A" w:rsidRDefault="00AA4661" w:rsidP="00B155A6">
            <w:pPr>
              <w:spacing w:before="20" w:after="20"/>
              <w:jc w:val="center"/>
              <w:rPr>
                <w:rFonts w:ascii="Calibri" w:hAnsi="Calibri" w:cs="Calibri"/>
              </w:rPr>
            </w:pPr>
          </w:p>
        </w:tc>
        <w:tc>
          <w:tcPr>
            <w:tcW w:w="632" w:type="pct"/>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558" w:type="pct"/>
            <w:shd w:val="clear" w:color="auto" w:fill="FFFFFF"/>
          </w:tcPr>
          <w:p w:rsidR="00AA4661" w:rsidRPr="00F8728A" w:rsidRDefault="00AA4661" w:rsidP="00B155A6">
            <w:pPr>
              <w:spacing w:before="20" w:after="20"/>
              <w:jc w:val="center"/>
              <w:rPr>
                <w:rFonts w:ascii="Calibri" w:hAnsi="Calibri" w:cs="Calibri"/>
              </w:rPr>
            </w:pPr>
          </w:p>
        </w:tc>
        <w:tc>
          <w:tcPr>
            <w:tcW w:w="541" w:type="pct"/>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530" w:type="pct"/>
            <w:shd w:val="clear" w:color="auto" w:fill="FFFFFF"/>
          </w:tcPr>
          <w:p w:rsidR="00AA4661" w:rsidRPr="00F8728A" w:rsidRDefault="00AA4661" w:rsidP="00B155A6">
            <w:pPr>
              <w:spacing w:before="20" w:after="20"/>
              <w:jc w:val="center"/>
              <w:rPr>
                <w:rFonts w:ascii="Calibri" w:hAnsi="Calibri" w:cs="Calibri"/>
              </w:rPr>
            </w:pPr>
          </w:p>
        </w:tc>
        <w:tc>
          <w:tcPr>
            <w:tcW w:w="820" w:type="pct"/>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r>
      <w:tr w:rsidR="00AA4661" w:rsidRPr="00F8728A" w:rsidTr="000614A3">
        <w:trPr>
          <w:trHeight w:val="3190"/>
          <w:jc w:val="center"/>
        </w:trPr>
        <w:tc>
          <w:tcPr>
            <w:tcW w:w="1392" w:type="pct"/>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3608" w:type="pct"/>
            <w:gridSpan w:val="6"/>
            <w:vMerge w:val="restart"/>
            <w:shd w:val="clear" w:color="auto" w:fill="D9D9D9"/>
          </w:tcPr>
          <w:p w:rsidR="00AA4661" w:rsidRPr="00F8728A" w:rsidRDefault="00AA4661" w:rsidP="00B155A6">
            <w:pPr>
              <w:autoSpaceDE w:val="0"/>
              <w:autoSpaceDN w:val="0"/>
              <w:adjustRightInd w:val="0"/>
              <w:spacing w:before="20" w:after="20"/>
              <w:contextualSpacing/>
              <w:jc w:val="both"/>
              <w:rPr>
                <w:rFonts w:ascii="Calibri" w:hAnsi="Calibri" w:cs="Calibri"/>
              </w:rPr>
            </w:pPr>
            <w:r w:rsidRPr="00F8728A">
              <w:rPr>
                <w:rFonts w:ascii="Calibri" w:hAnsi="Calibri" w:cs="Calibri"/>
              </w:rPr>
              <w:t xml:space="preserve">Съществуващата финансова рамка на АИК включва финансиране от държавния бюджет, от ЕСФИ чрез ОП (2014-2020) и от международни донорски организации и програми. Националните програми на МРРБ, посветени на някои от въпросите, свързани с АИК и УРБ в областта на регионалното и градското развитие, са целевата инвестиционна програма (2016), целяща подпомагане на изоставащите райони в страната и Националната програма за енергийна ефективност на жилищни сгради. Тази опция има за цел да осигури по-добро, по-справедливо и социално приемливо разпределение на тежестта между държавата, общините и собствениците на жилища. Новите финансови инструменти трябва да вземат предвид изискванията на Регламент № 1303/2013 на Европейския парламент и на Съвета от 17 декември 2013 г. относно финансирането от ЕС </w:t>
            </w:r>
            <w:hyperlink r:id="rId103" w:history="1">
              <w:r w:rsidRPr="00F8728A">
                <w:rPr>
                  <w:rFonts w:ascii="Calibri" w:hAnsi="Calibri" w:cs="Calibri"/>
                  <w:color w:val="0000FF"/>
                  <w:u w:val="single"/>
                </w:rPr>
                <w:t>http://eur-lex.europa.eu/legal-content/BG/TXT/?uri=celex:32013R1303</w:t>
              </w:r>
            </w:hyperlink>
            <w:r w:rsidRPr="00F8728A">
              <w:rPr>
                <w:rFonts w:ascii="Calibri" w:hAnsi="Calibri" w:cs="Calibri"/>
              </w:rPr>
              <w:t>), Закона за държавните помощи (ДВ No 85/24.10.2017), Закона за социално подпомагане (посл. изм. ДВ No.7/19.01.2018) ЕВропейския фонд за подпомагане на най-нуждаещите се (FEAD)</w:t>
            </w:r>
          </w:p>
          <w:p w:rsidR="00AA4661" w:rsidRPr="00F8728A" w:rsidRDefault="00BF5281" w:rsidP="00B155A6">
            <w:pPr>
              <w:autoSpaceDE w:val="0"/>
              <w:autoSpaceDN w:val="0"/>
              <w:adjustRightInd w:val="0"/>
              <w:spacing w:before="20" w:after="20"/>
              <w:contextualSpacing/>
              <w:jc w:val="both"/>
              <w:rPr>
                <w:rFonts w:ascii="Calibri" w:hAnsi="Calibri" w:cs="Calibri"/>
              </w:rPr>
            </w:pPr>
            <w:hyperlink r:id="rId104" w:history="1">
              <w:r w:rsidR="00AA4661" w:rsidRPr="00F8728A">
                <w:rPr>
                  <w:rFonts w:ascii="Calibri" w:hAnsi="Calibri" w:cs="Calibri"/>
                  <w:color w:val="0000FF"/>
                  <w:u w:val="single"/>
                </w:rPr>
                <w:t>http://ec.europa.eu/social/main.jsp?catId=1089&amp;langId=en</w:t>
              </w:r>
            </w:hyperlink>
            <w:r w:rsidR="00AA4661" w:rsidRPr="00F8728A">
              <w:rPr>
                <w:rFonts w:ascii="Calibri" w:hAnsi="Calibri" w:cs="Calibri"/>
              </w:rPr>
              <w:t xml:space="preserve"> </w:t>
            </w:r>
          </w:p>
        </w:tc>
      </w:tr>
      <w:tr w:rsidR="00AA4661" w:rsidRPr="00F8728A" w:rsidTr="000614A3">
        <w:trPr>
          <w:trHeight w:val="128"/>
          <w:jc w:val="center"/>
        </w:trPr>
        <w:tc>
          <w:tcPr>
            <w:tcW w:w="1392" w:type="pct"/>
            <w:gridSpan w:val="3"/>
            <w:shd w:val="clear" w:color="auto" w:fill="000000"/>
            <w:vAlign w:val="center"/>
          </w:tcPr>
          <w:p w:rsidR="00AA4661" w:rsidRPr="00F8728A" w:rsidRDefault="00AA4661" w:rsidP="00B155A6">
            <w:pPr>
              <w:spacing w:before="20" w:after="20"/>
              <w:jc w:val="center"/>
              <w:rPr>
                <w:rFonts w:ascii="Calibri" w:hAnsi="Calibri" w:cs="Calibri"/>
                <w:color w:val="FFFFFF"/>
                <w:sz w:val="18"/>
                <w:szCs w:val="18"/>
              </w:rPr>
            </w:pPr>
            <w:r w:rsidRPr="00F8728A">
              <w:rPr>
                <w:rFonts w:ascii="Calibri" w:hAnsi="Calibri" w:cs="Calibri"/>
                <w:color w:val="FFFFFF"/>
                <w:sz w:val="18"/>
                <w:szCs w:val="18"/>
              </w:rPr>
              <w:t>Релевантност на варианта</w:t>
            </w:r>
          </w:p>
        </w:tc>
        <w:tc>
          <w:tcPr>
            <w:tcW w:w="3608" w:type="pct"/>
            <w:gridSpan w:val="6"/>
            <w:vMerge/>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p>
        </w:tc>
      </w:tr>
      <w:tr w:rsidR="00AA4661" w:rsidRPr="00F8728A" w:rsidTr="000614A3">
        <w:trPr>
          <w:trHeight w:val="133"/>
          <w:jc w:val="center"/>
        </w:trPr>
        <w:tc>
          <w:tcPr>
            <w:tcW w:w="478"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480"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434"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3608" w:type="pct"/>
            <w:gridSpan w:val="6"/>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181"/>
          <w:jc w:val="center"/>
        </w:trPr>
        <w:tc>
          <w:tcPr>
            <w:tcW w:w="478"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480"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434"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3608" w:type="pct"/>
            <w:gridSpan w:val="6"/>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63"/>
          <w:jc w:val="center"/>
        </w:trPr>
        <w:tc>
          <w:tcPr>
            <w:tcW w:w="1392" w:type="pct"/>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3608" w:type="pct"/>
            <w:gridSpan w:val="6"/>
            <w:shd w:val="clear" w:color="auto" w:fill="F2F2F2"/>
            <w:vAlign w:val="center"/>
          </w:tcPr>
          <w:p w:rsidR="00AA4661" w:rsidRPr="00F8728A" w:rsidRDefault="00AA4661" w:rsidP="00B155A6">
            <w:pPr>
              <w:spacing w:before="20" w:after="20"/>
              <w:rPr>
                <w:rFonts w:ascii="Calibri" w:hAnsi="Calibri" w:cs="Calibri"/>
              </w:rPr>
            </w:pPr>
            <w:r w:rsidRPr="00F8728A">
              <w:rPr>
                <w:rFonts w:ascii="Calibri" w:hAnsi="Calibri" w:cs="Calibri"/>
              </w:rPr>
              <w:t>Обновяване на финансовите инструменти</w:t>
            </w:r>
          </w:p>
        </w:tc>
      </w:tr>
      <w:tr w:rsidR="00AA4661" w:rsidRPr="00F8728A" w:rsidTr="000614A3">
        <w:trPr>
          <w:trHeight w:val="59"/>
          <w:jc w:val="center"/>
        </w:trPr>
        <w:tc>
          <w:tcPr>
            <w:tcW w:w="1392" w:type="pct"/>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528" w:type="pct"/>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3081" w:type="pct"/>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 Селско и Горско стопанство.</w:t>
            </w:r>
          </w:p>
        </w:tc>
      </w:tr>
      <w:tr w:rsidR="00AA4661" w:rsidRPr="00F8728A" w:rsidTr="000614A3">
        <w:trPr>
          <w:trHeight w:val="476"/>
          <w:jc w:val="center"/>
        </w:trPr>
        <w:tc>
          <w:tcPr>
            <w:tcW w:w="1392" w:type="pct"/>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3608" w:type="pct"/>
            <w:gridSpan w:val="6"/>
            <w:shd w:val="clear" w:color="auto" w:fill="F2F2F2"/>
            <w:vAlign w:val="center"/>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 свързани с природни бедствия</w:t>
            </w:r>
          </w:p>
        </w:tc>
      </w:tr>
    </w:tbl>
    <w:p w:rsidR="00AA4661" w:rsidRPr="00F8728A" w:rsidRDefault="00AA4661" w:rsidP="00FF27EC">
      <w:pPr>
        <w:spacing w:after="0"/>
        <w:rPr>
          <w:sz w:val="10"/>
          <w:szCs w:val="10"/>
        </w:rPr>
      </w:pP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5"/>
        <w:gridCol w:w="900"/>
        <w:gridCol w:w="810"/>
        <w:gridCol w:w="1357"/>
        <w:gridCol w:w="287"/>
        <w:gridCol w:w="765"/>
        <w:gridCol w:w="995"/>
        <w:gridCol w:w="817"/>
        <w:gridCol w:w="768"/>
        <w:gridCol w:w="1761"/>
      </w:tblGrid>
      <w:tr w:rsidR="00AA4661" w:rsidRPr="00F8728A" w:rsidTr="000614A3">
        <w:trPr>
          <w:trHeight w:val="360"/>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b/>
                <w:i/>
                <w:smallCaps/>
                <w:color w:val="000000"/>
                <w:sz w:val="22"/>
              </w:rPr>
            </w:pPr>
            <w:r w:rsidRPr="00F8728A">
              <w:rPr>
                <w:rFonts w:ascii="Calibri" w:hAnsi="Calibri" w:cs="Calibri"/>
                <w:b/>
                <w:i/>
                <w:smallCaps/>
                <w:color w:val="000000"/>
                <w:sz w:val="22"/>
              </w:rPr>
              <w:t>Изследване на потенциала на фондовете на ЕС за АИК и УРБ</w:t>
            </w:r>
          </w:p>
        </w:tc>
      </w:tr>
      <w:tr w:rsidR="00AA4661" w:rsidRPr="00F8728A" w:rsidTr="000614A3">
        <w:trPr>
          <w:jc w:val="center"/>
        </w:trPr>
        <w:tc>
          <w:tcPr>
            <w:tcW w:w="2605"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35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52"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995"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81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768"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761"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605"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357" w:type="dxa"/>
            <w:shd w:val="clear" w:color="auto" w:fill="FFFFFF"/>
          </w:tcPr>
          <w:p w:rsidR="00AA4661" w:rsidRPr="00F8728A" w:rsidRDefault="00AA4661" w:rsidP="00B155A6">
            <w:pPr>
              <w:spacing w:before="20" w:after="20"/>
              <w:jc w:val="center"/>
              <w:rPr>
                <w:rFonts w:ascii="Calibri" w:hAnsi="Calibri" w:cs="Calibri"/>
              </w:rPr>
            </w:pPr>
          </w:p>
        </w:tc>
        <w:tc>
          <w:tcPr>
            <w:tcW w:w="1052" w:type="dxa"/>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995" w:type="dxa"/>
            <w:shd w:val="clear" w:color="auto" w:fill="FFFFFF"/>
          </w:tcPr>
          <w:p w:rsidR="00AA4661" w:rsidRPr="00F8728A" w:rsidRDefault="00AA4661" w:rsidP="00B155A6">
            <w:pPr>
              <w:spacing w:before="20" w:after="20"/>
              <w:jc w:val="center"/>
              <w:rPr>
                <w:rFonts w:ascii="Calibri" w:hAnsi="Calibri" w:cs="Calibri"/>
              </w:rPr>
            </w:pPr>
          </w:p>
        </w:tc>
        <w:tc>
          <w:tcPr>
            <w:tcW w:w="817"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768" w:type="dxa"/>
            <w:shd w:val="clear" w:color="auto" w:fill="FFFFFF"/>
          </w:tcPr>
          <w:p w:rsidR="00AA4661" w:rsidRPr="00F8728A" w:rsidRDefault="00AA4661" w:rsidP="00B155A6">
            <w:pPr>
              <w:spacing w:before="20" w:after="20"/>
              <w:jc w:val="center"/>
              <w:rPr>
                <w:rFonts w:ascii="Calibri" w:hAnsi="Calibri" w:cs="Calibri"/>
              </w:rPr>
            </w:pPr>
          </w:p>
        </w:tc>
        <w:tc>
          <w:tcPr>
            <w:tcW w:w="1761"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r>
      <w:tr w:rsidR="00AA4661" w:rsidRPr="00F8728A" w:rsidTr="000614A3">
        <w:trPr>
          <w:trHeight w:val="1605"/>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750" w:type="dxa"/>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Този вариант е свързан с предишния, целящ привличането на допълнителни финансови ресурси за АИК и УРБ в ситуация на нарастващи социални и икономически различия. Финансовите ресурси трябва да подкрепят разработването и прилагането на всички други варианти: да се създаде информационна и съвременна научна среда, да се въведат технологични иновации в градската среда и строителния сектор, да се развие капацитет, да се образоват и обучават целевите групи, да се подкрепят всички други варианти за изпълнение на стратегиите и плановете за АИК. Сред най-неотложните проблеми по време на процеса на консултации бе подчертано лошото оборудване на метеорологичните станции и на спасителните звена и екипи.</w:t>
            </w:r>
          </w:p>
        </w:tc>
      </w:tr>
      <w:tr w:rsidR="00AA4661" w:rsidRPr="00F8728A" w:rsidTr="000614A3">
        <w:trPr>
          <w:trHeight w:val="67"/>
          <w:jc w:val="center"/>
        </w:trPr>
        <w:tc>
          <w:tcPr>
            <w:tcW w:w="2605"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85"/>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3"/>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 -</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73"/>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750"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Добре оборудвани метеорологични станции в цялата страна за наблюдения на изменението на климата, събиране на данни и анализи; по-добре и по-безопасно оборудвани спасителни единици и бригади.</w:t>
            </w:r>
          </w:p>
        </w:tc>
      </w:tr>
      <w:tr w:rsidR="00AA4661" w:rsidRPr="00F8728A" w:rsidTr="000614A3">
        <w:trPr>
          <w:trHeight w:val="59"/>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644"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106" w:type="dxa"/>
            <w:gridSpan w:val="5"/>
            <w:shd w:val="clear" w:color="auto" w:fill="D9D9D9"/>
            <w:vAlign w:val="center"/>
          </w:tcPr>
          <w:p w:rsidR="00AA4661" w:rsidRPr="00F8728A" w:rsidRDefault="00AA4661" w:rsidP="00B155A6">
            <w:pPr>
              <w:spacing w:before="20" w:after="20"/>
              <w:rPr>
                <w:rFonts w:ascii="Calibri" w:hAnsi="Calibri" w:cs="Calibri"/>
              </w:rPr>
            </w:pPr>
            <w:r w:rsidRPr="00F8728A">
              <w:rPr>
                <w:rFonts w:ascii="Calibri" w:hAnsi="Calibri" w:cs="Calibri"/>
              </w:rPr>
              <w:t>Човешко здраве, Воден сектор, Енергетика, Транспорт</w:t>
            </w:r>
          </w:p>
        </w:tc>
      </w:tr>
      <w:tr w:rsidR="00AA4661" w:rsidRPr="00F8728A" w:rsidTr="000614A3">
        <w:trPr>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750"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w:t>
            </w:r>
          </w:p>
        </w:tc>
      </w:tr>
    </w:tbl>
    <w:p w:rsidR="00AA4661" w:rsidRPr="00F8728A" w:rsidRDefault="00AA4661" w:rsidP="00FF27EC">
      <w:pPr>
        <w:widowControl w:val="0"/>
        <w:spacing w:after="0"/>
        <w:rPr>
          <w:sz w:val="8"/>
          <w:szCs w:val="8"/>
        </w:rPr>
      </w:pP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5"/>
        <w:gridCol w:w="900"/>
        <w:gridCol w:w="810"/>
        <w:gridCol w:w="1281"/>
        <w:gridCol w:w="303"/>
        <w:gridCol w:w="773"/>
        <w:gridCol w:w="1017"/>
        <w:gridCol w:w="852"/>
        <w:gridCol w:w="900"/>
        <w:gridCol w:w="1624"/>
      </w:tblGrid>
      <w:tr w:rsidR="00AA4661" w:rsidRPr="00F8728A" w:rsidTr="000614A3">
        <w:trPr>
          <w:trHeight w:val="360"/>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i/>
                <w:color w:val="000000"/>
                <w:sz w:val="22"/>
              </w:rPr>
            </w:pPr>
            <w:r w:rsidRPr="00F8728A">
              <w:rPr>
                <w:rFonts w:ascii="Calibri" w:hAnsi="Calibri" w:cs="Calibri"/>
                <w:b/>
                <w:i/>
                <w:smallCaps/>
                <w:color w:val="000000"/>
                <w:sz w:val="22"/>
              </w:rPr>
              <w:t>Планиране на държавния бюджет и осигуряване на финансова подкрепа на общините за изпълняване на политиката за АИК</w:t>
            </w:r>
          </w:p>
        </w:tc>
      </w:tr>
      <w:tr w:rsidR="00AA4661" w:rsidRPr="00F8728A" w:rsidTr="000614A3">
        <w:trPr>
          <w:jc w:val="center"/>
        </w:trPr>
        <w:tc>
          <w:tcPr>
            <w:tcW w:w="2605"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281"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76"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101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852"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900"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624"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605"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281" w:type="dxa"/>
            <w:shd w:val="clear" w:color="auto" w:fill="FFFFFF"/>
          </w:tcPr>
          <w:p w:rsidR="00AA4661" w:rsidRPr="00F8728A" w:rsidRDefault="00AA4661" w:rsidP="00B155A6">
            <w:pPr>
              <w:spacing w:before="20" w:after="20"/>
              <w:jc w:val="center"/>
              <w:rPr>
                <w:rFonts w:ascii="Calibri" w:hAnsi="Calibri" w:cs="Calibri"/>
              </w:rPr>
            </w:pPr>
          </w:p>
        </w:tc>
        <w:tc>
          <w:tcPr>
            <w:tcW w:w="1076" w:type="dxa"/>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1017" w:type="dxa"/>
            <w:shd w:val="clear" w:color="auto" w:fill="FFFFFF"/>
          </w:tcPr>
          <w:p w:rsidR="00AA4661" w:rsidRPr="00F8728A" w:rsidRDefault="00AA4661" w:rsidP="00B155A6">
            <w:pPr>
              <w:spacing w:before="20" w:after="20"/>
              <w:jc w:val="center"/>
              <w:rPr>
                <w:rFonts w:ascii="Calibri" w:hAnsi="Calibri" w:cs="Calibri"/>
              </w:rPr>
            </w:pPr>
          </w:p>
        </w:tc>
        <w:tc>
          <w:tcPr>
            <w:tcW w:w="852"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900" w:type="dxa"/>
            <w:shd w:val="clear" w:color="auto" w:fill="FFFFFF"/>
          </w:tcPr>
          <w:p w:rsidR="00AA4661" w:rsidRPr="00F8728A" w:rsidRDefault="00AA4661" w:rsidP="00B155A6">
            <w:pPr>
              <w:spacing w:before="20" w:after="20"/>
              <w:jc w:val="center"/>
              <w:rPr>
                <w:rFonts w:ascii="Calibri" w:hAnsi="Calibri" w:cs="Calibri"/>
              </w:rPr>
            </w:pPr>
          </w:p>
        </w:tc>
        <w:tc>
          <w:tcPr>
            <w:tcW w:w="1624" w:type="dxa"/>
            <w:shd w:val="clear" w:color="auto" w:fill="FFFFFF"/>
          </w:tcPr>
          <w:p w:rsidR="00AA4661" w:rsidRPr="00F8728A" w:rsidRDefault="00AA4661" w:rsidP="00B155A6">
            <w:pPr>
              <w:spacing w:before="20" w:after="20"/>
              <w:jc w:val="center"/>
              <w:rPr>
                <w:rFonts w:ascii="Calibri" w:hAnsi="Calibri" w:cs="Calibri"/>
              </w:rPr>
            </w:pPr>
          </w:p>
        </w:tc>
      </w:tr>
      <w:tr w:rsidR="00AA4661" w:rsidRPr="00F8728A" w:rsidTr="000614A3">
        <w:trPr>
          <w:trHeight w:val="2817"/>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750" w:type="dxa"/>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Този вариант е насочен към българските общини, които се сблъскват с финансови проблеми при поддръжката на градската среда, предоставянето на социални услуги и помощи и УРБ. Като се има предвид ограниченият им административен и експертен капацитет и ограничените бюджети, тази опция има за цел да подкрепи онези общини, които не са подписали Конвента на кметовете, и да осигури качеството на техните местни документи по АИК, вместо да ги остави на случайно избрани консултанти.</w:t>
            </w:r>
          </w:p>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Малките общини се нуждаят от допълнителна методологична подкрепа (вариант 13), която е по-добре организирана на централно равнище. За планирането на действията си по АИК общините могат да намерят онлайн подкрепа чрез национална интерактивна платформа (опции 6 и/или 24), в допълнение към тази, предоставена от ЕС и инициативата Mayors Adapt.</w:t>
            </w:r>
            <w:r w:rsidRPr="00F8728A">
              <w:t xml:space="preserve"> </w:t>
            </w:r>
            <w:hyperlink r:id="rId105" w:history="1">
              <w:r w:rsidRPr="00F8728A">
                <w:rPr>
                  <w:rFonts w:ascii="Calibri" w:hAnsi="Calibri" w:cs="Calibri"/>
                  <w:color w:val="0000FF"/>
                  <w:u w:val="single"/>
                </w:rPr>
                <w:t>http://www.covenantofmayors.eu/Adaptation.html</w:t>
              </w:r>
            </w:hyperlink>
            <w:r w:rsidRPr="00F8728A">
              <w:rPr>
                <w:rFonts w:ascii="Calibri" w:hAnsi="Calibri" w:cs="Calibri"/>
              </w:rPr>
              <w:t xml:space="preserve">  </w:t>
            </w:r>
          </w:p>
          <w:p w:rsidR="00AA4661" w:rsidRPr="00F8728A" w:rsidRDefault="00BF5281" w:rsidP="00B155A6">
            <w:pPr>
              <w:autoSpaceDE w:val="0"/>
              <w:autoSpaceDN w:val="0"/>
              <w:adjustRightInd w:val="0"/>
              <w:spacing w:before="20" w:after="20"/>
              <w:jc w:val="both"/>
              <w:rPr>
                <w:rFonts w:ascii="Calibri" w:hAnsi="Calibri" w:cs="Calibri"/>
              </w:rPr>
            </w:pPr>
            <w:hyperlink r:id="rId106" w:history="1">
              <w:r w:rsidR="00AA4661" w:rsidRPr="00F8728A">
                <w:rPr>
                  <w:rFonts w:ascii="Calibri" w:hAnsi="Calibri" w:cs="Calibri"/>
                  <w:color w:val="0000FF"/>
                  <w:u w:val="single"/>
                </w:rPr>
                <w:t>http://eur-lex.europa.eu/legal-content/BG/TXT/PDF/?uri=CELEX:52015IR2592&amp;from =BG</w:t>
              </w:r>
            </w:hyperlink>
            <w:r w:rsidR="00AA4661" w:rsidRPr="00F8728A">
              <w:rPr>
                <w:rFonts w:ascii="Calibri" w:hAnsi="Calibri" w:cs="Calibri"/>
              </w:rPr>
              <w:t xml:space="preserve"> </w:t>
            </w:r>
          </w:p>
        </w:tc>
      </w:tr>
      <w:tr w:rsidR="00AA4661" w:rsidRPr="00F8728A" w:rsidTr="000614A3">
        <w:trPr>
          <w:trHeight w:val="67"/>
          <w:jc w:val="center"/>
        </w:trPr>
        <w:tc>
          <w:tcPr>
            <w:tcW w:w="2605"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85"/>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77"/>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324"/>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750" w:type="dxa"/>
            <w:gridSpan w:val="7"/>
            <w:shd w:val="clear" w:color="auto" w:fill="F2F2F2"/>
            <w:vAlign w:val="center"/>
          </w:tcPr>
          <w:p w:rsidR="00AA4661" w:rsidRPr="00F8728A" w:rsidRDefault="00AA4661" w:rsidP="00B155A6">
            <w:pPr>
              <w:spacing w:before="20" w:after="20"/>
              <w:rPr>
                <w:rFonts w:ascii="Calibri" w:hAnsi="Calibri" w:cs="Calibri"/>
              </w:rPr>
            </w:pPr>
            <w:r w:rsidRPr="00F8728A">
              <w:rPr>
                <w:rFonts w:ascii="Calibri" w:hAnsi="Calibri" w:cs="Calibri"/>
              </w:rPr>
              <w:t>Редуцирана финансова тежест на общините.</w:t>
            </w:r>
          </w:p>
        </w:tc>
      </w:tr>
      <w:tr w:rsidR="00AA4661" w:rsidRPr="00F8728A" w:rsidTr="000614A3">
        <w:trPr>
          <w:trHeight w:val="59"/>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584"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166"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 Селско стопанство.</w:t>
            </w:r>
          </w:p>
        </w:tc>
      </w:tr>
      <w:tr w:rsidR="00AA4661" w:rsidRPr="00F8728A" w:rsidTr="000614A3">
        <w:trPr>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750"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w:t>
            </w:r>
          </w:p>
        </w:tc>
      </w:tr>
    </w:tbl>
    <w:p w:rsidR="00AA4661" w:rsidRPr="00F8728A" w:rsidRDefault="00AA4661">
      <w:pPr>
        <w:widowControl w:val="0"/>
        <w:spacing w:after="0"/>
        <w:rPr>
          <w:sz w:val="8"/>
          <w:szCs w:val="8"/>
        </w:rPr>
      </w:pP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5"/>
        <w:gridCol w:w="900"/>
        <w:gridCol w:w="810"/>
        <w:gridCol w:w="1357"/>
        <w:gridCol w:w="287"/>
        <w:gridCol w:w="765"/>
        <w:gridCol w:w="995"/>
        <w:gridCol w:w="817"/>
        <w:gridCol w:w="768"/>
        <w:gridCol w:w="1761"/>
      </w:tblGrid>
      <w:tr w:rsidR="00AA4661" w:rsidRPr="00F8728A" w:rsidTr="000614A3">
        <w:trPr>
          <w:trHeight w:val="360"/>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b/>
                <w:i/>
                <w:smallCaps/>
                <w:color w:val="000000"/>
                <w:sz w:val="22"/>
              </w:rPr>
            </w:pPr>
            <w:r w:rsidRPr="00F8728A">
              <w:rPr>
                <w:rFonts w:ascii="Calibri" w:hAnsi="Calibri" w:cs="Calibri"/>
                <w:b/>
                <w:i/>
                <w:smallCaps/>
                <w:color w:val="000000"/>
                <w:sz w:val="22"/>
              </w:rPr>
              <w:t>Преразглеждане на съществуващия УРБ фонд за по-добра социална защита на най-уязвимите групи</w:t>
            </w:r>
          </w:p>
        </w:tc>
      </w:tr>
      <w:tr w:rsidR="00AA4661" w:rsidRPr="00F8728A" w:rsidTr="000614A3">
        <w:trPr>
          <w:jc w:val="center"/>
        </w:trPr>
        <w:tc>
          <w:tcPr>
            <w:tcW w:w="2605"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35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52"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995"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81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768"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761"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605"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357" w:type="dxa"/>
            <w:shd w:val="clear" w:color="auto" w:fill="FFFFFF"/>
          </w:tcPr>
          <w:p w:rsidR="00AA4661" w:rsidRPr="00F8728A" w:rsidRDefault="00AA4661" w:rsidP="00B155A6">
            <w:pPr>
              <w:spacing w:before="20" w:after="20"/>
              <w:jc w:val="center"/>
              <w:rPr>
                <w:rFonts w:ascii="Calibri" w:hAnsi="Calibri" w:cs="Calibri"/>
              </w:rPr>
            </w:pPr>
          </w:p>
        </w:tc>
        <w:tc>
          <w:tcPr>
            <w:tcW w:w="1052" w:type="dxa"/>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995" w:type="dxa"/>
            <w:shd w:val="clear" w:color="auto" w:fill="FFFFFF"/>
          </w:tcPr>
          <w:p w:rsidR="00AA4661" w:rsidRPr="00F8728A" w:rsidRDefault="00AA4661" w:rsidP="00B155A6">
            <w:pPr>
              <w:spacing w:before="20" w:after="20"/>
              <w:jc w:val="center"/>
              <w:rPr>
                <w:rFonts w:ascii="Calibri" w:hAnsi="Calibri" w:cs="Calibri"/>
              </w:rPr>
            </w:pPr>
          </w:p>
        </w:tc>
        <w:tc>
          <w:tcPr>
            <w:tcW w:w="817"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768" w:type="dxa"/>
            <w:shd w:val="clear" w:color="auto" w:fill="FFFFFF"/>
          </w:tcPr>
          <w:p w:rsidR="00AA4661" w:rsidRPr="00F8728A" w:rsidRDefault="00AA4661" w:rsidP="00B155A6">
            <w:pPr>
              <w:spacing w:before="20" w:after="20"/>
              <w:jc w:val="center"/>
              <w:rPr>
                <w:rFonts w:ascii="Calibri" w:hAnsi="Calibri" w:cs="Calibri"/>
              </w:rPr>
            </w:pPr>
          </w:p>
        </w:tc>
        <w:tc>
          <w:tcPr>
            <w:tcW w:w="1761" w:type="dxa"/>
            <w:shd w:val="clear" w:color="auto" w:fill="FFFFFF"/>
          </w:tcPr>
          <w:p w:rsidR="00AA4661" w:rsidRPr="00F8728A" w:rsidRDefault="00AA4661" w:rsidP="00B155A6">
            <w:pPr>
              <w:spacing w:before="20" w:after="20"/>
              <w:jc w:val="center"/>
              <w:rPr>
                <w:rFonts w:ascii="Calibri" w:hAnsi="Calibri" w:cs="Calibri"/>
              </w:rPr>
            </w:pPr>
          </w:p>
        </w:tc>
      </w:tr>
      <w:tr w:rsidR="00AA4661" w:rsidRPr="00F8728A" w:rsidTr="000614A3">
        <w:trPr>
          <w:trHeight w:val="2772"/>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750" w:type="dxa"/>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 xml:space="preserve">Социалното подпомагане за уязвими и социално слаби групи в България се разглежда в Закона за социално подпомагане. Законът гарантира "правото на гражданите на социално подпомагане чрез обезщетения и услуги, без да се засяга човешкото им достойнство". Социалното подпомагане се предоставя чрез парични средства и/или помощ в натура за посрещане на основните жизнени потребности или чрез социални услуги. Допълнителна възможност за тези групи на европейско равнище предлагат фонд "Солидарност" </w:t>
            </w:r>
            <w:hyperlink r:id="rId107" w:history="1">
              <w:r w:rsidRPr="00F8728A">
                <w:rPr>
                  <w:rFonts w:ascii="Calibri" w:hAnsi="Calibri" w:cs="Calibri"/>
                  <w:color w:val="0000FF"/>
                  <w:u w:val="single"/>
                </w:rPr>
                <w:t>http://ec.europa.eu/regional_policy/en/funding/solidarity-fund/</w:t>
              </w:r>
            </w:hyperlink>
            <w:r w:rsidRPr="00F8728A">
              <w:rPr>
                <w:rFonts w:ascii="Calibri" w:hAnsi="Calibri" w:cs="Calibri"/>
              </w:rPr>
              <w:t xml:space="preserve"> и ЕВропейски фонд за подпомагане на най-нуждаещите се (FEAD) </w:t>
            </w:r>
            <w:hyperlink r:id="rId108" w:history="1">
              <w:r w:rsidRPr="00F8728A">
                <w:rPr>
                  <w:rFonts w:ascii="Calibri" w:hAnsi="Calibri" w:cs="Calibri"/>
                  <w:color w:val="0000FF"/>
                  <w:u w:val="single"/>
                </w:rPr>
                <w:t>http://ec.europa.eu/social/main.jsp?catId=1089&amp;langId=en</w:t>
              </w:r>
            </w:hyperlink>
            <w:r w:rsidRPr="00F8728A">
              <w:rPr>
                <w:rFonts w:ascii="Calibri" w:hAnsi="Calibri" w:cs="Calibri"/>
              </w:rPr>
              <w:t xml:space="preserve">.  </w:t>
            </w:r>
          </w:p>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 xml:space="preserve">Вариантът е насочен към групите, идентифицирани в анализа на този доклад: "Делът на бедните през 2015 г. е бил 22%, като 25% от бедните на възраст от 0 до 17 г. Най-уязвими са едночленните домакинства на възраст 65+ (53%) и възрастни с три или повече деца на издръжка (66%). Текущите данни за бедността бяха предоставени и от анализа на Световната банка. </w:t>
            </w:r>
          </w:p>
        </w:tc>
      </w:tr>
      <w:tr w:rsidR="00AA4661" w:rsidRPr="00F8728A" w:rsidTr="000614A3">
        <w:trPr>
          <w:trHeight w:val="77"/>
          <w:jc w:val="center"/>
        </w:trPr>
        <w:tc>
          <w:tcPr>
            <w:tcW w:w="2605"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271"/>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83"/>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 - -</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294"/>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750"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Да се изследват по-добре повече идеи за социална подкрепа и за намаляване на бедността.</w:t>
            </w:r>
          </w:p>
        </w:tc>
      </w:tr>
      <w:tr w:rsidR="00AA4661" w:rsidRPr="00F8728A" w:rsidTr="000614A3">
        <w:trPr>
          <w:trHeight w:val="59"/>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644"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106"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 Селско и Горско стопанство</w:t>
            </w:r>
          </w:p>
        </w:tc>
      </w:tr>
      <w:tr w:rsidR="00AA4661" w:rsidRPr="00F8728A" w:rsidTr="000614A3">
        <w:trPr>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750"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 застрашаващи човешкото здраве и живот, собствеността и снабдяването с храна.</w:t>
            </w:r>
          </w:p>
        </w:tc>
      </w:tr>
    </w:tbl>
    <w:p w:rsidR="00AA4661" w:rsidRPr="00F8728A" w:rsidRDefault="00AA4661" w:rsidP="00FF27EC">
      <w:pPr>
        <w:spacing w:after="0"/>
        <w:rPr>
          <w:sz w:val="8"/>
          <w:szCs w:val="8"/>
        </w:rPr>
      </w:pP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5"/>
        <w:gridCol w:w="900"/>
        <w:gridCol w:w="810"/>
        <w:gridCol w:w="1357"/>
        <w:gridCol w:w="287"/>
        <w:gridCol w:w="765"/>
        <w:gridCol w:w="995"/>
        <w:gridCol w:w="817"/>
        <w:gridCol w:w="768"/>
        <w:gridCol w:w="1761"/>
      </w:tblGrid>
      <w:tr w:rsidR="00AA4661" w:rsidRPr="00F8728A" w:rsidTr="000614A3">
        <w:trPr>
          <w:trHeight w:val="360"/>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i/>
                <w:color w:val="000000"/>
                <w:sz w:val="22"/>
              </w:rPr>
            </w:pPr>
            <w:r w:rsidRPr="00F8728A">
              <w:rPr>
                <w:rFonts w:ascii="Calibri" w:hAnsi="Calibri" w:cs="Calibri"/>
                <w:b/>
                <w:i/>
                <w:smallCaps/>
                <w:color w:val="000000"/>
                <w:sz w:val="22"/>
              </w:rPr>
              <w:t>Разширяване на мерките за финансово приобщаване чрез адаптивни предпазни мрежи, условни финансови и резервни фондове за бедните и най-необлагодетелстваните лица</w:t>
            </w:r>
          </w:p>
        </w:tc>
      </w:tr>
      <w:tr w:rsidR="00AA4661" w:rsidRPr="00F8728A" w:rsidTr="000614A3">
        <w:trPr>
          <w:jc w:val="center"/>
        </w:trPr>
        <w:tc>
          <w:tcPr>
            <w:tcW w:w="2605"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35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52"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995"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81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768"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761"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605"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357" w:type="dxa"/>
            <w:shd w:val="clear" w:color="auto" w:fill="FFFFFF"/>
          </w:tcPr>
          <w:p w:rsidR="00AA4661" w:rsidRPr="00F8728A" w:rsidRDefault="00AA4661" w:rsidP="00B155A6">
            <w:pPr>
              <w:spacing w:before="20" w:after="20"/>
              <w:jc w:val="center"/>
              <w:rPr>
                <w:rFonts w:ascii="Calibri" w:hAnsi="Calibri" w:cs="Calibri"/>
              </w:rPr>
            </w:pPr>
          </w:p>
        </w:tc>
        <w:tc>
          <w:tcPr>
            <w:tcW w:w="1052" w:type="dxa"/>
            <w:gridSpan w:val="2"/>
            <w:shd w:val="clear" w:color="auto" w:fill="FFFFFF"/>
          </w:tcPr>
          <w:p w:rsidR="00AA4661" w:rsidRPr="00F8728A" w:rsidRDefault="00AA4661" w:rsidP="00B155A6">
            <w:pPr>
              <w:spacing w:before="20" w:after="20"/>
              <w:jc w:val="center"/>
              <w:rPr>
                <w:rFonts w:ascii="Calibri" w:hAnsi="Calibri" w:cs="Calibri"/>
              </w:rPr>
            </w:pPr>
          </w:p>
        </w:tc>
        <w:tc>
          <w:tcPr>
            <w:tcW w:w="995" w:type="dxa"/>
            <w:shd w:val="clear" w:color="auto" w:fill="FFFFFF"/>
          </w:tcPr>
          <w:p w:rsidR="00AA4661" w:rsidRPr="00F8728A" w:rsidRDefault="00AA4661" w:rsidP="00B155A6">
            <w:pPr>
              <w:spacing w:before="20" w:after="20"/>
              <w:jc w:val="center"/>
              <w:rPr>
                <w:rFonts w:ascii="Calibri" w:hAnsi="Calibri" w:cs="Calibri"/>
              </w:rPr>
            </w:pPr>
          </w:p>
        </w:tc>
        <w:tc>
          <w:tcPr>
            <w:tcW w:w="817"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768"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1761" w:type="dxa"/>
            <w:shd w:val="clear" w:color="auto" w:fill="FFFFFF"/>
          </w:tcPr>
          <w:p w:rsidR="00AA4661" w:rsidRPr="00F8728A" w:rsidRDefault="00AA4661" w:rsidP="00B155A6">
            <w:pPr>
              <w:spacing w:before="20" w:after="20"/>
              <w:jc w:val="center"/>
              <w:rPr>
                <w:rFonts w:ascii="Calibri" w:hAnsi="Calibri" w:cs="Calibri"/>
              </w:rPr>
            </w:pPr>
          </w:p>
        </w:tc>
      </w:tr>
      <w:tr w:rsidR="00AA4661" w:rsidRPr="00F8728A" w:rsidTr="000614A3">
        <w:trPr>
          <w:trHeight w:val="1764"/>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750" w:type="dxa"/>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Този вариант отразява приоритета на ЕС за социално сближаване, адресира се до най-бедното население в ЕС и е инспириран от доклада на Световната банка, публикуван през ноември 2016 г. "Неразрушимо: изграждане на устойчивост на бедните в условията на природни бедствия" (</w:t>
            </w:r>
            <w:hyperlink r:id="rId109" w:history="1">
              <w:r w:rsidRPr="00F8728A">
                <w:rPr>
                  <w:rFonts w:ascii="Calibri" w:hAnsi="Calibri" w:cs="Calibri"/>
                  <w:color w:val="0000FF"/>
                  <w:u w:val="single"/>
                </w:rPr>
                <w:t>https://reliefweb.int/report/world/unbreakable-building-resilience-poor-face-natural-disasters</w:t>
              </w:r>
            </w:hyperlink>
            <w:r w:rsidRPr="00F8728A">
              <w:rPr>
                <w:rFonts w:ascii="Calibri" w:hAnsi="Calibri" w:cs="Calibri"/>
              </w:rPr>
              <w:t xml:space="preserve">). </w:t>
            </w:r>
          </w:p>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Общностните мрежи за сигурност могат да намалят уязвимостта на общностите чрез засилване на сближаването и колективните действия при справянето с местните проблеми. Съществуват инициативи, свързани с УРБ, включително традиционните практики за производство на храни. Вариантът може да бъде развит паралелно с тези в т. 16 и 19.</w:t>
            </w:r>
          </w:p>
        </w:tc>
      </w:tr>
      <w:tr w:rsidR="00AA4661" w:rsidRPr="00F8728A" w:rsidTr="000614A3">
        <w:trPr>
          <w:trHeight w:val="276"/>
          <w:jc w:val="center"/>
        </w:trPr>
        <w:tc>
          <w:tcPr>
            <w:tcW w:w="2605"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279"/>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3"/>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 -</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224"/>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750"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Борба с бедността и по-добра социална защита.</w:t>
            </w:r>
          </w:p>
        </w:tc>
      </w:tr>
      <w:tr w:rsidR="00AA4661" w:rsidRPr="00F8728A" w:rsidTr="000614A3">
        <w:trPr>
          <w:trHeight w:val="59"/>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644"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106"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w:t>
            </w:r>
          </w:p>
        </w:tc>
      </w:tr>
      <w:tr w:rsidR="00AA4661" w:rsidRPr="00F8728A" w:rsidTr="000614A3">
        <w:trPr>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750"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 застрашаващи човешкото здраве и живот, собствеността и снабдяването с храна.</w:t>
            </w:r>
          </w:p>
        </w:tc>
      </w:tr>
    </w:tbl>
    <w:p w:rsidR="00485D6A" w:rsidRPr="00F8728A" w:rsidRDefault="00485D6A">
      <w:pPr>
        <w:widowControl w:val="0"/>
        <w:spacing w:after="0"/>
        <w:rPr>
          <w:sz w:val="8"/>
          <w:szCs w:val="8"/>
        </w:rPr>
      </w:pPr>
    </w:p>
    <w:p w:rsidR="00485D6A" w:rsidRPr="00F8728A" w:rsidRDefault="00485D6A">
      <w:pPr>
        <w:spacing w:after="0"/>
        <w:rPr>
          <w:sz w:val="8"/>
          <w:szCs w:val="8"/>
        </w:rPr>
      </w:pPr>
      <w:r w:rsidRPr="00F8728A">
        <w:rPr>
          <w:sz w:val="8"/>
          <w:szCs w:val="8"/>
        </w:rPr>
        <w:br w:type="page"/>
      </w: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5"/>
        <w:gridCol w:w="900"/>
        <w:gridCol w:w="810"/>
        <w:gridCol w:w="1250"/>
        <w:gridCol w:w="7"/>
        <w:gridCol w:w="1077"/>
        <w:gridCol w:w="991"/>
        <w:gridCol w:w="917"/>
        <w:gridCol w:w="976"/>
        <w:gridCol w:w="1532"/>
      </w:tblGrid>
      <w:tr w:rsidR="00AA4661" w:rsidRPr="00F8728A" w:rsidTr="000614A3">
        <w:trPr>
          <w:trHeight w:val="69"/>
          <w:jc w:val="center"/>
        </w:trPr>
        <w:tc>
          <w:tcPr>
            <w:tcW w:w="9355" w:type="dxa"/>
            <w:gridSpan w:val="10"/>
            <w:shd w:val="clear" w:color="auto" w:fill="A8D08D"/>
          </w:tcPr>
          <w:p w:rsidR="00AA4661" w:rsidRPr="00F8728A" w:rsidRDefault="00AA4661" w:rsidP="00CF297A">
            <w:pPr>
              <w:pStyle w:val="ListParagraph1"/>
              <w:widowControl w:val="0"/>
              <w:numPr>
                <w:ilvl w:val="0"/>
                <w:numId w:val="61"/>
              </w:numPr>
              <w:spacing w:before="20" w:after="20" w:line="240" w:lineRule="auto"/>
              <w:ind w:left="893"/>
              <w:jc w:val="both"/>
              <w:rPr>
                <w:b/>
                <w:sz w:val="20"/>
                <w:szCs w:val="22"/>
                <w:lang w:val="bg-BG" w:eastAsia="en-US"/>
              </w:rPr>
            </w:pPr>
            <w:r w:rsidRPr="00F8728A">
              <w:rPr>
                <w:rFonts w:ascii="Calibri" w:hAnsi="Calibri" w:cs="Calibri"/>
                <w:b/>
                <w:bCs/>
                <w:color w:val="000000"/>
                <w:sz w:val="24"/>
                <w:szCs w:val="22"/>
                <w:lang w:val="bg-BG" w:eastAsia="en-US"/>
              </w:rPr>
              <w:t>Категория „Образование“</w:t>
            </w:r>
          </w:p>
        </w:tc>
      </w:tr>
      <w:tr w:rsidR="00AA4661" w:rsidRPr="00F8728A" w:rsidTr="000614A3">
        <w:trPr>
          <w:trHeight w:val="145"/>
          <w:jc w:val="center"/>
        </w:trPr>
        <w:tc>
          <w:tcPr>
            <w:tcW w:w="9355" w:type="dxa"/>
            <w:gridSpan w:val="10"/>
            <w:shd w:val="clear" w:color="auto" w:fill="E2EFD9"/>
          </w:tcPr>
          <w:p w:rsidR="00AA4661" w:rsidRPr="00F8728A" w:rsidRDefault="00AA4661" w:rsidP="00B155A6">
            <w:pPr>
              <w:spacing w:before="20" w:after="20"/>
              <w:ind w:left="125"/>
              <w:jc w:val="both"/>
              <w:rPr>
                <w:rFonts w:ascii="Calibri" w:hAnsi="Calibri" w:cs="Calibri"/>
                <w:b/>
                <w:bCs/>
                <w:color w:val="000000"/>
                <w:sz w:val="22"/>
              </w:rPr>
            </w:pPr>
            <w:r w:rsidRPr="00F8728A">
              <w:rPr>
                <w:rFonts w:ascii="Calibri" w:hAnsi="Calibri" w:cs="Calibri"/>
                <w:b/>
                <w:bCs/>
                <w:color w:val="000000"/>
                <w:sz w:val="22"/>
              </w:rPr>
              <w:t>“Обучаване на обучаващите” за АИК</w:t>
            </w:r>
          </w:p>
        </w:tc>
      </w:tr>
      <w:tr w:rsidR="00AA4661" w:rsidRPr="00F8728A" w:rsidTr="000614A3">
        <w:trPr>
          <w:trHeight w:val="69"/>
          <w:jc w:val="center"/>
        </w:trPr>
        <w:tc>
          <w:tcPr>
            <w:tcW w:w="9355" w:type="dxa"/>
            <w:gridSpan w:val="10"/>
          </w:tcPr>
          <w:p w:rsidR="00AA4661" w:rsidRPr="00F8728A" w:rsidRDefault="00AA4661" w:rsidP="00CF297A">
            <w:pPr>
              <w:widowControl w:val="0"/>
              <w:numPr>
                <w:ilvl w:val="0"/>
                <w:numId w:val="48"/>
              </w:numPr>
              <w:spacing w:before="20" w:after="20"/>
              <w:ind w:left="504" w:right="144"/>
              <w:jc w:val="both"/>
              <w:rPr>
                <w:b/>
                <w:bCs/>
                <w:i/>
              </w:rPr>
            </w:pPr>
            <w:r w:rsidRPr="00F8728A">
              <w:rPr>
                <w:rFonts w:ascii="Calibri" w:hAnsi="Calibri" w:cs="Calibri"/>
                <w:b/>
                <w:i/>
                <w:smallCaps/>
                <w:color w:val="000000"/>
                <w:sz w:val="22"/>
              </w:rPr>
              <w:t>Организиране на обучение в подходящ формат за обучаване на всички нива – от политици до широката общественост</w:t>
            </w:r>
          </w:p>
        </w:tc>
      </w:tr>
      <w:tr w:rsidR="00AA4661" w:rsidRPr="00F8728A" w:rsidTr="000614A3">
        <w:trPr>
          <w:trHeight w:val="77"/>
          <w:jc w:val="center"/>
        </w:trPr>
        <w:tc>
          <w:tcPr>
            <w:tcW w:w="2605"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257"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7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991"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91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976"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532"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trHeight w:val="77"/>
          <w:jc w:val="center"/>
        </w:trPr>
        <w:tc>
          <w:tcPr>
            <w:tcW w:w="2605"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257" w:type="dxa"/>
            <w:gridSpan w:val="2"/>
            <w:shd w:val="clear" w:color="auto" w:fill="FFFFFF"/>
          </w:tcPr>
          <w:p w:rsidR="00AA4661" w:rsidRPr="00F8728A" w:rsidRDefault="00AA4661" w:rsidP="00B155A6">
            <w:pPr>
              <w:spacing w:after="0"/>
              <w:jc w:val="center"/>
              <w:rPr>
                <w:rFonts w:ascii="Calibri" w:hAnsi="Calibri" w:cs="Calibri"/>
                <w:sz w:val="18"/>
                <w:szCs w:val="18"/>
              </w:rPr>
            </w:pPr>
          </w:p>
        </w:tc>
        <w:tc>
          <w:tcPr>
            <w:tcW w:w="1077" w:type="dxa"/>
            <w:shd w:val="clear" w:color="auto" w:fill="FFFFFF"/>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X</w:t>
            </w:r>
          </w:p>
        </w:tc>
        <w:tc>
          <w:tcPr>
            <w:tcW w:w="991" w:type="dxa"/>
            <w:shd w:val="clear" w:color="auto" w:fill="FFFFFF"/>
          </w:tcPr>
          <w:p w:rsidR="00AA4661" w:rsidRPr="00F8728A" w:rsidRDefault="00AA4661" w:rsidP="00B155A6">
            <w:pPr>
              <w:spacing w:after="0"/>
              <w:jc w:val="center"/>
              <w:rPr>
                <w:rFonts w:ascii="Calibri" w:hAnsi="Calibri" w:cs="Calibri"/>
                <w:sz w:val="18"/>
                <w:szCs w:val="18"/>
              </w:rPr>
            </w:pPr>
          </w:p>
        </w:tc>
        <w:tc>
          <w:tcPr>
            <w:tcW w:w="917" w:type="dxa"/>
            <w:shd w:val="clear" w:color="auto" w:fill="FFFFFF"/>
          </w:tcPr>
          <w:p w:rsidR="00AA4661" w:rsidRPr="00F8728A" w:rsidRDefault="00AA4661" w:rsidP="00B155A6">
            <w:pPr>
              <w:spacing w:after="0"/>
              <w:jc w:val="center"/>
              <w:rPr>
                <w:rFonts w:ascii="Calibri" w:hAnsi="Calibri" w:cs="Calibri"/>
                <w:sz w:val="18"/>
                <w:szCs w:val="18"/>
              </w:rPr>
            </w:pPr>
          </w:p>
        </w:tc>
        <w:tc>
          <w:tcPr>
            <w:tcW w:w="976" w:type="dxa"/>
            <w:shd w:val="clear" w:color="auto" w:fill="FFFFFF"/>
          </w:tcPr>
          <w:p w:rsidR="00AA4661" w:rsidRPr="00F8728A" w:rsidRDefault="00AA4661" w:rsidP="00B155A6">
            <w:pPr>
              <w:spacing w:after="0"/>
              <w:jc w:val="center"/>
              <w:rPr>
                <w:rFonts w:ascii="Calibri" w:hAnsi="Calibri" w:cs="Calibri"/>
                <w:sz w:val="18"/>
                <w:szCs w:val="18"/>
              </w:rPr>
            </w:pPr>
          </w:p>
        </w:tc>
        <w:tc>
          <w:tcPr>
            <w:tcW w:w="1532" w:type="dxa"/>
            <w:shd w:val="clear" w:color="auto" w:fill="FFFFFF"/>
          </w:tcPr>
          <w:p w:rsidR="00AA4661" w:rsidRPr="00F8728A" w:rsidRDefault="00AA4661" w:rsidP="00B155A6">
            <w:pPr>
              <w:spacing w:after="0"/>
              <w:jc w:val="center"/>
              <w:rPr>
                <w:rFonts w:ascii="Calibri" w:hAnsi="Calibri" w:cs="Calibri"/>
                <w:sz w:val="18"/>
                <w:szCs w:val="18"/>
              </w:rPr>
            </w:pPr>
          </w:p>
        </w:tc>
      </w:tr>
      <w:tr w:rsidR="00AA4661" w:rsidRPr="00F8728A" w:rsidTr="000614A3">
        <w:trPr>
          <w:trHeight w:val="3564"/>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750" w:type="dxa"/>
            <w:gridSpan w:val="7"/>
            <w:vMerge w:val="restart"/>
            <w:shd w:val="clear" w:color="auto" w:fill="D9D9D9"/>
          </w:tcPr>
          <w:p w:rsidR="00AA4661" w:rsidRPr="00F8728A" w:rsidRDefault="00AA4661" w:rsidP="00B155A6">
            <w:pPr>
              <w:autoSpaceDE w:val="0"/>
              <w:autoSpaceDN w:val="0"/>
              <w:adjustRightInd w:val="0"/>
              <w:spacing w:before="20" w:after="20"/>
              <w:contextualSpacing/>
              <w:jc w:val="both"/>
              <w:rPr>
                <w:rFonts w:ascii="Calibri" w:hAnsi="Calibri" w:cs="Calibri"/>
              </w:rPr>
            </w:pPr>
            <w:r w:rsidRPr="00F8728A">
              <w:rPr>
                <w:rFonts w:ascii="Calibri" w:hAnsi="Calibri" w:cs="Calibri"/>
              </w:rPr>
              <w:t xml:space="preserve">Вариантът може да се развие по-лесно, ако се основава на стратегия с ясни цели, задачи и целеви групи. Отговорността за оценката на образователните потребности, за определянето на стратегическа рамка и за ръководството трябва да бъде на основния носител на информация - Министерството на образованието и науката (МОН) - със съдействието на академичната общност. Определените целеви групи за образование, обучение и преквалификация </w:t>
            </w:r>
            <w:r w:rsidR="000614A3" w:rsidRPr="00F8728A">
              <w:rPr>
                <w:rFonts w:ascii="Calibri" w:hAnsi="Calibri" w:cs="Calibri"/>
              </w:rPr>
              <w:t>са</w:t>
            </w:r>
            <w:r w:rsidRPr="00F8728A">
              <w:rPr>
                <w:rFonts w:ascii="Calibri" w:hAnsi="Calibri" w:cs="Calibri"/>
              </w:rPr>
              <w:t>:</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Политици и вземащи решения</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Регионални институции и местни администрации</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Проектанти, архитекти и инженери, ландшафтни архитекти и свързани с градската среда професионалисти (градски социолози, градски географи, градски икономисти и др.)</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Изпълнители - администрация, спасителни екипи, доброволци</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Управляващи, надзорни и контролни органи</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Широката общественост</w:t>
            </w:r>
          </w:p>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Тази опция трябва да генерира консолидиран документ относно обосновката, целите и задачите; знанията, уменията и ценностите; форма на преподаване; образователни методи и инструменти; и набор от минимални критерии за стандартите на преподаване и учене и за контрола.</w:t>
            </w:r>
          </w:p>
        </w:tc>
      </w:tr>
      <w:tr w:rsidR="00AA4661" w:rsidRPr="00F8728A" w:rsidTr="000614A3">
        <w:trPr>
          <w:trHeight w:val="128"/>
          <w:jc w:val="center"/>
        </w:trPr>
        <w:tc>
          <w:tcPr>
            <w:tcW w:w="2605" w:type="dxa"/>
            <w:gridSpan w:val="3"/>
            <w:shd w:val="clear" w:color="auto" w:fill="000000"/>
            <w:vAlign w:val="center"/>
          </w:tcPr>
          <w:p w:rsidR="00AA4661" w:rsidRPr="00F8728A" w:rsidRDefault="00AA4661" w:rsidP="00B155A6">
            <w:pPr>
              <w:spacing w:before="20" w:after="20"/>
              <w:jc w:val="center"/>
              <w:rPr>
                <w:rFonts w:ascii="Calibri" w:hAnsi="Calibri" w:cs="Calibri"/>
                <w:color w:val="FFFFFF"/>
                <w:sz w:val="18"/>
                <w:szCs w:val="18"/>
              </w:rPr>
            </w:pPr>
            <w:r w:rsidRPr="00F8728A">
              <w:rPr>
                <w:rFonts w:ascii="Calibri" w:hAnsi="Calibri" w:cs="Calibri"/>
                <w:color w:val="FFFFFF"/>
                <w:sz w:val="18"/>
                <w:szCs w:val="18"/>
              </w:rPr>
              <w:t>Релевантност на варианта</w:t>
            </w:r>
          </w:p>
        </w:tc>
        <w:tc>
          <w:tcPr>
            <w:tcW w:w="6750" w:type="dxa"/>
            <w:gridSpan w:val="7"/>
            <w:vMerge/>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p>
        </w:tc>
      </w:tr>
      <w:tr w:rsidR="00AA4661" w:rsidRPr="00F8728A" w:rsidTr="000614A3">
        <w:trPr>
          <w:trHeight w:val="135"/>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77"/>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77"/>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750"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 xml:space="preserve">Възможност за образователните институции за въвеждане на нови програми, дисциплини и модули. </w:t>
            </w:r>
          </w:p>
        </w:tc>
      </w:tr>
      <w:tr w:rsidR="00AA4661" w:rsidRPr="00F8728A" w:rsidTr="000614A3">
        <w:trPr>
          <w:trHeight w:val="77"/>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250" w:type="dxa"/>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500" w:type="dxa"/>
            <w:gridSpan w:val="6"/>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 xml:space="preserve">Човешко здраве, Воден сектор, Енергетика, Транспорт, Туризъм, Селско и Горско стопанство, Биоразнообразие </w:t>
            </w:r>
          </w:p>
        </w:tc>
      </w:tr>
      <w:tr w:rsidR="00AA4661" w:rsidRPr="00F8728A" w:rsidTr="000614A3">
        <w:trPr>
          <w:trHeight w:val="77"/>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750"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w:t>
            </w:r>
          </w:p>
        </w:tc>
      </w:tr>
    </w:tbl>
    <w:p w:rsidR="00AA4661" w:rsidRPr="00F8728A" w:rsidRDefault="00AA4661" w:rsidP="00FF27EC">
      <w:pPr>
        <w:spacing w:after="0"/>
        <w:rPr>
          <w:sz w:val="10"/>
          <w:szCs w:val="10"/>
        </w:rPr>
      </w:pP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4"/>
        <w:gridCol w:w="900"/>
        <w:gridCol w:w="810"/>
        <w:gridCol w:w="1357"/>
        <w:gridCol w:w="287"/>
        <w:gridCol w:w="11"/>
        <w:gridCol w:w="755"/>
        <w:gridCol w:w="995"/>
        <w:gridCol w:w="817"/>
        <w:gridCol w:w="768"/>
        <w:gridCol w:w="1761"/>
      </w:tblGrid>
      <w:tr w:rsidR="00AA4661" w:rsidRPr="00F8728A" w:rsidTr="000614A3">
        <w:trPr>
          <w:trHeight w:val="360"/>
          <w:jc w:val="center"/>
        </w:trPr>
        <w:tc>
          <w:tcPr>
            <w:tcW w:w="9355" w:type="dxa"/>
            <w:gridSpan w:val="11"/>
          </w:tcPr>
          <w:p w:rsidR="00AA4661" w:rsidRPr="00F8728A" w:rsidRDefault="00AA4661" w:rsidP="00CF297A">
            <w:pPr>
              <w:widowControl w:val="0"/>
              <w:numPr>
                <w:ilvl w:val="0"/>
                <w:numId w:val="48"/>
              </w:numPr>
              <w:spacing w:before="20" w:after="20"/>
              <w:ind w:left="504" w:right="144"/>
              <w:jc w:val="both"/>
              <w:rPr>
                <w:rFonts w:ascii="Calibri" w:hAnsi="Calibri" w:cs="Calibri"/>
                <w:i/>
                <w:color w:val="000000"/>
                <w:sz w:val="22"/>
              </w:rPr>
            </w:pPr>
            <w:r w:rsidRPr="00F8728A">
              <w:rPr>
                <w:rFonts w:ascii="Calibri" w:hAnsi="Calibri" w:cs="Calibri"/>
                <w:b/>
                <w:i/>
                <w:smallCaps/>
                <w:color w:val="000000"/>
                <w:sz w:val="22"/>
              </w:rPr>
              <w:t>Създаване на съвместни мултидисциплинарни курсове за урбанисти, архитекти, инженери, ландшафтни архитекти, еколози, икономисти, социолози и финансисти на ниво магистър</w:t>
            </w:r>
          </w:p>
        </w:tc>
      </w:tr>
      <w:tr w:rsidR="00AA4661" w:rsidRPr="00F8728A" w:rsidTr="000614A3">
        <w:trPr>
          <w:jc w:val="center"/>
        </w:trPr>
        <w:tc>
          <w:tcPr>
            <w:tcW w:w="2604"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35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53"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995"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81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768"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761"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604"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357" w:type="dxa"/>
            <w:shd w:val="clear" w:color="auto" w:fill="FFFFFF"/>
          </w:tcPr>
          <w:p w:rsidR="00AA4661" w:rsidRPr="00F8728A" w:rsidRDefault="00AA4661" w:rsidP="00B155A6">
            <w:pPr>
              <w:spacing w:after="0"/>
              <w:jc w:val="center"/>
              <w:rPr>
                <w:rFonts w:ascii="Calibri" w:hAnsi="Calibri" w:cs="Calibri"/>
                <w:sz w:val="18"/>
                <w:szCs w:val="18"/>
              </w:rPr>
            </w:pPr>
          </w:p>
        </w:tc>
        <w:tc>
          <w:tcPr>
            <w:tcW w:w="1053" w:type="dxa"/>
            <w:gridSpan w:val="3"/>
            <w:shd w:val="clear" w:color="auto" w:fill="FFFFFF"/>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X</w:t>
            </w:r>
          </w:p>
        </w:tc>
        <w:tc>
          <w:tcPr>
            <w:tcW w:w="995" w:type="dxa"/>
            <w:shd w:val="clear" w:color="auto" w:fill="FFFFFF"/>
          </w:tcPr>
          <w:p w:rsidR="00AA4661" w:rsidRPr="00F8728A" w:rsidRDefault="00AA4661" w:rsidP="00B155A6">
            <w:pPr>
              <w:spacing w:after="0"/>
              <w:jc w:val="center"/>
              <w:rPr>
                <w:rFonts w:ascii="Calibri" w:hAnsi="Calibri" w:cs="Calibri"/>
                <w:sz w:val="18"/>
                <w:szCs w:val="18"/>
              </w:rPr>
            </w:pPr>
          </w:p>
        </w:tc>
        <w:tc>
          <w:tcPr>
            <w:tcW w:w="817" w:type="dxa"/>
            <w:shd w:val="clear" w:color="auto" w:fill="FFFFFF"/>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X</w:t>
            </w:r>
          </w:p>
        </w:tc>
        <w:tc>
          <w:tcPr>
            <w:tcW w:w="768" w:type="dxa"/>
            <w:shd w:val="clear" w:color="auto" w:fill="FFFFFF"/>
          </w:tcPr>
          <w:p w:rsidR="00AA4661" w:rsidRPr="00F8728A" w:rsidRDefault="00AA4661" w:rsidP="00B155A6">
            <w:pPr>
              <w:spacing w:after="0"/>
              <w:jc w:val="center"/>
              <w:rPr>
                <w:rFonts w:ascii="Calibri" w:hAnsi="Calibri" w:cs="Calibri"/>
                <w:sz w:val="18"/>
                <w:szCs w:val="18"/>
              </w:rPr>
            </w:pPr>
          </w:p>
        </w:tc>
        <w:tc>
          <w:tcPr>
            <w:tcW w:w="1761" w:type="dxa"/>
            <w:shd w:val="clear" w:color="auto" w:fill="FFFFFF"/>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X</w:t>
            </w:r>
          </w:p>
        </w:tc>
      </w:tr>
      <w:tr w:rsidR="00AA4661" w:rsidRPr="00F8728A" w:rsidTr="000614A3">
        <w:trPr>
          <w:trHeight w:val="1782"/>
          <w:jc w:val="center"/>
        </w:trPr>
        <w:tc>
          <w:tcPr>
            <w:tcW w:w="2604"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751" w:type="dxa"/>
            <w:gridSpan w:val="8"/>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След като се установи общата рамка за образование и обучение и се определят основните заинтересовани страни, могат да се обсъдят различни комбинации, за да се постигнат по-добри резултати и подходящи знания, умения и отношение. Като се има предвид мултидисциплинарният и холистичен подход, трябва да се използва пълният интелектуален потенциал на образователните институции в областта на архитектурата, планирането, гражданското строителство, ландшафтната архитектура и околната среда. За управленски знания и развитие на уменията, участието на университетите в областта на икономиката ще бъде полезно. Необходими са допълнителни знания в областта на социалните науки и новите технологии. Интегрирането на ресурсите ще добави стойност и ще доведе до икономия на мащаба.</w:t>
            </w:r>
          </w:p>
        </w:tc>
      </w:tr>
      <w:tr w:rsidR="00AA4661" w:rsidRPr="00F8728A" w:rsidTr="000614A3">
        <w:trPr>
          <w:trHeight w:val="67"/>
          <w:jc w:val="center"/>
        </w:trPr>
        <w:tc>
          <w:tcPr>
            <w:tcW w:w="2604"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751" w:type="dxa"/>
            <w:gridSpan w:val="8"/>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293"/>
          <w:jc w:val="center"/>
        </w:trPr>
        <w:tc>
          <w:tcPr>
            <w:tcW w:w="894"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1" w:type="dxa"/>
            <w:gridSpan w:val="8"/>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3"/>
          <w:jc w:val="center"/>
        </w:trPr>
        <w:tc>
          <w:tcPr>
            <w:tcW w:w="894"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 -</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1" w:type="dxa"/>
            <w:gridSpan w:val="8"/>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73"/>
          <w:jc w:val="center"/>
        </w:trPr>
        <w:tc>
          <w:tcPr>
            <w:tcW w:w="2604"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751" w:type="dxa"/>
            <w:gridSpan w:val="8"/>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Добавена стойност към крайните образователни резултати от транс- и мултидисциплинарен подход, стимулирано творчество чрез трансдисциплинарен подход, по-качествено образование.</w:t>
            </w:r>
          </w:p>
        </w:tc>
      </w:tr>
      <w:tr w:rsidR="00AA4661" w:rsidRPr="00F8728A" w:rsidTr="000614A3">
        <w:trPr>
          <w:trHeight w:val="59"/>
          <w:jc w:val="center"/>
        </w:trPr>
        <w:tc>
          <w:tcPr>
            <w:tcW w:w="2604"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655" w:type="dxa"/>
            <w:gridSpan w:val="3"/>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096"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 xml:space="preserve">Човешко здраве, Воден сектор, Енергетика, Транспорт, Туризъм, Селско и Горско стопанство, Биоразнообразие. </w:t>
            </w:r>
          </w:p>
        </w:tc>
      </w:tr>
      <w:tr w:rsidR="00AA4661" w:rsidRPr="00F8728A" w:rsidTr="000614A3">
        <w:trPr>
          <w:jc w:val="center"/>
        </w:trPr>
        <w:tc>
          <w:tcPr>
            <w:tcW w:w="2604"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751" w:type="dxa"/>
            <w:gridSpan w:val="8"/>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w:t>
            </w:r>
          </w:p>
        </w:tc>
      </w:tr>
      <w:tr w:rsidR="00AA4661" w:rsidRPr="00F8728A" w:rsidTr="000614A3">
        <w:trPr>
          <w:trHeight w:val="360"/>
          <w:jc w:val="center"/>
        </w:trPr>
        <w:tc>
          <w:tcPr>
            <w:tcW w:w="9355" w:type="dxa"/>
            <w:gridSpan w:val="11"/>
          </w:tcPr>
          <w:p w:rsidR="00AA4661" w:rsidRPr="00F8728A" w:rsidRDefault="00AA4661" w:rsidP="00CF297A">
            <w:pPr>
              <w:widowControl w:val="0"/>
              <w:numPr>
                <w:ilvl w:val="0"/>
                <w:numId w:val="48"/>
              </w:numPr>
              <w:spacing w:before="40" w:after="40"/>
              <w:ind w:left="504" w:right="144"/>
              <w:jc w:val="both"/>
              <w:rPr>
                <w:rFonts w:ascii="Calibri" w:hAnsi="Calibri" w:cs="Calibri"/>
                <w:b/>
                <w:i/>
                <w:smallCaps/>
                <w:color w:val="000000"/>
                <w:sz w:val="22"/>
              </w:rPr>
            </w:pPr>
            <w:r w:rsidRPr="00F8728A">
              <w:rPr>
                <w:rFonts w:ascii="Calibri" w:hAnsi="Calibri" w:cs="Calibri"/>
                <w:b/>
                <w:i/>
                <w:smallCaps/>
                <w:color w:val="000000"/>
                <w:sz w:val="22"/>
              </w:rPr>
              <w:t>Осигуряване на обучение и организиране на тематични докторантури</w:t>
            </w:r>
          </w:p>
        </w:tc>
      </w:tr>
      <w:tr w:rsidR="00AA4661" w:rsidRPr="00F8728A" w:rsidTr="000614A3">
        <w:trPr>
          <w:jc w:val="center"/>
        </w:trPr>
        <w:tc>
          <w:tcPr>
            <w:tcW w:w="2604"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35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53"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995"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81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768"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761"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604"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357"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1053" w:type="dxa"/>
            <w:gridSpan w:val="3"/>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995" w:type="dxa"/>
            <w:shd w:val="clear" w:color="auto" w:fill="FFFFFF"/>
          </w:tcPr>
          <w:p w:rsidR="00AA4661" w:rsidRPr="00F8728A" w:rsidRDefault="00AA4661" w:rsidP="00B155A6">
            <w:pPr>
              <w:spacing w:before="20" w:after="20"/>
              <w:jc w:val="center"/>
              <w:rPr>
                <w:rFonts w:ascii="Calibri" w:hAnsi="Calibri" w:cs="Calibri"/>
              </w:rPr>
            </w:pPr>
          </w:p>
        </w:tc>
        <w:tc>
          <w:tcPr>
            <w:tcW w:w="817" w:type="dxa"/>
            <w:shd w:val="clear" w:color="auto" w:fill="FFFFFF"/>
          </w:tcPr>
          <w:p w:rsidR="00AA4661" w:rsidRPr="00F8728A" w:rsidRDefault="00AA4661" w:rsidP="00B155A6">
            <w:pPr>
              <w:spacing w:before="20" w:after="20"/>
              <w:jc w:val="center"/>
              <w:rPr>
                <w:rFonts w:ascii="Calibri" w:hAnsi="Calibri" w:cs="Calibri"/>
              </w:rPr>
            </w:pPr>
          </w:p>
        </w:tc>
        <w:tc>
          <w:tcPr>
            <w:tcW w:w="768" w:type="dxa"/>
            <w:shd w:val="clear" w:color="auto" w:fill="FFFFFF"/>
          </w:tcPr>
          <w:p w:rsidR="00AA4661" w:rsidRPr="00F8728A" w:rsidRDefault="00AA4661" w:rsidP="00B155A6">
            <w:pPr>
              <w:spacing w:before="20" w:after="20"/>
              <w:jc w:val="center"/>
              <w:rPr>
                <w:rFonts w:ascii="Calibri" w:hAnsi="Calibri" w:cs="Calibri"/>
              </w:rPr>
            </w:pPr>
          </w:p>
        </w:tc>
        <w:tc>
          <w:tcPr>
            <w:tcW w:w="1761" w:type="dxa"/>
            <w:shd w:val="clear" w:color="auto" w:fill="FFFFFF"/>
          </w:tcPr>
          <w:p w:rsidR="00AA4661" w:rsidRPr="00F8728A" w:rsidRDefault="00AA4661" w:rsidP="00B155A6">
            <w:pPr>
              <w:spacing w:before="20" w:after="20"/>
              <w:jc w:val="center"/>
              <w:rPr>
                <w:rFonts w:ascii="Calibri" w:hAnsi="Calibri" w:cs="Calibri"/>
              </w:rPr>
            </w:pPr>
          </w:p>
        </w:tc>
      </w:tr>
      <w:tr w:rsidR="00AA4661" w:rsidRPr="00F8728A" w:rsidTr="000614A3">
        <w:trPr>
          <w:trHeight w:val="1998"/>
          <w:jc w:val="center"/>
        </w:trPr>
        <w:tc>
          <w:tcPr>
            <w:tcW w:w="2604"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751" w:type="dxa"/>
            <w:gridSpan w:val="8"/>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Докторантурата за изследване на градската среда в България не се провежда в организирани курсове, а чрез индивидуални консултации и по конкретна тема, избрана от докторанта. Тези образователни и научни степени се финансират от МОН и от програми на ЕС за мобилност на студенти. Включването на темата за АИК в отделните докторантски изследвания ще предостави нови и новаторски идеи за намаляване на климатичните рискове в градската среда и за подобряване на нейната устойчивост. Успехът на варианта зависи от капацитета на образователните институции, знанията и опита на старшия академичен състав за обучение и достъп до ресурси и данни. Възможни теми за изследване могат да бъдат избрани от идентифицираните въздействия и заплахи в градската среда (глава 1 от настоящия доклад).</w:t>
            </w:r>
          </w:p>
        </w:tc>
      </w:tr>
      <w:tr w:rsidR="00AA4661" w:rsidRPr="00F8728A" w:rsidTr="000614A3">
        <w:trPr>
          <w:trHeight w:val="67"/>
          <w:jc w:val="center"/>
        </w:trPr>
        <w:tc>
          <w:tcPr>
            <w:tcW w:w="2604"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751" w:type="dxa"/>
            <w:gridSpan w:val="8"/>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398"/>
          <w:jc w:val="center"/>
        </w:trPr>
        <w:tc>
          <w:tcPr>
            <w:tcW w:w="894"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1" w:type="dxa"/>
            <w:gridSpan w:val="8"/>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3"/>
          <w:jc w:val="center"/>
        </w:trPr>
        <w:tc>
          <w:tcPr>
            <w:tcW w:w="894"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 xml:space="preserve">+++/- </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1" w:type="dxa"/>
            <w:gridSpan w:val="8"/>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73"/>
          <w:jc w:val="center"/>
        </w:trPr>
        <w:tc>
          <w:tcPr>
            <w:tcW w:w="2604"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751" w:type="dxa"/>
            <w:gridSpan w:val="8"/>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Нови хоризонти за младите изследователи; научна подкрепа за образованието и за професионалната практика</w:t>
            </w:r>
          </w:p>
        </w:tc>
      </w:tr>
      <w:tr w:rsidR="00AA4661" w:rsidRPr="00F8728A" w:rsidTr="000614A3">
        <w:trPr>
          <w:trHeight w:val="59"/>
          <w:jc w:val="center"/>
        </w:trPr>
        <w:tc>
          <w:tcPr>
            <w:tcW w:w="2604"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644"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107" w:type="dxa"/>
            <w:gridSpan w:val="6"/>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 Туризъм, Селско и Горско стопанство, Биоразнообразие.</w:t>
            </w:r>
          </w:p>
        </w:tc>
      </w:tr>
      <w:tr w:rsidR="00AA4661" w:rsidRPr="00F8728A" w:rsidTr="000614A3">
        <w:trPr>
          <w:jc w:val="center"/>
        </w:trPr>
        <w:tc>
          <w:tcPr>
            <w:tcW w:w="2604"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751" w:type="dxa"/>
            <w:gridSpan w:val="8"/>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w:t>
            </w:r>
          </w:p>
        </w:tc>
      </w:tr>
    </w:tbl>
    <w:p w:rsidR="00485D6A" w:rsidRPr="00F8728A" w:rsidRDefault="00485D6A" w:rsidP="00FF27EC">
      <w:pPr>
        <w:spacing w:after="0"/>
        <w:rPr>
          <w:sz w:val="10"/>
          <w:szCs w:val="10"/>
        </w:rPr>
      </w:pP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5"/>
        <w:gridCol w:w="900"/>
        <w:gridCol w:w="810"/>
        <w:gridCol w:w="1357"/>
        <w:gridCol w:w="287"/>
        <w:gridCol w:w="765"/>
        <w:gridCol w:w="995"/>
        <w:gridCol w:w="817"/>
        <w:gridCol w:w="768"/>
        <w:gridCol w:w="1761"/>
      </w:tblGrid>
      <w:tr w:rsidR="00AA4661" w:rsidRPr="00F8728A" w:rsidTr="000614A3">
        <w:trPr>
          <w:trHeight w:val="360"/>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i/>
                <w:color w:val="000000"/>
                <w:sz w:val="22"/>
              </w:rPr>
            </w:pPr>
            <w:r w:rsidRPr="00F8728A">
              <w:rPr>
                <w:rFonts w:ascii="Calibri" w:hAnsi="Calibri" w:cs="Calibri"/>
                <w:b/>
                <w:i/>
                <w:smallCaps/>
                <w:color w:val="000000"/>
                <w:sz w:val="22"/>
              </w:rPr>
              <w:t>Развиване на интерактивна платформа за АИК за дистанционно и отворено обучение в подкрепа на политици, администратори, професионалисти, НПО и широката общественост със специални приложения за хора с увреждания</w:t>
            </w:r>
          </w:p>
        </w:tc>
      </w:tr>
      <w:tr w:rsidR="00AA4661" w:rsidRPr="00F8728A" w:rsidTr="000614A3">
        <w:trPr>
          <w:jc w:val="center"/>
        </w:trPr>
        <w:tc>
          <w:tcPr>
            <w:tcW w:w="2605"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35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52"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995"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81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768"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761"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605"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357" w:type="dxa"/>
            <w:shd w:val="clear" w:color="auto" w:fill="FFFFFF"/>
          </w:tcPr>
          <w:p w:rsidR="00AA4661" w:rsidRPr="00F8728A" w:rsidRDefault="00AA4661" w:rsidP="00B155A6">
            <w:pPr>
              <w:spacing w:before="20" w:after="20"/>
              <w:jc w:val="center"/>
              <w:rPr>
                <w:rFonts w:ascii="Calibri" w:hAnsi="Calibri" w:cs="Calibri"/>
              </w:rPr>
            </w:pPr>
          </w:p>
        </w:tc>
        <w:tc>
          <w:tcPr>
            <w:tcW w:w="1052" w:type="dxa"/>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995" w:type="dxa"/>
            <w:shd w:val="clear" w:color="auto" w:fill="FFFFFF"/>
          </w:tcPr>
          <w:p w:rsidR="00AA4661" w:rsidRPr="00F8728A" w:rsidRDefault="00AA4661" w:rsidP="00B155A6">
            <w:pPr>
              <w:spacing w:before="20" w:after="20"/>
              <w:jc w:val="center"/>
              <w:rPr>
                <w:rFonts w:ascii="Calibri" w:hAnsi="Calibri" w:cs="Calibri"/>
              </w:rPr>
            </w:pPr>
          </w:p>
        </w:tc>
        <w:tc>
          <w:tcPr>
            <w:tcW w:w="817"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768" w:type="dxa"/>
            <w:shd w:val="clear" w:color="auto" w:fill="FFFFFF"/>
          </w:tcPr>
          <w:p w:rsidR="00AA4661" w:rsidRPr="00F8728A" w:rsidRDefault="00AA4661" w:rsidP="00B155A6">
            <w:pPr>
              <w:spacing w:before="20" w:after="20"/>
              <w:jc w:val="center"/>
              <w:rPr>
                <w:rFonts w:ascii="Calibri" w:hAnsi="Calibri" w:cs="Calibri"/>
              </w:rPr>
            </w:pPr>
          </w:p>
        </w:tc>
        <w:tc>
          <w:tcPr>
            <w:tcW w:w="1761"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r>
      <w:tr w:rsidR="00AA4661" w:rsidRPr="00F8728A" w:rsidTr="000614A3">
        <w:trPr>
          <w:trHeight w:val="2223"/>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750" w:type="dxa"/>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 xml:space="preserve">Този вариант е част от общия пакет от предложения в категорията "Образование". Той може да бъде разработен като част от мрежата на университетите за отворено/дистанционно обучение или като част от националната платформа за АИК. Той може да бъде възложен на частна фирма с опит и капацитет в областта на ИКТ и образованието, способна да развие идеята и да поддържа сайта 24 часа в денонощието. Академичният надзор и преподаването могат да бъдат делегирани на мултидисциплинарен екип от академици, изследователи и професионалисти. Програмата и персоналът трябва да бъдат акредитирани и, за да привлекат потенциални кандидати за обучение и преквалификация, някои от модулите могат да бъдат свързани с сертифициране за устойчиво планиране в градовете. Професионалните камари в страната също трябва да участват, изпълнявайки задълженията си за актуализиране на знанията  и ученето през целия живот. </w:t>
            </w:r>
          </w:p>
        </w:tc>
      </w:tr>
      <w:tr w:rsidR="00AA4661" w:rsidRPr="00F8728A" w:rsidTr="000614A3">
        <w:trPr>
          <w:trHeight w:val="77"/>
          <w:jc w:val="center"/>
        </w:trPr>
        <w:tc>
          <w:tcPr>
            <w:tcW w:w="2605"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77"/>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77"/>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 -</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73"/>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750"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Подобрен достъп до информация и знания; Подобрена работа в мрежа; по-бързо предаване на данни, резултати и извлечени поуки.</w:t>
            </w:r>
          </w:p>
        </w:tc>
      </w:tr>
      <w:tr w:rsidR="00AA4661" w:rsidRPr="00F8728A" w:rsidTr="000614A3">
        <w:trPr>
          <w:trHeight w:val="59"/>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644"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106"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Всички свързани с градската среда сектори, дейности и политики</w:t>
            </w:r>
          </w:p>
        </w:tc>
      </w:tr>
      <w:tr w:rsidR="00AA4661" w:rsidRPr="00F8728A" w:rsidTr="000614A3">
        <w:trPr>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750"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 отразяващи се на човешкото здраве, градската среда, градската инфраструктура, градския транспорт, градските открити пространства и сгради, градската зелена система и градските услуги.</w:t>
            </w:r>
          </w:p>
        </w:tc>
      </w:tr>
    </w:tbl>
    <w:p w:rsidR="00AA4661" w:rsidRPr="00F8728A" w:rsidRDefault="00AA4661" w:rsidP="00FF27EC">
      <w:pPr>
        <w:spacing w:after="0"/>
        <w:rPr>
          <w:sz w:val="10"/>
          <w:szCs w:val="10"/>
        </w:rPr>
      </w:pPr>
    </w:p>
    <w:p w:rsidR="00485D6A" w:rsidRPr="00F8728A" w:rsidRDefault="00485D6A">
      <w:pPr>
        <w:spacing w:after="0"/>
        <w:rPr>
          <w:sz w:val="10"/>
          <w:szCs w:val="10"/>
        </w:rPr>
      </w:pPr>
      <w:r w:rsidRPr="00F8728A">
        <w:rPr>
          <w:sz w:val="10"/>
          <w:szCs w:val="10"/>
        </w:rPr>
        <w:br w:type="page"/>
      </w: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5"/>
        <w:gridCol w:w="896"/>
        <w:gridCol w:w="814"/>
        <w:gridCol w:w="1110"/>
        <w:gridCol w:w="135"/>
        <w:gridCol w:w="920"/>
        <w:gridCol w:w="1044"/>
        <w:gridCol w:w="1027"/>
        <w:gridCol w:w="980"/>
        <w:gridCol w:w="1534"/>
      </w:tblGrid>
      <w:tr w:rsidR="00AA4661" w:rsidRPr="00F8728A" w:rsidTr="000614A3">
        <w:trPr>
          <w:trHeight w:val="69"/>
          <w:jc w:val="center"/>
        </w:trPr>
        <w:tc>
          <w:tcPr>
            <w:tcW w:w="9355" w:type="dxa"/>
            <w:gridSpan w:val="10"/>
            <w:shd w:val="clear" w:color="auto" w:fill="A8D08D"/>
          </w:tcPr>
          <w:p w:rsidR="00AA4661" w:rsidRPr="00F8728A" w:rsidRDefault="00AA4661" w:rsidP="00CF297A">
            <w:pPr>
              <w:pStyle w:val="ListParagraph1"/>
              <w:widowControl w:val="0"/>
              <w:numPr>
                <w:ilvl w:val="0"/>
                <w:numId w:val="61"/>
              </w:numPr>
              <w:spacing w:before="20" w:after="20" w:line="240" w:lineRule="auto"/>
              <w:ind w:left="893"/>
              <w:jc w:val="both"/>
              <w:rPr>
                <w:b/>
                <w:sz w:val="20"/>
                <w:szCs w:val="22"/>
                <w:lang w:val="bg-BG" w:eastAsia="en-US"/>
              </w:rPr>
            </w:pPr>
            <w:r w:rsidRPr="00F8728A">
              <w:rPr>
                <w:rFonts w:ascii="Calibri" w:hAnsi="Calibri" w:cs="Calibri"/>
                <w:b/>
                <w:bCs/>
                <w:color w:val="000000"/>
                <w:sz w:val="24"/>
                <w:szCs w:val="22"/>
                <w:lang w:val="bg-BG" w:eastAsia="en-US"/>
              </w:rPr>
              <w:t>Категория „Технология/Строителство“</w:t>
            </w:r>
          </w:p>
        </w:tc>
      </w:tr>
      <w:tr w:rsidR="00AA4661" w:rsidRPr="00F8728A" w:rsidTr="000614A3">
        <w:trPr>
          <w:trHeight w:val="145"/>
          <w:jc w:val="center"/>
        </w:trPr>
        <w:tc>
          <w:tcPr>
            <w:tcW w:w="9355" w:type="dxa"/>
            <w:gridSpan w:val="10"/>
            <w:shd w:val="clear" w:color="auto" w:fill="E2EFD9"/>
          </w:tcPr>
          <w:p w:rsidR="00AA4661" w:rsidRPr="00F8728A" w:rsidRDefault="00AA4661" w:rsidP="00B155A6">
            <w:pPr>
              <w:spacing w:before="40" w:after="40"/>
              <w:ind w:left="125"/>
              <w:jc w:val="both"/>
              <w:rPr>
                <w:rFonts w:ascii="Calibri" w:hAnsi="Calibri" w:cs="Calibri"/>
                <w:b/>
                <w:bCs/>
                <w:color w:val="000000"/>
                <w:sz w:val="22"/>
              </w:rPr>
            </w:pPr>
            <w:r w:rsidRPr="00F8728A">
              <w:rPr>
                <w:rFonts w:ascii="Calibri" w:hAnsi="Calibri" w:cs="Calibri"/>
                <w:b/>
                <w:bCs/>
                <w:color w:val="000000"/>
                <w:sz w:val="22"/>
              </w:rPr>
              <w:t>Прилагане на нови Еврокодове и технически норми в планирането, проектирането, технологиите на изграждане и строителните материали</w:t>
            </w:r>
          </w:p>
        </w:tc>
      </w:tr>
      <w:tr w:rsidR="00AA4661" w:rsidRPr="00F8728A" w:rsidTr="000614A3">
        <w:trPr>
          <w:trHeight w:val="69"/>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b/>
                <w:i/>
                <w:smallCaps/>
                <w:color w:val="000000"/>
                <w:sz w:val="22"/>
              </w:rPr>
            </w:pPr>
            <w:r w:rsidRPr="00F8728A">
              <w:rPr>
                <w:rFonts w:ascii="Calibri" w:hAnsi="Calibri" w:cs="Calibri"/>
                <w:b/>
                <w:i/>
                <w:smallCaps/>
                <w:color w:val="000000"/>
                <w:sz w:val="22"/>
              </w:rPr>
              <w:t>Подобряване на строителния надзор и този върху поддръжката, наблюдение и контрол и TQM системи за проекти и строителство</w:t>
            </w:r>
          </w:p>
        </w:tc>
      </w:tr>
      <w:tr w:rsidR="00AA4661" w:rsidRPr="00F8728A" w:rsidTr="000614A3">
        <w:trPr>
          <w:jc w:val="center"/>
        </w:trPr>
        <w:tc>
          <w:tcPr>
            <w:tcW w:w="2605"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110"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Наднацио-нално ниво</w:t>
            </w:r>
          </w:p>
        </w:tc>
        <w:tc>
          <w:tcPr>
            <w:tcW w:w="1055"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1044"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102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980"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534"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605"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110" w:type="dxa"/>
            <w:shd w:val="clear" w:color="auto" w:fill="FFFFFF"/>
          </w:tcPr>
          <w:p w:rsidR="00AA4661" w:rsidRPr="00F8728A" w:rsidRDefault="00AA4661" w:rsidP="00B155A6">
            <w:pPr>
              <w:spacing w:before="20" w:after="20"/>
              <w:jc w:val="center"/>
              <w:rPr>
                <w:rFonts w:ascii="Calibri" w:hAnsi="Calibri" w:cs="Calibri"/>
              </w:rPr>
            </w:pPr>
          </w:p>
        </w:tc>
        <w:tc>
          <w:tcPr>
            <w:tcW w:w="1055" w:type="dxa"/>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1044" w:type="dxa"/>
            <w:shd w:val="clear" w:color="auto" w:fill="FFFFFF"/>
          </w:tcPr>
          <w:p w:rsidR="00AA4661" w:rsidRPr="00F8728A" w:rsidRDefault="00AA4661" w:rsidP="00B155A6">
            <w:pPr>
              <w:spacing w:before="20" w:after="20"/>
              <w:jc w:val="center"/>
              <w:rPr>
                <w:rFonts w:ascii="Calibri" w:hAnsi="Calibri" w:cs="Calibri"/>
              </w:rPr>
            </w:pPr>
          </w:p>
        </w:tc>
        <w:tc>
          <w:tcPr>
            <w:tcW w:w="1027"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980"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1534"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r>
      <w:tr w:rsidR="00AA4661" w:rsidRPr="00F8728A" w:rsidTr="000614A3">
        <w:trPr>
          <w:trHeight w:val="1890"/>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750" w:type="dxa"/>
            <w:gridSpan w:val="7"/>
            <w:vMerge w:val="restart"/>
            <w:shd w:val="clear" w:color="auto" w:fill="D9D9D9"/>
          </w:tcPr>
          <w:p w:rsidR="00AA4661" w:rsidRPr="00F8728A" w:rsidRDefault="00AA4661" w:rsidP="00B155A6">
            <w:pPr>
              <w:autoSpaceDE w:val="0"/>
              <w:autoSpaceDN w:val="0"/>
              <w:adjustRightInd w:val="0"/>
              <w:spacing w:before="20" w:after="20"/>
              <w:contextualSpacing/>
              <w:jc w:val="both"/>
              <w:rPr>
                <w:rFonts w:ascii="Calibri" w:hAnsi="Calibri" w:cs="Calibri"/>
              </w:rPr>
            </w:pPr>
            <w:r w:rsidRPr="00F8728A">
              <w:rPr>
                <w:rFonts w:ascii="Calibri" w:hAnsi="Calibri" w:cs="Calibri"/>
              </w:rPr>
              <w:t>Системата за цялостно управление на качеството (TQM) в планирането, проектирането и изграждането има нова рамка, отразяваща развитието на ИКТ и глобализацията на услугите за планиране и проектиране, както и на строителната индустрия. Вариантът може да бъде разработен и приложен във връзка с:</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Планиране, мониторинг и контрол на проектирането</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Изпълнение на приетите политики, планове, програми и проекти</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Управление на застроената градска среда</w:t>
            </w:r>
          </w:p>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Съществена част от подобрената система за управление на качеството трябва да бъдат установените устойчиви градове и зелените сертификати за сгради. Част от тези системи са българските организации за устойчиво планиране и проектиране (</w:t>
            </w:r>
            <w:hyperlink r:id="rId110" w:history="1">
              <w:r w:rsidRPr="00F8728A">
                <w:rPr>
                  <w:rFonts w:ascii="Calibri" w:hAnsi="Calibri" w:cs="Calibri"/>
                  <w:color w:val="0000FF"/>
                  <w:u w:val="single"/>
                </w:rPr>
                <w:t>https://new.usgbc.org/leed</w:t>
              </w:r>
            </w:hyperlink>
            <w:r w:rsidRPr="00F8728A">
              <w:rPr>
                <w:rFonts w:ascii="Calibri" w:hAnsi="Calibri" w:cs="Calibri"/>
              </w:rPr>
              <w:t>).</w:t>
            </w:r>
          </w:p>
        </w:tc>
      </w:tr>
      <w:tr w:rsidR="00AA4661" w:rsidRPr="00F8728A" w:rsidTr="000614A3">
        <w:trPr>
          <w:trHeight w:val="128"/>
          <w:jc w:val="center"/>
        </w:trPr>
        <w:tc>
          <w:tcPr>
            <w:tcW w:w="2605" w:type="dxa"/>
            <w:gridSpan w:val="3"/>
            <w:shd w:val="clear" w:color="auto" w:fill="000000"/>
            <w:vAlign w:val="center"/>
          </w:tcPr>
          <w:p w:rsidR="00AA4661" w:rsidRPr="00F8728A" w:rsidRDefault="00AA4661" w:rsidP="00B155A6">
            <w:pPr>
              <w:spacing w:before="20" w:after="20"/>
              <w:jc w:val="center"/>
              <w:rPr>
                <w:rFonts w:ascii="Calibri" w:hAnsi="Calibri" w:cs="Calibri"/>
                <w:color w:val="FFFFFF"/>
                <w:sz w:val="18"/>
                <w:szCs w:val="18"/>
              </w:rPr>
            </w:pPr>
            <w:r w:rsidRPr="00F8728A">
              <w:rPr>
                <w:rFonts w:ascii="Calibri" w:hAnsi="Calibri" w:cs="Calibri"/>
                <w:color w:val="FFFFFF"/>
                <w:sz w:val="18"/>
                <w:szCs w:val="18"/>
              </w:rPr>
              <w:t>Релевантност на варианта</w:t>
            </w:r>
          </w:p>
        </w:tc>
        <w:tc>
          <w:tcPr>
            <w:tcW w:w="6750" w:type="dxa"/>
            <w:gridSpan w:val="7"/>
            <w:vMerge/>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p>
        </w:tc>
      </w:tr>
      <w:tr w:rsidR="00AA4661" w:rsidRPr="00F8728A" w:rsidTr="000614A3">
        <w:trPr>
          <w:trHeight w:val="133"/>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896"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4"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318"/>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96"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4"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63"/>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750"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 xml:space="preserve">Подобрен надзор, мониторинг и контрол на строителството и поддръжката, водещи до по-устойчива и по-здрава среда. </w:t>
            </w:r>
          </w:p>
        </w:tc>
      </w:tr>
      <w:tr w:rsidR="00AA4661" w:rsidRPr="00F8728A" w:rsidTr="000614A3">
        <w:trPr>
          <w:trHeight w:val="59"/>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245"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505"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 xml:space="preserve">Човешко здраве, Воден сектор, Енергетика, Транспорт, </w:t>
            </w:r>
          </w:p>
        </w:tc>
      </w:tr>
      <w:tr w:rsidR="00AA4661" w:rsidRPr="00F8728A" w:rsidTr="000614A3">
        <w:trPr>
          <w:trHeight w:val="266"/>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750"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 засягащи сгради, градска инфраструктура, градски услуги.</w:t>
            </w:r>
          </w:p>
        </w:tc>
      </w:tr>
    </w:tbl>
    <w:p w:rsidR="00AA4661" w:rsidRPr="00F8728A" w:rsidRDefault="00AA4661" w:rsidP="00737CBF">
      <w:pPr>
        <w:spacing w:after="0"/>
        <w:rPr>
          <w:sz w:val="8"/>
          <w:szCs w:val="8"/>
        </w:rPr>
      </w:pP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5"/>
        <w:gridCol w:w="86"/>
        <w:gridCol w:w="814"/>
        <w:gridCol w:w="86"/>
        <w:gridCol w:w="724"/>
        <w:gridCol w:w="86"/>
        <w:gridCol w:w="1271"/>
        <w:gridCol w:w="288"/>
        <w:gridCol w:w="14"/>
        <w:gridCol w:w="750"/>
        <w:gridCol w:w="995"/>
        <w:gridCol w:w="817"/>
        <w:gridCol w:w="95"/>
        <w:gridCol w:w="673"/>
        <w:gridCol w:w="137"/>
        <w:gridCol w:w="1624"/>
      </w:tblGrid>
      <w:tr w:rsidR="00AA4661" w:rsidRPr="00F8728A" w:rsidTr="000614A3">
        <w:trPr>
          <w:trHeight w:val="360"/>
          <w:jc w:val="center"/>
        </w:trPr>
        <w:tc>
          <w:tcPr>
            <w:tcW w:w="9355" w:type="dxa"/>
            <w:gridSpan w:val="16"/>
          </w:tcPr>
          <w:p w:rsidR="00AA4661" w:rsidRPr="00F8728A" w:rsidRDefault="00AA4661" w:rsidP="00CF297A">
            <w:pPr>
              <w:widowControl w:val="0"/>
              <w:numPr>
                <w:ilvl w:val="0"/>
                <w:numId w:val="48"/>
              </w:numPr>
              <w:spacing w:before="40" w:after="40"/>
              <w:ind w:left="504" w:right="144"/>
              <w:jc w:val="both"/>
              <w:rPr>
                <w:rFonts w:ascii="Calibri" w:hAnsi="Calibri" w:cs="Calibri"/>
                <w:i/>
                <w:color w:val="000000"/>
                <w:sz w:val="22"/>
              </w:rPr>
            </w:pPr>
            <w:r w:rsidRPr="00F8728A">
              <w:rPr>
                <w:rFonts w:ascii="Calibri" w:hAnsi="Calibri" w:cs="Calibri"/>
                <w:b/>
                <w:i/>
                <w:smallCaps/>
                <w:color w:val="000000"/>
                <w:sz w:val="22"/>
              </w:rPr>
              <w:t>Стимулиране на креативен градски дизайн, устойчив на измененията на климата</w:t>
            </w:r>
          </w:p>
        </w:tc>
      </w:tr>
      <w:tr w:rsidR="00AA4661" w:rsidRPr="00F8728A" w:rsidTr="000614A3">
        <w:trPr>
          <w:jc w:val="center"/>
        </w:trPr>
        <w:tc>
          <w:tcPr>
            <w:tcW w:w="2605" w:type="dxa"/>
            <w:gridSpan w:val="5"/>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357"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52"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995"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912"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810"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624"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605" w:type="dxa"/>
            <w:gridSpan w:val="5"/>
            <w:vMerge/>
            <w:shd w:val="clear" w:color="auto" w:fill="F2F2F2"/>
            <w:vAlign w:val="center"/>
          </w:tcPr>
          <w:p w:rsidR="00AA4661" w:rsidRPr="00F8728A" w:rsidRDefault="00AA4661" w:rsidP="00B155A6">
            <w:pPr>
              <w:spacing w:before="20" w:after="20"/>
              <w:jc w:val="center"/>
              <w:rPr>
                <w:rFonts w:ascii="Calibri" w:hAnsi="Calibri" w:cs="Calibri"/>
              </w:rPr>
            </w:pPr>
          </w:p>
        </w:tc>
        <w:tc>
          <w:tcPr>
            <w:tcW w:w="1357" w:type="dxa"/>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1052" w:type="dxa"/>
            <w:gridSpan w:val="3"/>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995" w:type="dxa"/>
            <w:shd w:val="clear" w:color="auto" w:fill="FFFFFF"/>
          </w:tcPr>
          <w:p w:rsidR="00AA4661" w:rsidRPr="00F8728A" w:rsidRDefault="00AA4661" w:rsidP="00B155A6">
            <w:pPr>
              <w:spacing w:before="20" w:after="20"/>
              <w:jc w:val="center"/>
              <w:rPr>
                <w:rFonts w:ascii="Calibri" w:hAnsi="Calibri" w:cs="Calibri"/>
              </w:rPr>
            </w:pPr>
          </w:p>
        </w:tc>
        <w:tc>
          <w:tcPr>
            <w:tcW w:w="912" w:type="dxa"/>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810" w:type="dxa"/>
            <w:gridSpan w:val="2"/>
            <w:shd w:val="clear" w:color="auto" w:fill="FFFFFF"/>
          </w:tcPr>
          <w:p w:rsidR="00AA4661" w:rsidRPr="00F8728A" w:rsidRDefault="00AA4661" w:rsidP="00B155A6">
            <w:pPr>
              <w:spacing w:before="20" w:after="20"/>
              <w:jc w:val="center"/>
              <w:rPr>
                <w:rFonts w:ascii="Calibri" w:hAnsi="Calibri" w:cs="Calibri"/>
              </w:rPr>
            </w:pPr>
          </w:p>
        </w:tc>
        <w:tc>
          <w:tcPr>
            <w:tcW w:w="1624" w:type="dxa"/>
            <w:shd w:val="clear" w:color="auto" w:fill="FFFFFF"/>
          </w:tcPr>
          <w:p w:rsidR="00AA4661" w:rsidRPr="00F8728A" w:rsidRDefault="00AA4661" w:rsidP="00B155A6">
            <w:pPr>
              <w:spacing w:before="20" w:after="20"/>
              <w:jc w:val="center"/>
              <w:rPr>
                <w:rFonts w:ascii="Calibri" w:hAnsi="Calibri" w:cs="Calibri"/>
              </w:rPr>
            </w:pPr>
          </w:p>
        </w:tc>
      </w:tr>
      <w:tr w:rsidR="00AA4661" w:rsidRPr="00F8728A" w:rsidTr="000614A3">
        <w:trPr>
          <w:trHeight w:val="3186"/>
          <w:jc w:val="center"/>
        </w:trPr>
        <w:tc>
          <w:tcPr>
            <w:tcW w:w="2605" w:type="dxa"/>
            <w:gridSpan w:val="5"/>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750" w:type="dxa"/>
            <w:gridSpan w:val="11"/>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 xml:space="preserve">Този вариант предлага добри примери за устройствено планиране и проектиране, устойчиви на изменението на климата, за стимулиране на професионалните практики и насърчаване на бизнес общности да инвестират в подпомагане на креативността. Такива инициативи са част от световни, европейски конкурси и награди (ECTP </w:t>
            </w:r>
            <w:hyperlink r:id="rId111" w:history="1">
              <w:r w:rsidRPr="00F8728A">
                <w:rPr>
                  <w:rFonts w:ascii="Calibri" w:hAnsi="Calibri" w:cs="Calibri"/>
                  <w:color w:val="0000FF"/>
                  <w:u w:val="single"/>
                </w:rPr>
                <w:t>http://www.ectp-ceu.eu/index.php/en/9-news/news-archive/244-the-9th-planning-awards-29</w:t>
              </w:r>
            </w:hyperlink>
            <w:r w:rsidRPr="00F8728A">
              <w:rPr>
                <w:rFonts w:ascii="Calibri" w:hAnsi="Calibri" w:cs="Calibri"/>
              </w:rPr>
              <w:t xml:space="preserve"> и RTPI </w:t>
            </w:r>
            <w:hyperlink r:id="rId112" w:history="1">
              <w:r w:rsidRPr="00F8728A">
                <w:rPr>
                  <w:rFonts w:ascii="Calibri" w:hAnsi="Calibri" w:cs="Calibri"/>
                  <w:color w:val="0000FF"/>
                  <w:u w:val="single"/>
                </w:rPr>
                <w:t>http://www.rtpi.org.uk/events/awards/</w:t>
              </w:r>
            </w:hyperlink>
            <w:r w:rsidRPr="00F8728A">
              <w:rPr>
                <w:rFonts w:ascii="Calibri" w:hAnsi="Calibri" w:cs="Calibri"/>
              </w:rPr>
              <w:t>),  национални и локални конкурси (София Пловдив, Варна, Бургас, Стара Загора), организирани от престижни професионални организации с подкрепата на медиите и бизнеса.  Финансови стимули или стипендии за млади и обещаващи архитекти, инженери и проектанти също попадат в тази категория (</w:t>
            </w:r>
            <w:hyperlink r:id="rId113" w:history="1">
              <w:r w:rsidRPr="00F8728A">
                <w:rPr>
                  <w:rFonts w:ascii="Calibri" w:hAnsi="Calibri" w:cs="Calibri"/>
                  <w:color w:val="0000FF"/>
                  <w:u w:val="single"/>
                </w:rPr>
                <w:t>http://www.scholars4dev.com/20513/go-green-in-the-city-2017/</w:t>
              </w:r>
            </w:hyperlink>
            <w:r w:rsidRPr="00F8728A">
              <w:rPr>
                <w:rFonts w:ascii="Calibri" w:hAnsi="Calibri" w:cs="Calibri"/>
              </w:rPr>
              <w:t>)  Някои от събитията могат да бъдат тематично ориентирани към основните елементи на Тематичната рамка за устойчивост на градовете. Най-подходящи за градско планиране и проектиране са "Здравеопазване и благоденствие" и "Инфраструктура и околна среда".</w:t>
            </w:r>
          </w:p>
          <w:p w:rsidR="00AA4661" w:rsidRPr="00F8728A" w:rsidRDefault="00BF5281" w:rsidP="00B155A6">
            <w:pPr>
              <w:autoSpaceDE w:val="0"/>
              <w:autoSpaceDN w:val="0"/>
              <w:adjustRightInd w:val="0"/>
              <w:spacing w:before="20" w:after="20"/>
              <w:jc w:val="both"/>
              <w:rPr>
                <w:rFonts w:ascii="Calibri" w:hAnsi="Calibri" w:cs="Calibri"/>
              </w:rPr>
            </w:pPr>
            <w:hyperlink r:id="rId114" w:history="1">
              <w:r w:rsidR="00AA4661" w:rsidRPr="00F8728A">
                <w:rPr>
                  <w:rFonts w:ascii="Calibri" w:hAnsi="Calibri" w:cs="Calibri"/>
                  <w:color w:val="0000FF"/>
                  <w:u w:val="single"/>
                </w:rPr>
                <w:t>http://www.100resilientcities.org/resources/</w:t>
              </w:r>
            </w:hyperlink>
            <w:r w:rsidR="00AA4661" w:rsidRPr="00F8728A">
              <w:rPr>
                <w:rFonts w:ascii="Calibri" w:hAnsi="Calibri" w:cs="Calibri"/>
              </w:rPr>
              <w:t xml:space="preserve"> </w:t>
            </w:r>
          </w:p>
        </w:tc>
      </w:tr>
      <w:tr w:rsidR="00AA4661" w:rsidRPr="00F8728A" w:rsidTr="000614A3">
        <w:trPr>
          <w:trHeight w:val="67"/>
          <w:jc w:val="center"/>
        </w:trPr>
        <w:tc>
          <w:tcPr>
            <w:tcW w:w="2605" w:type="dxa"/>
            <w:gridSpan w:val="5"/>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750" w:type="dxa"/>
            <w:gridSpan w:val="11"/>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307"/>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900" w:type="dxa"/>
            <w:gridSpan w:val="2"/>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gridSpan w:val="2"/>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0" w:type="dxa"/>
            <w:gridSpan w:val="11"/>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127"/>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 -</w:t>
            </w:r>
          </w:p>
        </w:tc>
        <w:tc>
          <w:tcPr>
            <w:tcW w:w="900" w:type="dxa"/>
            <w:gridSpan w:val="2"/>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gridSpan w:val="2"/>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0" w:type="dxa"/>
            <w:gridSpan w:val="11"/>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73"/>
          <w:jc w:val="center"/>
        </w:trPr>
        <w:tc>
          <w:tcPr>
            <w:tcW w:w="2605" w:type="dxa"/>
            <w:gridSpan w:val="5"/>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750" w:type="dxa"/>
            <w:gridSpan w:val="11"/>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Очакваните резултати биха могли да донесат повече ефективност в цялостното планиране и проектиране и професионалните практики, като по този начин ще направят градовете по-устойчиви на изменението на климата.</w:t>
            </w:r>
          </w:p>
        </w:tc>
      </w:tr>
      <w:tr w:rsidR="00AA4661" w:rsidRPr="00F8728A" w:rsidTr="000614A3">
        <w:trPr>
          <w:trHeight w:val="59"/>
          <w:jc w:val="center"/>
        </w:trPr>
        <w:tc>
          <w:tcPr>
            <w:tcW w:w="2605" w:type="dxa"/>
            <w:gridSpan w:val="5"/>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659" w:type="dxa"/>
            <w:gridSpan w:val="4"/>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091" w:type="dxa"/>
            <w:gridSpan w:val="7"/>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Всички сектори, свързани с градската среда</w:t>
            </w:r>
          </w:p>
        </w:tc>
      </w:tr>
      <w:tr w:rsidR="00AA4661" w:rsidRPr="00F8728A" w:rsidTr="000614A3">
        <w:trPr>
          <w:jc w:val="center"/>
        </w:trPr>
        <w:tc>
          <w:tcPr>
            <w:tcW w:w="2605" w:type="dxa"/>
            <w:gridSpan w:val="5"/>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750" w:type="dxa"/>
            <w:gridSpan w:val="11"/>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w:t>
            </w:r>
          </w:p>
        </w:tc>
      </w:tr>
      <w:tr w:rsidR="00AA4661" w:rsidRPr="00F8728A" w:rsidTr="000614A3">
        <w:trPr>
          <w:trHeight w:val="360"/>
          <w:jc w:val="center"/>
        </w:trPr>
        <w:tc>
          <w:tcPr>
            <w:tcW w:w="9355" w:type="dxa"/>
            <w:gridSpan w:val="16"/>
          </w:tcPr>
          <w:p w:rsidR="00AA4661" w:rsidRPr="00F8728A" w:rsidRDefault="00AA4661" w:rsidP="00CF297A">
            <w:pPr>
              <w:widowControl w:val="0"/>
              <w:numPr>
                <w:ilvl w:val="0"/>
                <w:numId w:val="48"/>
              </w:numPr>
              <w:spacing w:before="40" w:after="40"/>
              <w:ind w:left="504" w:right="144"/>
              <w:jc w:val="both"/>
              <w:rPr>
                <w:rFonts w:ascii="Calibri" w:hAnsi="Calibri" w:cs="Calibri"/>
                <w:color w:val="000000"/>
                <w:sz w:val="22"/>
              </w:rPr>
            </w:pPr>
            <w:r w:rsidRPr="00F8728A">
              <w:rPr>
                <w:rFonts w:ascii="Calibri" w:hAnsi="Calibri" w:cs="Calibri"/>
                <w:b/>
                <w:i/>
                <w:smallCaps/>
                <w:color w:val="000000"/>
                <w:sz w:val="22"/>
              </w:rPr>
              <w:t>Популяризиране на планирането, проектирането и сертифицирането на зелени, интелигентни и иновативни градове, сгради и технологии</w:t>
            </w:r>
          </w:p>
        </w:tc>
      </w:tr>
      <w:tr w:rsidR="00AA4661" w:rsidRPr="00F8728A" w:rsidTr="000614A3">
        <w:trPr>
          <w:jc w:val="center"/>
        </w:trPr>
        <w:tc>
          <w:tcPr>
            <w:tcW w:w="2691" w:type="dxa"/>
            <w:gridSpan w:val="6"/>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271"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52"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995"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81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768"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761"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691" w:type="dxa"/>
            <w:gridSpan w:val="6"/>
            <w:vMerge/>
            <w:shd w:val="clear" w:color="auto" w:fill="F2F2F2"/>
            <w:vAlign w:val="center"/>
          </w:tcPr>
          <w:p w:rsidR="00AA4661" w:rsidRPr="00F8728A" w:rsidRDefault="00AA4661" w:rsidP="00B155A6">
            <w:pPr>
              <w:spacing w:before="20" w:after="20"/>
              <w:jc w:val="center"/>
              <w:rPr>
                <w:rFonts w:ascii="Calibri" w:hAnsi="Calibri" w:cs="Calibri"/>
              </w:rPr>
            </w:pPr>
          </w:p>
        </w:tc>
        <w:tc>
          <w:tcPr>
            <w:tcW w:w="1271" w:type="dxa"/>
            <w:shd w:val="clear" w:color="auto" w:fill="FFFFFF"/>
          </w:tcPr>
          <w:p w:rsidR="00AA4661" w:rsidRPr="00F8728A" w:rsidRDefault="00AA4661" w:rsidP="00B155A6">
            <w:pPr>
              <w:spacing w:before="20" w:after="20"/>
              <w:jc w:val="center"/>
              <w:rPr>
                <w:rFonts w:ascii="Calibri" w:hAnsi="Calibri" w:cs="Calibri"/>
              </w:rPr>
            </w:pPr>
          </w:p>
        </w:tc>
        <w:tc>
          <w:tcPr>
            <w:tcW w:w="1052" w:type="dxa"/>
            <w:gridSpan w:val="3"/>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995" w:type="dxa"/>
            <w:shd w:val="clear" w:color="auto" w:fill="FFFFFF"/>
          </w:tcPr>
          <w:p w:rsidR="00AA4661" w:rsidRPr="00F8728A" w:rsidRDefault="00AA4661" w:rsidP="00B155A6">
            <w:pPr>
              <w:spacing w:before="20" w:after="20"/>
              <w:jc w:val="center"/>
              <w:rPr>
                <w:rFonts w:ascii="Calibri" w:hAnsi="Calibri" w:cs="Calibri"/>
              </w:rPr>
            </w:pPr>
          </w:p>
        </w:tc>
        <w:tc>
          <w:tcPr>
            <w:tcW w:w="817"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768" w:type="dxa"/>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1761" w:type="dxa"/>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r>
      <w:tr w:rsidR="00AA4661" w:rsidRPr="00F8728A" w:rsidTr="000614A3">
        <w:trPr>
          <w:trHeight w:val="4014"/>
          <w:jc w:val="center"/>
        </w:trPr>
        <w:tc>
          <w:tcPr>
            <w:tcW w:w="2691" w:type="dxa"/>
            <w:gridSpan w:val="6"/>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664" w:type="dxa"/>
            <w:gridSpan w:val="10"/>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Концепцията за "зелено" градско развитие обхваща широк спектър от възможности, насочени към глобалните цели за устойчиво развитие (SDG). Според участващите институции вариантите за АИК се отнасят до етапите на планиране, проектиране, изграждане и използване. Те имат голям потенциал за иновации</w:t>
            </w:r>
          </w:p>
          <w:p w:rsidR="00AA4661" w:rsidRPr="00F8728A" w:rsidRDefault="00AA4661" w:rsidP="00CF297A">
            <w:pPr>
              <w:pStyle w:val="ListParagraph1"/>
              <w:widowControl w:val="0"/>
              <w:numPr>
                <w:ilvl w:val="0"/>
                <w:numId w:val="63"/>
              </w:numPr>
              <w:autoSpaceDE w:val="0"/>
              <w:autoSpaceDN w:val="0"/>
              <w:adjustRightInd w:val="0"/>
              <w:spacing w:before="20" w:after="20" w:line="240" w:lineRule="auto"/>
              <w:ind w:left="348" w:hanging="284"/>
              <w:jc w:val="both"/>
              <w:rPr>
                <w:rFonts w:ascii="Calibri" w:hAnsi="Calibri" w:cs="Calibri"/>
                <w:sz w:val="20"/>
                <w:szCs w:val="22"/>
                <w:lang w:val="bg-BG" w:eastAsia="en-US"/>
              </w:rPr>
            </w:pPr>
            <w:r w:rsidRPr="00F8728A">
              <w:rPr>
                <w:rFonts w:ascii="Calibri" w:hAnsi="Calibri" w:cs="Calibri"/>
                <w:sz w:val="20"/>
                <w:szCs w:val="22"/>
                <w:lang w:val="bg-BG" w:eastAsia="en-US"/>
              </w:rPr>
              <w:t>Технологии и конструкции</w:t>
            </w:r>
          </w:p>
          <w:p w:rsidR="00AA4661" w:rsidRPr="00F8728A" w:rsidRDefault="00AA4661" w:rsidP="00CF297A">
            <w:pPr>
              <w:pStyle w:val="ListParagraph1"/>
              <w:widowControl w:val="0"/>
              <w:numPr>
                <w:ilvl w:val="0"/>
                <w:numId w:val="63"/>
              </w:numPr>
              <w:autoSpaceDE w:val="0"/>
              <w:autoSpaceDN w:val="0"/>
              <w:adjustRightInd w:val="0"/>
              <w:spacing w:before="20" w:after="20" w:line="240" w:lineRule="auto"/>
              <w:ind w:left="348" w:hanging="284"/>
              <w:jc w:val="both"/>
              <w:rPr>
                <w:rFonts w:ascii="Calibri" w:hAnsi="Calibri" w:cs="Calibri"/>
                <w:sz w:val="20"/>
                <w:szCs w:val="22"/>
                <w:lang w:val="bg-BG" w:eastAsia="en-US"/>
              </w:rPr>
            </w:pPr>
            <w:r w:rsidRPr="00F8728A">
              <w:rPr>
                <w:rFonts w:ascii="Calibri" w:hAnsi="Calibri" w:cs="Calibri"/>
                <w:sz w:val="20"/>
                <w:szCs w:val="22"/>
                <w:lang w:val="bg-BG" w:eastAsia="en-US"/>
              </w:rPr>
              <w:t>Строителни материали</w:t>
            </w:r>
          </w:p>
          <w:p w:rsidR="00AA4661" w:rsidRPr="00F8728A" w:rsidRDefault="00AA4661" w:rsidP="00CF297A">
            <w:pPr>
              <w:pStyle w:val="ListParagraph1"/>
              <w:widowControl w:val="0"/>
              <w:numPr>
                <w:ilvl w:val="0"/>
                <w:numId w:val="63"/>
              </w:numPr>
              <w:autoSpaceDE w:val="0"/>
              <w:autoSpaceDN w:val="0"/>
              <w:adjustRightInd w:val="0"/>
              <w:spacing w:before="20" w:after="20" w:line="240" w:lineRule="auto"/>
              <w:ind w:left="348" w:hanging="284"/>
              <w:jc w:val="both"/>
              <w:rPr>
                <w:rFonts w:ascii="Calibri" w:hAnsi="Calibri" w:cs="Calibri"/>
                <w:sz w:val="20"/>
                <w:szCs w:val="22"/>
                <w:lang w:val="bg-BG" w:eastAsia="en-US"/>
              </w:rPr>
            </w:pPr>
            <w:r w:rsidRPr="00F8728A">
              <w:rPr>
                <w:rFonts w:ascii="Calibri" w:hAnsi="Calibri" w:cs="Calibri"/>
                <w:sz w:val="20"/>
                <w:szCs w:val="22"/>
                <w:lang w:val="bg-BG" w:eastAsia="en-US"/>
              </w:rPr>
              <w:t>Инфраструктура на градовете и сградите</w:t>
            </w:r>
          </w:p>
          <w:p w:rsidR="00AA4661" w:rsidRPr="00F8728A" w:rsidRDefault="00AA4661" w:rsidP="00CF297A">
            <w:pPr>
              <w:pStyle w:val="ListParagraph1"/>
              <w:widowControl w:val="0"/>
              <w:numPr>
                <w:ilvl w:val="0"/>
                <w:numId w:val="63"/>
              </w:numPr>
              <w:autoSpaceDE w:val="0"/>
              <w:autoSpaceDN w:val="0"/>
              <w:adjustRightInd w:val="0"/>
              <w:spacing w:before="20" w:after="20" w:line="240" w:lineRule="auto"/>
              <w:ind w:left="348" w:hanging="284"/>
              <w:jc w:val="both"/>
              <w:rPr>
                <w:rFonts w:ascii="Calibri" w:hAnsi="Calibri" w:cs="Calibri"/>
                <w:sz w:val="20"/>
                <w:szCs w:val="22"/>
                <w:lang w:val="bg-BG" w:eastAsia="en-US"/>
              </w:rPr>
            </w:pPr>
            <w:r w:rsidRPr="00F8728A">
              <w:rPr>
                <w:rFonts w:ascii="Calibri" w:hAnsi="Calibri" w:cs="Calibri"/>
                <w:sz w:val="20"/>
                <w:szCs w:val="22"/>
                <w:lang w:val="bg-BG" w:eastAsia="en-US"/>
              </w:rPr>
              <w:t>Градска среда / Управление на недвижимите имоти</w:t>
            </w:r>
          </w:p>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Зелените, интелигентни и иновативни градове означават и зелена градска инфраструктура, зелен градски транспорт, екосистеми, запазени паркове, градини и биоразнообразие. Международната професионална проектантска практика вече има много вдъхновяващи примери за зелени покриви и стени, зелени паркоместа, градски реки и водни прегради, превърнати в места за отдих, линейни паркове и много други.</w:t>
            </w:r>
          </w:p>
          <w:p w:rsidR="00AA4661" w:rsidRPr="00F8728A" w:rsidRDefault="00BF5281" w:rsidP="00B155A6">
            <w:pPr>
              <w:autoSpaceDE w:val="0"/>
              <w:autoSpaceDN w:val="0"/>
              <w:adjustRightInd w:val="0"/>
              <w:spacing w:before="20" w:after="20"/>
              <w:jc w:val="both"/>
              <w:rPr>
                <w:rFonts w:ascii="Calibri" w:hAnsi="Calibri" w:cs="Calibri"/>
              </w:rPr>
            </w:pPr>
            <w:hyperlink r:id="rId115" w:history="1">
              <w:r w:rsidR="00AA4661" w:rsidRPr="00F8728A">
                <w:rPr>
                  <w:rFonts w:ascii="Calibri" w:hAnsi="Calibri" w:cs="Calibri"/>
                  <w:color w:val="0000FF"/>
                  <w:u w:val="single"/>
                </w:rPr>
                <w:t>https://www.nycgovparks.org/park-features/parks-list?boro=M</w:t>
              </w:r>
            </w:hyperlink>
            <w:r w:rsidR="00AA4661" w:rsidRPr="00F8728A">
              <w:rPr>
                <w:rFonts w:ascii="Calibri" w:hAnsi="Calibri" w:cs="Calibri"/>
              </w:rPr>
              <w:t xml:space="preserve"> </w:t>
            </w:r>
            <w:hyperlink r:id="rId116" w:history="1">
              <w:r w:rsidR="00AA4661" w:rsidRPr="00F8728A">
                <w:rPr>
                  <w:rFonts w:ascii="Calibri" w:hAnsi="Calibri" w:cs="Calibri"/>
                  <w:color w:val="0000FF"/>
                  <w:u w:val="single"/>
                </w:rPr>
                <w:t>https://www.star2.com/living/2017/11/11/restoration-cheonggye-stream-seoul/</w:t>
              </w:r>
            </w:hyperlink>
            <w:r w:rsidR="00AA4661" w:rsidRPr="00F8728A">
              <w:rPr>
                <w:rFonts w:ascii="Calibri" w:hAnsi="Calibri" w:cs="Calibri"/>
              </w:rPr>
              <w:t xml:space="preserve"> </w:t>
            </w:r>
          </w:p>
          <w:p w:rsidR="00AA4661" w:rsidRPr="00F8728A" w:rsidRDefault="00BF5281" w:rsidP="00B155A6">
            <w:pPr>
              <w:autoSpaceDE w:val="0"/>
              <w:autoSpaceDN w:val="0"/>
              <w:adjustRightInd w:val="0"/>
              <w:spacing w:before="20" w:after="20"/>
              <w:jc w:val="both"/>
              <w:rPr>
                <w:rFonts w:ascii="Calibri" w:hAnsi="Calibri" w:cs="Calibri"/>
              </w:rPr>
            </w:pPr>
            <w:hyperlink r:id="rId117" w:history="1">
              <w:r w:rsidR="00AA4661" w:rsidRPr="00F8728A">
                <w:rPr>
                  <w:rFonts w:ascii="Calibri" w:hAnsi="Calibri" w:cs="Calibri"/>
                  <w:color w:val="0000FF"/>
                  <w:u w:val="single"/>
                </w:rPr>
                <w:t>https://www.citylab.com/design/2015/05/in-paris-plans-for-a-river-seine-reinvention/392639/</w:t>
              </w:r>
            </w:hyperlink>
            <w:r w:rsidR="00AA4661" w:rsidRPr="00F8728A">
              <w:rPr>
                <w:rFonts w:ascii="Calibri" w:hAnsi="Calibri" w:cs="Calibri"/>
              </w:rPr>
              <w:t xml:space="preserve"> </w:t>
            </w:r>
          </w:p>
        </w:tc>
      </w:tr>
      <w:tr w:rsidR="00AA4661" w:rsidRPr="00F8728A" w:rsidTr="000614A3">
        <w:trPr>
          <w:trHeight w:val="67"/>
          <w:jc w:val="center"/>
        </w:trPr>
        <w:tc>
          <w:tcPr>
            <w:tcW w:w="2691" w:type="dxa"/>
            <w:gridSpan w:val="6"/>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664" w:type="dxa"/>
            <w:gridSpan w:val="10"/>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85"/>
          <w:jc w:val="center"/>
        </w:trPr>
        <w:tc>
          <w:tcPr>
            <w:tcW w:w="981" w:type="dxa"/>
            <w:gridSpan w:val="2"/>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900" w:type="dxa"/>
            <w:gridSpan w:val="2"/>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gridSpan w:val="2"/>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664" w:type="dxa"/>
            <w:gridSpan w:val="10"/>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77"/>
          <w:jc w:val="center"/>
        </w:trPr>
        <w:tc>
          <w:tcPr>
            <w:tcW w:w="981" w:type="dxa"/>
            <w:gridSpan w:val="2"/>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 xml:space="preserve">+++/- </w:t>
            </w:r>
          </w:p>
        </w:tc>
        <w:tc>
          <w:tcPr>
            <w:tcW w:w="900" w:type="dxa"/>
            <w:gridSpan w:val="2"/>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gridSpan w:val="2"/>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664" w:type="dxa"/>
            <w:gridSpan w:val="10"/>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73"/>
          <w:jc w:val="center"/>
        </w:trPr>
        <w:tc>
          <w:tcPr>
            <w:tcW w:w="2691" w:type="dxa"/>
            <w:gridSpan w:val="6"/>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664" w:type="dxa"/>
            <w:gridSpan w:val="10"/>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По-добро качество на живот, по-здраво население, понижена климатична промяна и рискове от бедствия, по-привлекателна и по-безопасна градска среда, намалени разходи за здравни услуги, по-малко използвани невъзобновяеми ресурси.</w:t>
            </w:r>
          </w:p>
        </w:tc>
      </w:tr>
      <w:tr w:rsidR="00AA4661" w:rsidRPr="00F8728A" w:rsidTr="000614A3">
        <w:trPr>
          <w:trHeight w:val="59"/>
          <w:jc w:val="center"/>
        </w:trPr>
        <w:tc>
          <w:tcPr>
            <w:tcW w:w="2691" w:type="dxa"/>
            <w:gridSpan w:val="6"/>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559"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105" w:type="dxa"/>
            <w:gridSpan w:val="8"/>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 Биоразнообразие</w:t>
            </w:r>
          </w:p>
        </w:tc>
      </w:tr>
      <w:tr w:rsidR="00AA4661" w:rsidRPr="00F8728A" w:rsidTr="000614A3">
        <w:trPr>
          <w:jc w:val="center"/>
        </w:trPr>
        <w:tc>
          <w:tcPr>
            <w:tcW w:w="2691" w:type="dxa"/>
            <w:gridSpan w:val="6"/>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664" w:type="dxa"/>
            <w:gridSpan w:val="10"/>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w:t>
            </w:r>
          </w:p>
        </w:tc>
      </w:tr>
    </w:tbl>
    <w:p w:rsidR="00485D6A" w:rsidRPr="00F8728A" w:rsidRDefault="00485D6A">
      <w:pPr>
        <w:widowControl w:val="0"/>
        <w:spacing w:after="0"/>
        <w:rPr>
          <w:sz w:val="8"/>
          <w:szCs w:val="8"/>
        </w:rPr>
      </w:pPr>
    </w:p>
    <w:p w:rsidR="00485D6A" w:rsidRPr="00F8728A" w:rsidRDefault="00485D6A">
      <w:pPr>
        <w:spacing w:after="0"/>
        <w:rPr>
          <w:sz w:val="8"/>
          <w:szCs w:val="8"/>
        </w:rPr>
      </w:pPr>
      <w:r w:rsidRPr="00F8728A">
        <w:rPr>
          <w:sz w:val="8"/>
          <w:szCs w:val="8"/>
        </w:rPr>
        <w:br w:type="page"/>
      </w:r>
    </w:p>
    <w:tbl>
      <w:tblPr>
        <w:tblW w:w="5156"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902"/>
        <w:gridCol w:w="908"/>
        <w:gridCol w:w="822"/>
        <w:gridCol w:w="1129"/>
        <w:gridCol w:w="138"/>
        <w:gridCol w:w="928"/>
        <w:gridCol w:w="1053"/>
        <w:gridCol w:w="1036"/>
        <w:gridCol w:w="989"/>
        <w:gridCol w:w="1549"/>
      </w:tblGrid>
      <w:tr w:rsidR="00AA4661" w:rsidRPr="00F8728A" w:rsidTr="000614A3">
        <w:trPr>
          <w:trHeight w:val="69"/>
          <w:jc w:val="center"/>
        </w:trPr>
        <w:tc>
          <w:tcPr>
            <w:tcW w:w="5000" w:type="pct"/>
            <w:gridSpan w:val="10"/>
            <w:shd w:val="clear" w:color="auto" w:fill="A8D08D"/>
          </w:tcPr>
          <w:p w:rsidR="00AA4661" w:rsidRPr="00F8728A" w:rsidRDefault="00AA4661" w:rsidP="00CF297A">
            <w:pPr>
              <w:pStyle w:val="ListParagraph1"/>
              <w:widowControl w:val="0"/>
              <w:numPr>
                <w:ilvl w:val="0"/>
                <w:numId w:val="61"/>
              </w:numPr>
              <w:spacing w:before="20" w:after="20" w:line="240" w:lineRule="auto"/>
              <w:ind w:left="893"/>
              <w:jc w:val="both"/>
              <w:rPr>
                <w:b/>
                <w:sz w:val="20"/>
                <w:szCs w:val="22"/>
                <w:lang w:val="bg-BG" w:eastAsia="en-US"/>
              </w:rPr>
            </w:pPr>
            <w:r w:rsidRPr="00F8728A">
              <w:rPr>
                <w:rFonts w:ascii="Calibri" w:hAnsi="Calibri" w:cs="Calibri"/>
                <w:b/>
                <w:bCs/>
                <w:color w:val="000000"/>
                <w:sz w:val="24"/>
                <w:szCs w:val="22"/>
                <w:lang w:val="bg-BG" w:eastAsia="en-US"/>
              </w:rPr>
              <w:t>Категория „Капацитет“</w:t>
            </w:r>
          </w:p>
        </w:tc>
      </w:tr>
      <w:tr w:rsidR="00AA4661" w:rsidRPr="00F8728A" w:rsidTr="000614A3">
        <w:trPr>
          <w:trHeight w:val="145"/>
          <w:jc w:val="center"/>
        </w:trPr>
        <w:tc>
          <w:tcPr>
            <w:tcW w:w="5000" w:type="pct"/>
            <w:gridSpan w:val="10"/>
            <w:shd w:val="clear" w:color="auto" w:fill="E2EFD9"/>
          </w:tcPr>
          <w:p w:rsidR="00AA4661" w:rsidRPr="00F8728A" w:rsidRDefault="00AA4661" w:rsidP="00B155A6">
            <w:pPr>
              <w:spacing w:before="40" w:after="40"/>
              <w:ind w:left="125"/>
              <w:jc w:val="both"/>
              <w:rPr>
                <w:rFonts w:ascii="Calibri" w:hAnsi="Calibri" w:cs="Calibri"/>
                <w:b/>
                <w:bCs/>
                <w:color w:val="000000"/>
                <w:sz w:val="22"/>
              </w:rPr>
            </w:pPr>
            <w:r w:rsidRPr="00F8728A">
              <w:rPr>
                <w:rFonts w:ascii="Calibri" w:hAnsi="Calibri" w:cs="Calibri"/>
                <w:b/>
                <w:bCs/>
                <w:color w:val="000000"/>
                <w:sz w:val="22"/>
              </w:rPr>
              <w:t>Развитие и повишаване на институционалния, административен и експертен капацитет</w:t>
            </w:r>
          </w:p>
        </w:tc>
      </w:tr>
      <w:tr w:rsidR="00AA4661" w:rsidRPr="00F8728A" w:rsidTr="000614A3">
        <w:trPr>
          <w:trHeight w:val="69"/>
          <w:jc w:val="center"/>
        </w:trPr>
        <w:tc>
          <w:tcPr>
            <w:tcW w:w="5000" w:type="pct"/>
            <w:gridSpan w:val="10"/>
          </w:tcPr>
          <w:p w:rsidR="00AA4661" w:rsidRPr="00F8728A" w:rsidRDefault="00AA4661" w:rsidP="00CF297A">
            <w:pPr>
              <w:widowControl w:val="0"/>
              <w:numPr>
                <w:ilvl w:val="0"/>
                <w:numId w:val="48"/>
              </w:numPr>
              <w:spacing w:before="40" w:after="40"/>
              <w:ind w:left="504" w:right="144"/>
              <w:jc w:val="both"/>
              <w:rPr>
                <w:rFonts w:ascii="Calibri" w:hAnsi="Calibri" w:cs="Calibri"/>
                <w:b/>
                <w:i/>
                <w:smallCaps/>
                <w:color w:val="000000"/>
                <w:sz w:val="22"/>
              </w:rPr>
            </w:pPr>
            <w:r w:rsidRPr="00F8728A">
              <w:rPr>
                <w:rFonts w:ascii="Calibri" w:hAnsi="Calibri" w:cs="Calibri"/>
                <w:b/>
                <w:i/>
                <w:smallCaps/>
                <w:color w:val="000000"/>
                <w:sz w:val="22"/>
              </w:rPr>
              <w:t>Изграждане на капацитета на обектите за извънредни ситуации и УРБ, осигуряване на достатъчно и съвременно оборудване и финансова подкрепа</w:t>
            </w:r>
          </w:p>
        </w:tc>
      </w:tr>
      <w:tr w:rsidR="00AA4661" w:rsidRPr="00F8728A" w:rsidTr="000614A3">
        <w:trPr>
          <w:jc w:val="center"/>
        </w:trPr>
        <w:tc>
          <w:tcPr>
            <w:tcW w:w="1392" w:type="pct"/>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597"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564" w:type="pct"/>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557"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548"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523"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818"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1392" w:type="pct"/>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597" w:type="pct"/>
            <w:shd w:val="clear" w:color="auto" w:fill="FFFFFF"/>
          </w:tcPr>
          <w:p w:rsidR="00AA4661" w:rsidRPr="00F8728A" w:rsidRDefault="00AA4661" w:rsidP="00B155A6">
            <w:pPr>
              <w:spacing w:before="20" w:after="20"/>
              <w:jc w:val="center"/>
              <w:rPr>
                <w:rFonts w:ascii="Calibri" w:hAnsi="Calibri" w:cs="Calibri"/>
              </w:rPr>
            </w:pPr>
          </w:p>
        </w:tc>
        <w:tc>
          <w:tcPr>
            <w:tcW w:w="564" w:type="pct"/>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557" w:type="pct"/>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548" w:type="pct"/>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523" w:type="pct"/>
            <w:shd w:val="clear" w:color="auto" w:fill="FFFFFF"/>
          </w:tcPr>
          <w:p w:rsidR="00AA4661" w:rsidRPr="00F8728A" w:rsidRDefault="00AA4661" w:rsidP="00B155A6">
            <w:pPr>
              <w:spacing w:before="20" w:after="20"/>
              <w:jc w:val="center"/>
              <w:rPr>
                <w:rFonts w:ascii="Calibri" w:hAnsi="Calibri" w:cs="Calibri"/>
              </w:rPr>
            </w:pPr>
          </w:p>
        </w:tc>
        <w:tc>
          <w:tcPr>
            <w:tcW w:w="818" w:type="pct"/>
            <w:shd w:val="clear" w:color="auto" w:fill="FFFFFF"/>
          </w:tcPr>
          <w:p w:rsidR="00AA4661" w:rsidRPr="00F8728A" w:rsidRDefault="00AA4661" w:rsidP="00B155A6">
            <w:pPr>
              <w:spacing w:before="20" w:after="20"/>
              <w:jc w:val="center"/>
              <w:rPr>
                <w:rFonts w:ascii="Calibri" w:hAnsi="Calibri" w:cs="Calibri"/>
              </w:rPr>
            </w:pPr>
          </w:p>
        </w:tc>
      </w:tr>
      <w:tr w:rsidR="00AA4661" w:rsidRPr="00F8728A" w:rsidTr="000614A3">
        <w:trPr>
          <w:trHeight w:val="4194"/>
          <w:jc w:val="center"/>
        </w:trPr>
        <w:tc>
          <w:tcPr>
            <w:tcW w:w="1392" w:type="pct"/>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3608" w:type="pct"/>
            <w:gridSpan w:val="7"/>
            <w:vMerge w:val="restart"/>
            <w:shd w:val="clear" w:color="auto" w:fill="D9D9D9"/>
          </w:tcPr>
          <w:p w:rsidR="00AA4661" w:rsidRPr="00F8728A" w:rsidRDefault="00AA4661" w:rsidP="000614A3">
            <w:pPr>
              <w:autoSpaceDE w:val="0"/>
              <w:autoSpaceDN w:val="0"/>
              <w:adjustRightInd w:val="0"/>
              <w:spacing w:after="0"/>
              <w:contextualSpacing/>
              <w:jc w:val="both"/>
              <w:rPr>
                <w:rFonts w:ascii="Calibri" w:hAnsi="Calibri" w:cs="Calibri"/>
              </w:rPr>
            </w:pPr>
            <w:r w:rsidRPr="00F8728A">
              <w:rPr>
                <w:rFonts w:ascii="Calibri" w:hAnsi="Calibri" w:cs="Calibri"/>
              </w:rPr>
              <w:t>Категорията включва институционален, административен и експертен капацитет, което означава:</w:t>
            </w:r>
          </w:p>
          <w:p w:rsidR="00AA4661" w:rsidRPr="00F8728A" w:rsidRDefault="00AA4661" w:rsidP="00CF297A">
            <w:pPr>
              <w:widowControl w:val="0"/>
              <w:numPr>
                <w:ilvl w:val="0"/>
                <w:numId w:val="58"/>
              </w:numPr>
              <w:tabs>
                <w:tab w:val="left" w:pos="205"/>
              </w:tabs>
              <w:autoSpaceDE w:val="0"/>
              <w:autoSpaceDN w:val="0"/>
              <w:adjustRightInd w:val="0"/>
              <w:spacing w:after="0"/>
              <w:ind w:left="0" w:firstLine="0"/>
              <w:jc w:val="both"/>
              <w:rPr>
                <w:rFonts w:ascii="Calibri" w:hAnsi="Calibri" w:cs="Calibri"/>
              </w:rPr>
            </w:pPr>
            <w:r w:rsidRPr="00F8728A">
              <w:rPr>
                <w:rFonts w:ascii="Calibri" w:hAnsi="Calibri" w:cs="Calibri"/>
              </w:rPr>
              <w:t>Достатъчен брой надеждни и устойчиви институции за АИК</w:t>
            </w:r>
          </w:p>
          <w:p w:rsidR="00AA4661" w:rsidRPr="00F8728A" w:rsidRDefault="00AA4661" w:rsidP="00CF297A">
            <w:pPr>
              <w:widowControl w:val="0"/>
              <w:numPr>
                <w:ilvl w:val="0"/>
                <w:numId w:val="58"/>
              </w:numPr>
              <w:tabs>
                <w:tab w:val="left" w:pos="205"/>
              </w:tabs>
              <w:autoSpaceDE w:val="0"/>
              <w:autoSpaceDN w:val="0"/>
              <w:adjustRightInd w:val="0"/>
              <w:spacing w:after="0"/>
              <w:ind w:left="0" w:firstLine="0"/>
              <w:jc w:val="both"/>
              <w:rPr>
                <w:rFonts w:ascii="Calibri" w:hAnsi="Calibri" w:cs="Calibri"/>
              </w:rPr>
            </w:pPr>
            <w:r w:rsidRPr="00F8728A">
              <w:rPr>
                <w:rFonts w:ascii="Calibri" w:hAnsi="Calibri" w:cs="Calibri"/>
              </w:rPr>
              <w:t>Добре оборудвани институции с достатъчно администратори и експерти за извършване на дейности по АИК и УРБ</w:t>
            </w:r>
          </w:p>
          <w:p w:rsidR="00AA4661" w:rsidRPr="00F8728A" w:rsidRDefault="00AA4661" w:rsidP="00CF297A">
            <w:pPr>
              <w:widowControl w:val="0"/>
              <w:numPr>
                <w:ilvl w:val="0"/>
                <w:numId w:val="58"/>
              </w:numPr>
              <w:tabs>
                <w:tab w:val="left" w:pos="205"/>
              </w:tabs>
              <w:autoSpaceDE w:val="0"/>
              <w:autoSpaceDN w:val="0"/>
              <w:adjustRightInd w:val="0"/>
              <w:spacing w:after="40"/>
              <w:ind w:left="0" w:firstLine="0"/>
              <w:jc w:val="both"/>
              <w:rPr>
                <w:rFonts w:ascii="Calibri" w:hAnsi="Calibri" w:cs="Calibri"/>
              </w:rPr>
            </w:pPr>
            <w:r w:rsidRPr="00F8728A">
              <w:rPr>
                <w:rFonts w:ascii="Calibri" w:hAnsi="Calibri" w:cs="Calibri"/>
              </w:rPr>
              <w:t>Добре развити актуални професионални знания и умения, основани на науката</w:t>
            </w:r>
          </w:p>
          <w:p w:rsidR="00AA4661" w:rsidRPr="00F8728A" w:rsidRDefault="00AA4661" w:rsidP="000614A3">
            <w:pPr>
              <w:widowControl w:val="0"/>
              <w:autoSpaceDE w:val="0"/>
              <w:autoSpaceDN w:val="0"/>
              <w:adjustRightInd w:val="0"/>
              <w:spacing w:after="0"/>
              <w:jc w:val="both"/>
              <w:rPr>
                <w:rFonts w:ascii="Calibri" w:hAnsi="Calibri" w:cs="Calibri"/>
              </w:rPr>
            </w:pPr>
            <w:r w:rsidRPr="00F8728A">
              <w:rPr>
                <w:rFonts w:ascii="Calibri" w:hAnsi="Calibri" w:cs="Calibri"/>
              </w:rPr>
              <w:t>Свързани с АИК за изграждане на капацитет са следните елементи като знания и умения:</w:t>
            </w:r>
          </w:p>
          <w:p w:rsidR="00AA4661" w:rsidRPr="00F8728A" w:rsidRDefault="00AA4661" w:rsidP="00CF297A">
            <w:pPr>
              <w:widowControl w:val="0"/>
              <w:numPr>
                <w:ilvl w:val="0"/>
                <w:numId w:val="58"/>
              </w:numPr>
              <w:tabs>
                <w:tab w:val="left" w:pos="205"/>
              </w:tabs>
              <w:autoSpaceDE w:val="0"/>
              <w:autoSpaceDN w:val="0"/>
              <w:adjustRightInd w:val="0"/>
              <w:spacing w:after="0"/>
              <w:ind w:left="0" w:firstLine="0"/>
              <w:jc w:val="both"/>
              <w:rPr>
                <w:rFonts w:ascii="Calibri" w:hAnsi="Calibri" w:cs="Calibri"/>
              </w:rPr>
            </w:pPr>
            <w:r w:rsidRPr="00F8728A">
              <w:rPr>
                <w:rFonts w:ascii="Calibri" w:hAnsi="Calibri" w:cs="Calibri"/>
              </w:rPr>
              <w:t>Професионални знания и умения на участниците в планирането, проектирането и строителството - включва образователни институции и професионални организации</w:t>
            </w:r>
          </w:p>
          <w:p w:rsidR="00AA4661" w:rsidRPr="00F8728A" w:rsidRDefault="00AA4661" w:rsidP="00CF297A">
            <w:pPr>
              <w:widowControl w:val="0"/>
              <w:numPr>
                <w:ilvl w:val="0"/>
                <w:numId w:val="58"/>
              </w:numPr>
              <w:tabs>
                <w:tab w:val="left" w:pos="205"/>
              </w:tabs>
              <w:autoSpaceDE w:val="0"/>
              <w:autoSpaceDN w:val="0"/>
              <w:adjustRightInd w:val="0"/>
              <w:spacing w:after="0"/>
              <w:ind w:left="0" w:firstLine="0"/>
              <w:jc w:val="both"/>
              <w:rPr>
                <w:rFonts w:ascii="Calibri" w:hAnsi="Calibri" w:cs="Calibri"/>
              </w:rPr>
            </w:pPr>
            <w:r w:rsidRPr="00F8728A">
              <w:rPr>
                <w:rFonts w:ascii="Calibri" w:hAnsi="Calibri" w:cs="Calibri"/>
              </w:rPr>
              <w:t>Управленски умения - УРБ, умения за финансово управление и управление на обществените услуги, за управление на промените и за справяне с несигурността</w:t>
            </w:r>
          </w:p>
          <w:p w:rsidR="00AA4661" w:rsidRPr="00F8728A" w:rsidRDefault="00AA4661" w:rsidP="00CF297A">
            <w:pPr>
              <w:widowControl w:val="0"/>
              <w:numPr>
                <w:ilvl w:val="0"/>
                <w:numId w:val="58"/>
              </w:numPr>
              <w:tabs>
                <w:tab w:val="left" w:pos="205"/>
              </w:tabs>
              <w:autoSpaceDE w:val="0"/>
              <w:autoSpaceDN w:val="0"/>
              <w:adjustRightInd w:val="0"/>
              <w:spacing w:after="40"/>
              <w:ind w:left="0" w:firstLine="0"/>
              <w:jc w:val="both"/>
              <w:rPr>
                <w:rFonts w:ascii="Calibri" w:hAnsi="Calibri" w:cs="Calibri"/>
              </w:rPr>
            </w:pPr>
            <w:r w:rsidRPr="00F8728A">
              <w:rPr>
                <w:rFonts w:ascii="Calibri" w:hAnsi="Calibri" w:cs="Calibri"/>
              </w:rPr>
              <w:t>Технически умения - на персонала, участващ във всички дейности за намаляване на риска и управление на бедствия, отговарящи за оперативната система в градската среда</w:t>
            </w:r>
          </w:p>
          <w:p w:rsidR="00AA4661" w:rsidRPr="00F8728A" w:rsidRDefault="00AA4661" w:rsidP="00B155A6">
            <w:pPr>
              <w:autoSpaceDE w:val="0"/>
              <w:autoSpaceDN w:val="0"/>
              <w:adjustRightInd w:val="0"/>
              <w:spacing w:before="20" w:after="20"/>
              <w:contextualSpacing/>
              <w:jc w:val="both"/>
              <w:rPr>
                <w:rFonts w:ascii="Calibri" w:hAnsi="Calibri" w:cs="Calibri"/>
              </w:rPr>
            </w:pPr>
            <w:r w:rsidRPr="00F8728A">
              <w:rPr>
                <w:rFonts w:ascii="Calibri" w:hAnsi="Calibri" w:cs="Calibri"/>
              </w:rPr>
              <w:t>Фокусът на този вариант е върху капацитета на звената за управление на риска, като са идентифицирани спешни нужди в процеса на консултации по анализа на този доклад.</w:t>
            </w:r>
          </w:p>
        </w:tc>
      </w:tr>
      <w:tr w:rsidR="00AA4661" w:rsidRPr="00F8728A" w:rsidTr="000614A3">
        <w:trPr>
          <w:trHeight w:val="128"/>
          <w:jc w:val="center"/>
        </w:trPr>
        <w:tc>
          <w:tcPr>
            <w:tcW w:w="1392" w:type="pct"/>
            <w:gridSpan w:val="3"/>
            <w:shd w:val="clear" w:color="auto" w:fill="000000"/>
            <w:vAlign w:val="center"/>
          </w:tcPr>
          <w:p w:rsidR="00AA4661" w:rsidRPr="00F8728A" w:rsidRDefault="00AA4661" w:rsidP="00B155A6">
            <w:pPr>
              <w:spacing w:before="20" w:after="20"/>
              <w:jc w:val="center"/>
              <w:rPr>
                <w:rFonts w:ascii="Calibri" w:hAnsi="Calibri" w:cs="Calibri"/>
                <w:color w:val="FFFFFF"/>
                <w:sz w:val="18"/>
                <w:szCs w:val="18"/>
              </w:rPr>
            </w:pPr>
            <w:r w:rsidRPr="00F8728A">
              <w:rPr>
                <w:rFonts w:ascii="Calibri" w:hAnsi="Calibri" w:cs="Calibri"/>
                <w:color w:val="FFFFFF"/>
                <w:sz w:val="18"/>
                <w:szCs w:val="18"/>
              </w:rPr>
              <w:t>Релевантност на варианта</w:t>
            </w:r>
          </w:p>
        </w:tc>
        <w:tc>
          <w:tcPr>
            <w:tcW w:w="3608" w:type="pct"/>
            <w:gridSpan w:val="7"/>
            <w:vMerge/>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p>
        </w:tc>
      </w:tr>
      <w:tr w:rsidR="00AA4661" w:rsidRPr="00F8728A" w:rsidTr="000614A3">
        <w:trPr>
          <w:trHeight w:val="133"/>
          <w:jc w:val="center"/>
        </w:trPr>
        <w:tc>
          <w:tcPr>
            <w:tcW w:w="477"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480"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434"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3608" w:type="pct"/>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77"/>
          <w:jc w:val="center"/>
        </w:trPr>
        <w:tc>
          <w:tcPr>
            <w:tcW w:w="477"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480"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434"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3608" w:type="pct"/>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63"/>
          <w:jc w:val="center"/>
        </w:trPr>
        <w:tc>
          <w:tcPr>
            <w:tcW w:w="1392" w:type="pct"/>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3608" w:type="pct"/>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Намалени загуби (засегнати хора, сгради, инфраструктура), институционално развитие, по-добро и по-надеждно предоставяне на спешни услуги.</w:t>
            </w:r>
          </w:p>
        </w:tc>
      </w:tr>
      <w:tr w:rsidR="00AA4661" w:rsidRPr="00F8728A" w:rsidTr="000614A3">
        <w:trPr>
          <w:trHeight w:val="59"/>
          <w:jc w:val="center"/>
        </w:trPr>
        <w:tc>
          <w:tcPr>
            <w:tcW w:w="1392" w:type="pct"/>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670" w:type="pct"/>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2938" w:type="pct"/>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w:t>
            </w:r>
          </w:p>
        </w:tc>
      </w:tr>
      <w:tr w:rsidR="00AA4661" w:rsidRPr="00F8728A" w:rsidTr="000614A3">
        <w:trPr>
          <w:trHeight w:val="260"/>
          <w:jc w:val="center"/>
        </w:trPr>
        <w:tc>
          <w:tcPr>
            <w:tcW w:w="1392" w:type="pct"/>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3608" w:type="pct"/>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 свързани с чмовешкия живот, собстевността и инфраструктурата.</w:t>
            </w:r>
          </w:p>
        </w:tc>
      </w:tr>
    </w:tbl>
    <w:p w:rsidR="00AA4661" w:rsidRPr="00F8728A" w:rsidRDefault="00AA4661" w:rsidP="00FF27EC">
      <w:pPr>
        <w:spacing w:after="0"/>
        <w:rPr>
          <w:sz w:val="8"/>
          <w:szCs w:val="8"/>
        </w:rPr>
      </w:pP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5"/>
        <w:gridCol w:w="900"/>
        <w:gridCol w:w="810"/>
        <w:gridCol w:w="1282"/>
        <w:gridCol w:w="287"/>
        <w:gridCol w:w="788"/>
        <w:gridCol w:w="1017"/>
        <w:gridCol w:w="852"/>
        <w:gridCol w:w="810"/>
        <w:gridCol w:w="1714"/>
      </w:tblGrid>
      <w:tr w:rsidR="00AA4661" w:rsidRPr="00F8728A" w:rsidTr="000614A3">
        <w:trPr>
          <w:trHeight w:val="360"/>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i/>
                <w:color w:val="000000"/>
                <w:sz w:val="22"/>
              </w:rPr>
            </w:pPr>
            <w:r w:rsidRPr="00F8728A">
              <w:rPr>
                <w:rFonts w:ascii="Calibri" w:hAnsi="Calibri" w:cs="Calibri"/>
                <w:b/>
                <w:i/>
                <w:smallCaps/>
                <w:color w:val="000000"/>
                <w:sz w:val="22"/>
              </w:rPr>
              <w:t>Осигуряване на подходяща точна и актуална информация</w:t>
            </w:r>
          </w:p>
        </w:tc>
      </w:tr>
      <w:tr w:rsidR="00AA4661" w:rsidRPr="00F8728A" w:rsidTr="000614A3">
        <w:trPr>
          <w:jc w:val="center"/>
        </w:trPr>
        <w:tc>
          <w:tcPr>
            <w:tcW w:w="2605"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282"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75"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101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852"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810"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714"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605"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282" w:type="dxa"/>
            <w:shd w:val="clear" w:color="auto" w:fill="FFFFFF"/>
          </w:tcPr>
          <w:p w:rsidR="00AA4661" w:rsidRPr="00F8728A" w:rsidRDefault="00AA4661" w:rsidP="00B155A6">
            <w:pPr>
              <w:spacing w:before="20" w:after="20"/>
              <w:jc w:val="center"/>
              <w:rPr>
                <w:rFonts w:ascii="Calibri" w:hAnsi="Calibri" w:cs="Calibri"/>
              </w:rPr>
            </w:pPr>
          </w:p>
        </w:tc>
        <w:tc>
          <w:tcPr>
            <w:tcW w:w="1075" w:type="dxa"/>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1017" w:type="dxa"/>
            <w:shd w:val="clear" w:color="auto" w:fill="FFFFFF"/>
          </w:tcPr>
          <w:p w:rsidR="00AA4661" w:rsidRPr="00F8728A" w:rsidRDefault="00AA4661" w:rsidP="00B155A6">
            <w:pPr>
              <w:spacing w:before="20" w:after="20"/>
              <w:jc w:val="center"/>
              <w:rPr>
                <w:rFonts w:ascii="Calibri" w:hAnsi="Calibri" w:cs="Calibri"/>
              </w:rPr>
            </w:pPr>
          </w:p>
        </w:tc>
        <w:tc>
          <w:tcPr>
            <w:tcW w:w="852"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810" w:type="dxa"/>
            <w:shd w:val="clear" w:color="auto" w:fill="FFFFFF"/>
          </w:tcPr>
          <w:p w:rsidR="00AA4661" w:rsidRPr="00F8728A" w:rsidRDefault="00AA4661" w:rsidP="00B155A6">
            <w:pPr>
              <w:spacing w:before="20" w:after="20"/>
              <w:jc w:val="center"/>
              <w:rPr>
                <w:rFonts w:ascii="Calibri" w:hAnsi="Calibri" w:cs="Calibri"/>
              </w:rPr>
            </w:pPr>
          </w:p>
        </w:tc>
        <w:tc>
          <w:tcPr>
            <w:tcW w:w="1714"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r>
      <w:tr w:rsidR="00AA4661" w:rsidRPr="00F8728A" w:rsidTr="000614A3">
        <w:trPr>
          <w:trHeight w:val="1341"/>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750" w:type="dxa"/>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Точната и актуална информация е важна за процеса на АИК, но е най-важна за УРБ. Тази опция би могла да бъде разработена и изпълнена съвместно с варианти 6 и 30. Свързани с категорията "изграждане на капацитет", целта на опцията е да предостави различни сведения за:</w:t>
            </w:r>
          </w:p>
          <w:p w:rsidR="00AA4661" w:rsidRPr="00F8728A" w:rsidRDefault="00AA4661" w:rsidP="00CF297A">
            <w:pPr>
              <w:pStyle w:val="ListParagraph1"/>
              <w:widowControl w:val="0"/>
              <w:numPr>
                <w:ilvl w:val="0"/>
                <w:numId w:val="63"/>
              </w:numPr>
              <w:autoSpaceDE w:val="0"/>
              <w:autoSpaceDN w:val="0"/>
              <w:adjustRightInd w:val="0"/>
              <w:spacing w:before="20" w:after="20" w:line="240" w:lineRule="auto"/>
              <w:ind w:left="348" w:hanging="284"/>
              <w:jc w:val="both"/>
              <w:rPr>
                <w:rFonts w:ascii="Calibri" w:hAnsi="Calibri" w:cs="Calibri"/>
                <w:sz w:val="20"/>
                <w:szCs w:val="22"/>
                <w:lang w:val="bg-BG" w:eastAsia="en-US"/>
              </w:rPr>
            </w:pPr>
            <w:r w:rsidRPr="00F8728A">
              <w:rPr>
                <w:rFonts w:ascii="Calibri" w:hAnsi="Calibri" w:cs="Calibri"/>
                <w:sz w:val="20"/>
                <w:szCs w:val="22"/>
                <w:lang w:val="bg-BG" w:eastAsia="en-US"/>
              </w:rPr>
              <w:t>изследователи, участващи в проучвания на АИК за градската среда;</w:t>
            </w:r>
          </w:p>
          <w:p w:rsidR="00AA4661" w:rsidRPr="00F8728A" w:rsidRDefault="00AA4661" w:rsidP="00CF297A">
            <w:pPr>
              <w:pStyle w:val="ListParagraph1"/>
              <w:widowControl w:val="0"/>
              <w:numPr>
                <w:ilvl w:val="0"/>
                <w:numId w:val="63"/>
              </w:numPr>
              <w:autoSpaceDE w:val="0"/>
              <w:autoSpaceDN w:val="0"/>
              <w:adjustRightInd w:val="0"/>
              <w:spacing w:before="20" w:after="20" w:line="240" w:lineRule="auto"/>
              <w:ind w:left="348" w:hanging="284"/>
              <w:jc w:val="both"/>
              <w:rPr>
                <w:rFonts w:ascii="Calibri" w:hAnsi="Calibri" w:cs="Calibri"/>
                <w:sz w:val="20"/>
                <w:szCs w:val="22"/>
                <w:lang w:val="bg-BG" w:eastAsia="en-US"/>
              </w:rPr>
            </w:pPr>
            <w:r w:rsidRPr="00F8728A">
              <w:rPr>
                <w:rFonts w:ascii="Calibri" w:hAnsi="Calibri" w:cs="Calibri"/>
                <w:sz w:val="20"/>
                <w:szCs w:val="22"/>
                <w:lang w:val="bg-BG" w:eastAsia="en-US"/>
              </w:rPr>
              <w:t>вземащи решения и политици;</w:t>
            </w:r>
          </w:p>
          <w:p w:rsidR="00AA4661" w:rsidRPr="00F8728A" w:rsidRDefault="00AA4661" w:rsidP="00CF297A">
            <w:pPr>
              <w:pStyle w:val="ListParagraph1"/>
              <w:widowControl w:val="0"/>
              <w:numPr>
                <w:ilvl w:val="0"/>
                <w:numId w:val="63"/>
              </w:numPr>
              <w:autoSpaceDE w:val="0"/>
              <w:autoSpaceDN w:val="0"/>
              <w:adjustRightInd w:val="0"/>
              <w:spacing w:before="20" w:after="20" w:line="240" w:lineRule="auto"/>
              <w:ind w:left="348" w:hanging="284"/>
              <w:jc w:val="both"/>
              <w:rPr>
                <w:rFonts w:ascii="Calibri" w:hAnsi="Calibri" w:cs="Calibri"/>
                <w:sz w:val="20"/>
                <w:szCs w:val="22"/>
                <w:lang w:val="bg-BG" w:eastAsia="en-US"/>
              </w:rPr>
            </w:pPr>
            <w:r w:rsidRPr="00F8728A">
              <w:rPr>
                <w:rFonts w:ascii="Calibri" w:hAnsi="Calibri" w:cs="Calibri"/>
                <w:sz w:val="20"/>
                <w:szCs w:val="22"/>
                <w:lang w:val="bg-BG" w:eastAsia="en-US"/>
              </w:rPr>
              <w:t>спасителни екипи и оператори на аварийни устройства и системи за ранно предупреждение;</w:t>
            </w:r>
          </w:p>
          <w:p w:rsidR="00AA4661" w:rsidRPr="00F8728A" w:rsidRDefault="00AA4661" w:rsidP="00CF297A">
            <w:pPr>
              <w:pStyle w:val="ListParagraph1"/>
              <w:widowControl w:val="0"/>
              <w:numPr>
                <w:ilvl w:val="0"/>
                <w:numId w:val="63"/>
              </w:numPr>
              <w:autoSpaceDE w:val="0"/>
              <w:autoSpaceDN w:val="0"/>
              <w:adjustRightInd w:val="0"/>
              <w:spacing w:before="20" w:after="20" w:line="240" w:lineRule="auto"/>
              <w:ind w:left="348" w:hanging="284"/>
              <w:jc w:val="both"/>
              <w:rPr>
                <w:rFonts w:ascii="Calibri" w:hAnsi="Calibri" w:cs="Calibri"/>
                <w:sz w:val="20"/>
                <w:szCs w:val="22"/>
                <w:lang w:val="bg-BG" w:eastAsia="en-US"/>
              </w:rPr>
            </w:pPr>
            <w:r w:rsidRPr="00F8728A">
              <w:rPr>
                <w:rFonts w:ascii="Calibri" w:hAnsi="Calibri" w:cs="Calibri"/>
                <w:sz w:val="20"/>
                <w:szCs w:val="22"/>
                <w:lang w:val="bg-BG" w:eastAsia="en-US"/>
              </w:rPr>
              <w:t>широката общественост.</w:t>
            </w:r>
          </w:p>
        </w:tc>
      </w:tr>
      <w:tr w:rsidR="00AA4661" w:rsidRPr="00F8728A" w:rsidTr="000614A3">
        <w:trPr>
          <w:trHeight w:val="67"/>
          <w:jc w:val="center"/>
        </w:trPr>
        <w:tc>
          <w:tcPr>
            <w:tcW w:w="2605"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85"/>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83"/>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 -</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258"/>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750"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Намален риск от бедствия, в резултат на екстремни метеорологични събития.</w:t>
            </w:r>
          </w:p>
        </w:tc>
      </w:tr>
      <w:tr w:rsidR="00AA4661" w:rsidRPr="00F8728A" w:rsidTr="000614A3">
        <w:trPr>
          <w:trHeight w:val="59"/>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569"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181"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 Селско и Горско стопанство, Биоразнообразие.</w:t>
            </w:r>
          </w:p>
        </w:tc>
      </w:tr>
      <w:tr w:rsidR="00AA4661" w:rsidRPr="00F8728A" w:rsidTr="000614A3">
        <w:trPr>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750"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w:t>
            </w:r>
          </w:p>
        </w:tc>
      </w:tr>
      <w:tr w:rsidR="00AA4661" w:rsidRPr="00F8728A" w:rsidTr="000614A3">
        <w:trPr>
          <w:trHeight w:val="360"/>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i/>
                <w:color w:val="000000"/>
                <w:sz w:val="22"/>
              </w:rPr>
            </w:pPr>
            <w:r w:rsidRPr="00F8728A">
              <w:rPr>
                <w:rFonts w:ascii="Calibri" w:hAnsi="Calibri" w:cs="Calibri"/>
                <w:b/>
                <w:i/>
                <w:smallCaps/>
                <w:color w:val="000000"/>
                <w:sz w:val="22"/>
              </w:rPr>
              <w:t>Развиване на осведоменост, ангажираност, знания за АИК и съответна култура сред широката общественост</w:t>
            </w:r>
          </w:p>
        </w:tc>
      </w:tr>
      <w:tr w:rsidR="00AA4661" w:rsidRPr="00F8728A" w:rsidTr="000614A3">
        <w:trPr>
          <w:jc w:val="center"/>
        </w:trPr>
        <w:tc>
          <w:tcPr>
            <w:tcW w:w="2605"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282"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75"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101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852"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810"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714"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605"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282" w:type="dxa"/>
            <w:shd w:val="clear" w:color="auto" w:fill="FFFFFF"/>
          </w:tcPr>
          <w:p w:rsidR="00AA4661" w:rsidRPr="00F8728A" w:rsidRDefault="00AA4661" w:rsidP="00B155A6">
            <w:pPr>
              <w:spacing w:before="20" w:after="20"/>
              <w:jc w:val="center"/>
              <w:rPr>
                <w:rFonts w:ascii="Calibri" w:hAnsi="Calibri" w:cs="Calibri"/>
              </w:rPr>
            </w:pPr>
          </w:p>
        </w:tc>
        <w:tc>
          <w:tcPr>
            <w:tcW w:w="1075" w:type="dxa"/>
            <w:gridSpan w:val="2"/>
            <w:shd w:val="clear" w:color="auto" w:fill="FFFFFF"/>
          </w:tcPr>
          <w:p w:rsidR="00AA4661" w:rsidRPr="00F8728A" w:rsidRDefault="00AA4661" w:rsidP="00B155A6">
            <w:pPr>
              <w:spacing w:before="20" w:after="20"/>
              <w:jc w:val="center"/>
              <w:rPr>
                <w:rFonts w:ascii="Calibri" w:hAnsi="Calibri" w:cs="Calibri"/>
              </w:rPr>
            </w:pPr>
          </w:p>
        </w:tc>
        <w:tc>
          <w:tcPr>
            <w:tcW w:w="1017" w:type="dxa"/>
            <w:shd w:val="clear" w:color="auto" w:fill="FFFFFF"/>
          </w:tcPr>
          <w:p w:rsidR="00AA4661" w:rsidRPr="00F8728A" w:rsidRDefault="00AA4661" w:rsidP="00B155A6">
            <w:pPr>
              <w:spacing w:before="20" w:after="20"/>
              <w:jc w:val="center"/>
              <w:rPr>
                <w:rFonts w:ascii="Calibri" w:hAnsi="Calibri" w:cs="Calibri"/>
              </w:rPr>
            </w:pPr>
          </w:p>
        </w:tc>
        <w:tc>
          <w:tcPr>
            <w:tcW w:w="852"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810" w:type="dxa"/>
            <w:shd w:val="clear" w:color="auto" w:fill="FFFFFF"/>
          </w:tcPr>
          <w:p w:rsidR="00AA4661" w:rsidRPr="00F8728A" w:rsidRDefault="00AA4661" w:rsidP="00B155A6">
            <w:pPr>
              <w:spacing w:before="20" w:after="20"/>
              <w:jc w:val="center"/>
              <w:rPr>
                <w:rFonts w:ascii="Calibri" w:hAnsi="Calibri" w:cs="Calibri"/>
              </w:rPr>
            </w:pPr>
          </w:p>
        </w:tc>
        <w:tc>
          <w:tcPr>
            <w:tcW w:w="1714" w:type="dxa"/>
            <w:shd w:val="clear" w:color="auto" w:fill="FFFFFF"/>
          </w:tcPr>
          <w:p w:rsidR="00AA4661" w:rsidRPr="00F8728A" w:rsidRDefault="00AA4661" w:rsidP="00B155A6">
            <w:pPr>
              <w:spacing w:before="20" w:after="20"/>
              <w:jc w:val="center"/>
              <w:rPr>
                <w:rFonts w:ascii="Calibri" w:hAnsi="Calibri" w:cs="Calibri"/>
              </w:rPr>
            </w:pPr>
          </w:p>
        </w:tc>
      </w:tr>
      <w:tr w:rsidR="00AA4661" w:rsidRPr="00F8728A" w:rsidTr="000614A3">
        <w:trPr>
          <w:trHeight w:val="4509"/>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750" w:type="dxa"/>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Този вариант е насочен към необходимостта от изграждане на гъвкави общности чрез информационни кампании и обучение. Има няколко важни послания, които трябва да бъдат разпространени сред населението, включително:</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Изменение на климата и въздействието на екстремни метеорологични събития - обща информация и специфична за обекта/населеното място информация</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Възможни ползи и загуби в случай на авария и бедствие</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Самоподдържащи се  и спасителни системи и подкрепа от общността</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Общи правила за оцеляване - поведение по време на и след бедствие</w:t>
            </w:r>
          </w:p>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Информационните кампании за широката общественост са най-добре организирани на местно ниво, с подкрепата на НПО, насочени към определена аудитория и съобразени с техните нужди чрез внимателно подбрани комуникационни събития и инструменти. Платформата ADAPT за климата публикува препоръки като част от опитите да се увеличи делът на хората, информирани в държавите-членки на ЕС. (55% през 2009 г., 49% през 2011 г.). (</w:t>
            </w:r>
            <w:hyperlink r:id="rId118" w:history="1">
              <w:r w:rsidRPr="00F8728A">
                <w:rPr>
                  <w:rFonts w:ascii="Calibri" w:hAnsi="Calibri" w:cs="Calibri"/>
                  <w:color w:val="0000FF"/>
                  <w:u w:val="single"/>
                </w:rPr>
                <w:t>http://climate-adapt.eea.europa.eu/metadata/adaptation-options/awareness-campaigns-for-behavioural-change</w:t>
              </w:r>
            </w:hyperlink>
            <w:r w:rsidRPr="00F8728A">
              <w:rPr>
                <w:rFonts w:ascii="Calibri" w:hAnsi="Calibri" w:cs="Calibri"/>
              </w:rPr>
              <w:t xml:space="preserve">)  Световната здравна организация (WHO) осигурява свободен достъп до онлайн информационен портал и UNEP препоръчва екологичен подход при АИК на крайбрежни територии.  </w:t>
            </w:r>
            <w:hyperlink r:id="rId119" w:history="1">
              <w:r w:rsidRPr="00F8728A">
                <w:rPr>
                  <w:rFonts w:ascii="Calibri" w:hAnsi="Calibri" w:cs="Calibri"/>
                  <w:color w:val="0000FF"/>
                  <w:u w:val="single"/>
                </w:rPr>
                <w:t>http://web.unep.org/coastal-eba/capacity-building-mainstreaming</w:t>
              </w:r>
            </w:hyperlink>
            <w:r w:rsidRPr="00F8728A">
              <w:rPr>
                <w:rFonts w:ascii="Calibri" w:hAnsi="Calibri" w:cs="Calibri"/>
              </w:rPr>
              <w:t>. Въпреки това, преодоляването на несигурността остава проблем.</w:t>
            </w:r>
          </w:p>
        </w:tc>
      </w:tr>
      <w:tr w:rsidR="00AA4661" w:rsidRPr="00F8728A" w:rsidTr="000614A3">
        <w:trPr>
          <w:trHeight w:val="269"/>
          <w:jc w:val="center"/>
        </w:trPr>
        <w:tc>
          <w:tcPr>
            <w:tcW w:w="2605"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139"/>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270"/>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 -</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73"/>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750"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Подобрено социално поведение и култура; развита осведоменост и знания за въздействието на изменението на климата върху градската среда; стимулирани умения за самоподдържане; по-ефективно използване на оскъдните ресурси - вода, енергия, храна; по-добро използване на местните знания.</w:t>
            </w:r>
          </w:p>
        </w:tc>
      </w:tr>
      <w:tr w:rsidR="00AA4661" w:rsidRPr="00F8728A" w:rsidTr="000614A3">
        <w:trPr>
          <w:trHeight w:val="59"/>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569"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181"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 Селско и Горско стопанство, Туризъм и Биоразнообразие.</w:t>
            </w:r>
          </w:p>
        </w:tc>
      </w:tr>
      <w:tr w:rsidR="00AA4661" w:rsidRPr="00F8728A" w:rsidTr="000614A3">
        <w:trPr>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750"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w:t>
            </w:r>
          </w:p>
        </w:tc>
      </w:tr>
    </w:tbl>
    <w:p w:rsidR="00AA4661" w:rsidRPr="00F8728A" w:rsidRDefault="00AA4661" w:rsidP="00FF27EC">
      <w:pPr>
        <w:spacing w:after="0"/>
        <w:rPr>
          <w:sz w:val="10"/>
          <w:szCs w:val="10"/>
        </w:rPr>
      </w:pPr>
    </w:p>
    <w:tbl>
      <w:tblPr>
        <w:tblW w:w="5156"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904"/>
        <w:gridCol w:w="909"/>
        <w:gridCol w:w="819"/>
        <w:gridCol w:w="1123"/>
        <w:gridCol w:w="136"/>
        <w:gridCol w:w="930"/>
        <w:gridCol w:w="1055"/>
        <w:gridCol w:w="1027"/>
        <w:gridCol w:w="1002"/>
        <w:gridCol w:w="1549"/>
      </w:tblGrid>
      <w:tr w:rsidR="00AA4661" w:rsidRPr="00F8728A" w:rsidTr="000614A3">
        <w:trPr>
          <w:trHeight w:val="69"/>
          <w:jc w:val="center"/>
        </w:trPr>
        <w:tc>
          <w:tcPr>
            <w:tcW w:w="5000" w:type="pct"/>
            <w:gridSpan w:val="10"/>
            <w:shd w:val="clear" w:color="auto" w:fill="A8D08D"/>
          </w:tcPr>
          <w:p w:rsidR="00AA4661" w:rsidRPr="00F8728A" w:rsidRDefault="00AA4661" w:rsidP="00CF297A">
            <w:pPr>
              <w:pStyle w:val="ListParagraph1"/>
              <w:widowControl w:val="0"/>
              <w:numPr>
                <w:ilvl w:val="0"/>
                <w:numId w:val="61"/>
              </w:numPr>
              <w:spacing w:before="20" w:after="20" w:line="240" w:lineRule="auto"/>
              <w:ind w:left="893"/>
              <w:jc w:val="both"/>
              <w:rPr>
                <w:b/>
                <w:sz w:val="20"/>
                <w:szCs w:val="22"/>
                <w:lang w:val="bg-BG" w:eastAsia="en-US"/>
              </w:rPr>
            </w:pPr>
            <w:r w:rsidRPr="00F8728A">
              <w:rPr>
                <w:rFonts w:ascii="Calibri" w:hAnsi="Calibri" w:cs="Calibri"/>
                <w:b/>
                <w:bCs/>
                <w:color w:val="000000"/>
                <w:sz w:val="24"/>
                <w:szCs w:val="22"/>
                <w:lang w:val="bg-BG" w:eastAsia="en-US"/>
              </w:rPr>
              <w:t>Категория „Партньорство“</w:t>
            </w:r>
          </w:p>
        </w:tc>
      </w:tr>
      <w:tr w:rsidR="00AA4661" w:rsidRPr="00F8728A" w:rsidTr="000614A3">
        <w:trPr>
          <w:trHeight w:val="145"/>
          <w:jc w:val="center"/>
        </w:trPr>
        <w:tc>
          <w:tcPr>
            <w:tcW w:w="5000" w:type="pct"/>
            <w:gridSpan w:val="10"/>
            <w:shd w:val="clear" w:color="auto" w:fill="E2EFD9"/>
          </w:tcPr>
          <w:p w:rsidR="00AA4661" w:rsidRPr="00F8728A" w:rsidRDefault="00AA4661" w:rsidP="00B155A6">
            <w:pPr>
              <w:spacing w:before="40" w:after="40"/>
              <w:ind w:left="125"/>
              <w:jc w:val="both"/>
              <w:rPr>
                <w:rFonts w:ascii="Calibri" w:hAnsi="Calibri" w:cs="Calibri"/>
                <w:b/>
                <w:bCs/>
                <w:color w:val="000000"/>
                <w:sz w:val="22"/>
              </w:rPr>
            </w:pPr>
            <w:r w:rsidRPr="00F8728A">
              <w:rPr>
                <w:rFonts w:ascii="Calibri" w:hAnsi="Calibri" w:cs="Calibri"/>
                <w:b/>
                <w:bCs/>
                <w:color w:val="000000"/>
                <w:sz w:val="22"/>
              </w:rPr>
              <w:t>Работа в партньорство и комуникация на знания</w:t>
            </w:r>
          </w:p>
        </w:tc>
      </w:tr>
      <w:tr w:rsidR="00AA4661" w:rsidRPr="00F8728A" w:rsidTr="000614A3">
        <w:trPr>
          <w:trHeight w:val="69"/>
          <w:jc w:val="center"/>
        </w:trPr>
        <w:tc>
          <w:tcPr>
            <w:tcW w:w="5000" w:type="pct"/>
            <w:gridSpan w:val="10"/>
          </w:tcPr>
          <w:p w:rsidR="00AA4661" w:rsidRPr="00F8728A" w:rsidRDefault="00AA4661" w:rsidP="00CF297A">
            <w:pPr>
              <w:widowControl w:val="0"/>
              <w:numPr>
                <w:ilvl w:val="0"/>
                <w:numId w:val="48"/>
              </w:numPr>
              <w:spacing w:before="40" w:after="40"/>
              <w:ind w:left="504" w:right="144"/>
              <w:jc w:val="both"/>
              <w:rPr>
                <w:rFonts w:ascii="Calibri" w:hAnsi="Calibri" w:cs="Calibri"/>
                <w:b/>
                <w:i/>
                <w:smallCaps/>
                <w:color w:val="000000"/>
                <w:sz w:val="22"/>
              </w:rPr>
            </w:pPr>
            <w:r w:rsidRPr="00F8728A">
              <w:rPr>
                <w:rFonts w:ascii="Calibri" w:hAnsi="Calibri" w:cs="Calibri"/>
                <w:b/>
                <w:i/>
                <w:smallCaps/>
                <w:color w:val="000000"/>
                <w:sz w:val="22"/>
              </w:rPr>
              <w:t>Насърчаване на партньорството, работата в мрежа  и сътрудничеството сред различните възрастови, полови, етнически, професионални и социални групи, включително тези в неравностойно положение</w:t>
            </w:r>
          </w:p>
        </w:tc>
      </w:tr>
      <w:tr w:rsidR="00AA4661" w:rsidRPr="00F8728A" w:rsidTr="000614A3">
        <w:trPr>
          <w:jc w:val="center"/>
        </w:trPr>
        <w:tc>
          <w:tcPr>
            <w:tcW w:w="1392" w:type="pct"/>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594"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564" w:type="pct"/>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558"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543"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530"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819"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1392" w:type="pct"/>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594" w:type="pct"/>
            <w:shd w:val="clear" w:color="auto" w:fill="FFFFFF"/>
          </w:tcPr>
          <w:p w:rsidR="00AA4661" w:rsidRPr="00F8728A" w:rsidRDefault="00AA4661" w:rsidP="00B155A6">
            <w:pPr>
              <w:spacing w:before="20" w:after="20"/>
              <w:jc w:val="center"/>
              <w:rPr>
                <w:rFonts w:ascii="Calibri" w:hAnsi="Calibri" w:cs="Calibri"/>
              </w:rPr>
            </w:pPr>
          </w:p>
        </w:tc>
        <w:tc>
          <w:tcPr>
            <w:tcW w:w="564" w:type="pct"/>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558" w:type="pct"/>
            <w:shd w:val="clear" w:color="auto" w:fill="FFFFFF"/>
          </w:tcPr>
          <w:p w:rsidR="00AA4661" w:rsidRPr="00F8728A" w:rsidRDefault="00AA4661" w:rsidP="00B155A6">
            <w:pPr>
              <w:spacing w:before="20" w:after="20"/>
              <w:jc w:val="center"/>
              <w:rPr>
                <w:rFonts w:ascii="Calibri" w:hAnsi="Calibri" w:cs="Calibri"/>
              </w:rPr>
            </w:pPr>
          </w:p>
        </w:tc>
        <w:tc>
          <w:tcPr>
            <w:tcW w:w="543" w:type="pct"/>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530" w:type="pct"/>
            <w:shd w:val="clear" w:color="auto" w:fill="FFFFFF"/>
          </w:tcPr>
          <w:p w:rsidR="00AA4661" w:rsidRPr="00F8728A" w:rsidRDefault="00AA4661" w:rsidP="00B155A6">
            <w:pPr>
              <w:spacing w:before="20" w:after="20"/>
              <w:jc w:val="center"/>
              <w:rPr>
                <w:rFonts w:ascii="Calibri" w:hAnsi="Calibri" w:cs="Calibri"/>
              </w:rPr>
            </w:pPr>
          </w:p>
        </w:tc>
        <w:tc>
          <w:tcPr>
            <w:tcW w:w="819" w:type="pct"/>
            <w:shd w:val="clear" w:color="auto" w:fill="FFFFFF"/>
          </w:tcPr>
          <w:p w:rsidR="00AA4661" w:rsidRPr="00F8728A" w:rsidRDefault="00AA4661" w:rsidP="00B155A6">
            <w:pPr>
              <w:spacing w:before="20" w:after="20"/>
              <w:jc w:val="center"/>
              <w:rPr>
                <w:rFonts w:ascii="Calibri" w:hAnsi="Calibri" w:cs="Calibri"/>
              </w:rPr>
            </w:pPr>
          </w:p>
        </w:tc>
      </w:tr>
      <w:tr w:rsidR="00AA4661" w:rsidRPr="00F8728A" w:rsidTr="000614A3">
        <w:trPr>
          <w:trHeight w:val="1134"/>
          <w:jc w:val="center"/>
        </w:trPr>
        <w:tc>
          <w:tcPr>
            <w:tcW w:w="1392" w:type="pct"/>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3608" w:type="pct"/>
            <w:gridSpan w:val="7"/>
            <w:vMerge w:val="restart"/>
            <w:shd w:val="clear" w:color="auto" w:fill="D9D9D9"/>
          </w:tcPr>
          <w:p w:rsidR="00AA4661" w:rsidRPr="00F8728A" w:rsidRDefault="00AA4661" w:rsidP="00B155A6">
            <w:pPr>
              <w:autoSpaceDE w:val="0"/>
              <w:autoSpaceDN w:val="0"/>
              <w:adjustRightInd w:val="0"/>
              <w:spacing w:before="20" w:after="20"/>
              <w:contextualSpacing/>
              <w:jc w:val="both"/>
              <w:rPr>
                <w:rFonts w:ascii="Calibri" w:hAnsi="Calibri" w:cs="Calibri"/>
              </w:rPr>
            </w:pPr>
            <w:r w:rsidRPr="00F8728A">
              <w:rPr>
                <w:rFonts w:ascii="Calibri" w:hAnsi="Calibri" w:cs="Calibri"/>
              </w:rPr>
              <w:t>Първата опция в категорията има за цел да се идентифицират целевите групи и основните заинтересовани страни, участниците в процеса на АИК, да се проучи техният капацитет, подготвеност и готовност за работа в мрежа и сътрудничество. Веднъж идентифицирани, на тези представители трябва да бъдат отредени ясни роли и отговорности в АИК и УРБ. Важно е също така да се идентифицират специфичните нужди на уязвимите групи и групите в неравностойно положение в съответствие с техните специфични психически и физически характеристики. Този вариант трябва да бъде напълно разработен на местно ниво с подкрепата на неправителствения сектор.</w:t>
            </w:r>
          </w:p>
        </w:tc>
      </w:tr>
      <w:tr w:rsidR="00AA4661" w:rsidRPr="00F8728A" w:rsidTr="000614A3">
        <w:trPr>
          <w:trHeight w:val="128"/>
          <w:jc w:val="center"/>
        </w:trPr>
        <w:tc>
          <w:tcPr>
            <w:tcW w:w="1392" w:type="pct"/>
            <w:gridSpan w:val="3"/>
            <w:shd w:val="clear" w:color="auto" w:fill="000000"/>
            <w:vAlign w:val="center"/>
          </w:tcPr>
          <w:p w:rsidR="00AA4661" w:rsidRPr="00F8728A" w:rsidRDefault="00AA4661" w:rsidP="00B155A6">
            <w:pPr>
              <w:spacing w:before="20" w:after="20"/>
              <w:jc w:val="center"/>
              <w:rPr>
                <w:rFonts w:ascii="Calibri" w:hAnsi="Calibri" w:cs="Calibri"/>
                <w:color w:val="FFFFFF"/>
                <w:sz w:val="18"/>
                <w:szCs w:val="18"/>
              </w:rPr>
            </w:pPr>
            <w:r w:rsidRPr="00F8728A">
              <w:rPr>
                <w:rFonts w:ascii="Calibri" w:hAnsi="Calibri" w:cs="Calibri"/>
                <w:color w:val="FFFFFF"/>
                <w:sz w:val="18"/>
                <w:szCs w:val="18"/>
              </w:rPr>
              <w:t>Релевантност на варианта</w:t>
            </w:r>
          </w:p>
        </w:tc>
        <w:tc>
          <w:tcPr>
            <w:tcW w:w="3608" w:type="pct"/>
            <w:gridSpan w:val="7"/>
            <w:vMerge/>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p>
        </w:tc>
      </w:tr>
      <w:tr w:rsidR="00AA4661" w:rsidRPr="00F8728A" w:rsidTr="000614A3">
        <w:trPr>
          <w:trHeight w:val="113"/>
          <w:jc w:val="center"/>
        </w:trPr>
        <w:tc>
          <w:tcPr>
            <w:tcW w:w="478"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481"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433"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3608" w:type="pct"/>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77"/>
          <w:jc w:val="center"/>
        </w:trPr>
        <w:tc>
          <w:tcPr>
            <w:tcW w:w="478"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481"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433"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3608" w:type="pct"/>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63"/>
          <w:jc w:val="center"/>
        </w:trPr>
        <w:tc>
          <w:tcPr>
            <w:tcW w:w="1392" w:type="pct"/>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3608" w:type="pct"/>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 xml:space="preserve">Институциално развитие; подобрена координация; икономия от мащаба, на време и ресурси; идентифицирани проблеми, потребности и заинтересовани страни. </w:t>
            </w:r>
          </w:p>
        </w:tc>
      </w:tr>
      <w:tr w:rsidR="00AA4661" w:rsidRPr="00F8728A" w:rsidTr="000614A3">
        <w:trPr>
          <w:trHeight w:val="59"/>
          <w:jc w:val="center"/>
        </w:trPr>
        <w:tc>
          <w:tcPr>
            <w:tcW w:w="1392" w:type="pct"/>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666" w:type="pct"/>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2941" w:type="pct"/>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 Туризъм, Селско и Горско стопанство, Биоразнообразие.</w:t>
            </w:r>
          </w:p>
        </w:tc>
      </w:tr>
      <w:tr w:rsidR="00AA4661" w:rsidRPr="00F8728A" w:rsidTr="000614A3">
        <w:trPr>
          <w:trHeight w:val="320"/>
          <w:jc w:val="center"/>
        </w:trPr>
        <w:tc>
          <w:tcPr>
            <w:tcW w:w="1392" w:type="pct"/>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3608" w:type="pct"/>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 xml:space="preserve">Всички рискове </w:t>
            </w:r>
          </w:p>
        </w:tc>
      </w:tr>
    </w:tbl>
    <w:p w:rsidR="00AA4661" w:rsidRPr="00F8728A" w:rsidRDefault="00AA4661" w:rsidP="00FF27EC">
      <w:pPr>
        <w:spacing w:after="0"/>
        <w:rPr>
          <w:sz w:val="10"/>
          <w:szCs w:val="10"/>
        </w:rPr>
      </w:pP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5"/>
        <w:gridCol w:w="900"/>
        <w:gridCol w:w="810"/>
        <w:gridCol w:w="1357"/>
        <w:gridCol w:w="287"/>
        <w:gridCol w:w="765"/>
        <w:gridCol w:w="995"/>
        <w:gridCol w:w="817"/>
        <w:gridCol w:w="768"/>
        <w:gridCol w:w="1761"/>
      </w:tblGrid>
      <w:tr w:rsidR="00AA4661" w:rsidRPr="00F8728A" w:rsidTr="000614A3">
        <w:trPr>
          <w:trHeight w:val="360"/>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b/>
                <w:i/>
                <w:smallCaps/>
                <w:color w:val="000000"/>
                <w:sz w:val="22"/>
              </w:rPr>
            </w:pPr>
            <w:r w:rsidRPr="00F8728A">
              <w:rPr>
                <w:rFonts w:ascii="Calibri" w:hAnsi="Calibri" w:cs="Calibri"/>
                <w:b/>
                <w:i/>
                <w:smallCaps/>
                <w:color w:val="000000"/>
                <w:sz w:val="22"/>
              </w:rPr>
              <w:t>Популяризиране и подкрепа на работата в мрежа</w:t>
            </w:r>
          </w:p>
        </w:tc>
      </w:tr>
      <w:tr w:rsidR="00AA4661" w:rsidRPr="00F8728A" w:rsidTr="000614A3">
        <w:trPr>
          <w:jc w:val="center"/>
        </w:trPr>
        <w:tc>
          <w:tcPr>
            <w:tcW w:w="2605"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35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52"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995"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81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768"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761"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605"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357" w:type="dxa"/>
            <w:shd w:val="clear" w:color="auto" w:fill="FFFFFF"/>
          </w:tcPr>
          <w:p w:rsidR="00AA4661" w:rsidRPr="00F8728A" w:rsidRDefault="00AA4661" w:rsidP="00B155A6">
            <w:pPr>
              <w:spacing w:before="20" w:after="20"/>
              <w:jc w:val="center"/>
              <w:rPr>
                <w:rFonts w:ascii="Calibri" w:hAnsi="Calibri" w:cs="Calibri"/>
              </w:rPr>
            </w:pPr>
          </w:p>
        </w:tc>
        <w:tc>
          <w:tcPr>
            <w:tcW w:w="1052" w:type="dxa"/>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995" w:type="dxa"/>
            <w:shd w:val="clear" w:color="auto" w:fill="FFFFFF"/>
          </w:tcPr>
          <w:p w:rsidR="00AA4661" w:rsidRPr="00F8728A" w:rsidRDefault="00AA4661" w:rsidP="00B155A6">
            <w:pPr>
              <w:spacing w:before="20" w:after="20"/>
              <w:jc w:val="center"/>
              <w:rPr>
                <w:rFonts w:ascii="Calibri" w:hAnsi="Calibri" w:cs="Calibri"/>
              </w:rPr>
            </w:pPr>
          </w:p>
        </w:tc>
        <w:tc>
          <w:tcPr>
            <w:tcW w:w="817"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768" w:type="dxa"/>
            <w:shd w:val="clear" w:color="auto" w:fill="FFFFFF"/>
          </w:tcPr>
          <w:p w:rsidR="00AA4661" w:rsidRPr="00F8728A" w:rsidRDefault="00AA4661" w:rsidP="00B155A6">
            <w:pPr>
              <w:spacing w:before="20" w:after="20"/>
              <w:jc w:val="center"/>
              <w:rPr>
                <w:rFonts w:ascii="Calibri" w:hAnsi="Calibri" w:cs="Calibri"/>
              </w:rPr>
            </w:pPr>
          </w:p>
        </w:tc>
        <w:tc>
          <w:tcPr>
            <w:tcW w:w="1761"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r>
      <w:tr w:rsidR="00AA4661" w:rsidRPr="00F8728A" w:rsidTr="000614A3">
        <w:trPr>
          <w:trHeight w:val="1898"/>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750" w:type="dxa"/>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Работата в мрежа при АИК на градската среда е от изключително значение и цели:</w:t>
            </w:r>
          </w:p>
          <w:p w:rsidR="00AA4661" w:rsidRPr="00F8728A" w:rsidRDefault="00AA4661" w:rsidP="00CF297A">
            <w:pPr>
              <w:pStyle w:val="ListParagraph1"/>
              <w:widowControl w:val="0"/>
              <w:numPr>
                <w:ilvl w:val="0"/>
                <w:numId w:val="63"/>
              </w:numPr>
              <w:autoSpaceDE w:val="0"/>
              <w:autoSpaceDN w:val="0"/>
              <w:adjustRightInd w:val="0"/>
              <w:spacing w:before="20" w:after="20" w:line="240" w:lineRule="auto"/>
              <w:ind w:left="348" w:hanging="284"/>
              <w:jc w:val="both"/>
              <w:rPr>
                <w:rFonts w:ascii="Calibri" w:hAnsi="Calibri" w:cs="Calibri"/>
                <w:sz w:val="20"/>
                <w:szCs w:val="22"/>
                <w:lang w:val="bg-BG" w:eastAsia="en-US"/>
              </w:rPr>
            </w:pPr>
            <w:r w:rsidRPr="00F8728A">
              <w:rPr>
                <w:rFonts w:ascii="Calibri" w:hAnsi="Calibri" w:cs="Calibri"/>
                <w:sz w:val="20"/>
                <w:szCs w:val="22"/>
                <w:lang w:val="bg-BG" w:eastAsia="en-US"/>
              </w:rPr>
              <w:t>Обмен на данни и комуникация на знания</w:t>
            </w:r>
          </w:p>
          <w:p w:rsidR="00AA4661" w:rsidRPr="00F8728A" w:rsidRDefault="00AA4661" w:rsidP="00CF297A">
            <w:pPr>
              <w:pStyle w:val="ListParagraph1"/>
              <w:widowControl w:val="0"/>
              <w:numPr>
                <w:ilvl w:val="0"/>
                <w:numId w:val="63"/>
              </w:numPr>
              <w:autoSpaceDE w:val="0"/>
              <w:autoSpaceDN w:val="0"/>
              <w:adjustRightInd w:val="0"/>
              <w:spacing w:before="20" w:after="20" w:line="240" w:lineRule="auto"/>
              <w:ind w:left="348" w:hanging="284"/>
              <w:jc w:val="both"/>
              <w:rPr>
                <w:rFonts w:ascii="Calibri" w:hAnsi="Calibri" w:cs="Calibri"/>
                <w:sz w:val="20"/>
                <w:szCs w:val="22"/>
                <w:lang w:val="bg-BG" w:eastAsia="en-US"/>
              </w:rPr>
            </w:pPr>
            <w:r w:rsidRPr="00F8728A">
              <w:rPr>
                <w:rFonts w:ascii="Calibri" w:hAnsi="Calibri" w:cs="Calibri"/>
                <w:sz w:val="20"/>
                <w:szCs w:val="22"/>
                <w:lang w:val="bg-BG" w:eastAsia="en-US"/>
              </w:rPr>
              <w:t xml:space="preserve">Прилагане на ноу-хау и примери на добри практики </w:t>
            </w:r>
          </w:p>
          <w:p w:rsidR="00AA4661" w:rsidRPr="00F8728A" w:rsidRDefault="00AA4661" w:rsidP="00CF297A">
            <w:pPr>
              <w:pStyle w:val="ListParagraph1"/>
              <w:widowControl w:val="0"/>
              <w:numPr>
                <w:ilvl w:val="0"/>
                <w:numId w:val="63"/>
              </w:numPr>
              <w:autoSpaceDE w:val="0"/>
              <w:autoSpaceDN w:val="0"/>
              <w:adjustRightInd w:val="0"/>
              <w:spacing w:before="20" w:after="20" w:line="240" w:lineRule="auto"/>
              <w:ind w:left="348" w:hanging="284"/>
              <w:jc w:val="both"/>
              <w:rPr>
                <w:rFonts w:ascii="Calibri" w:hAnsi="Calibri" w:cs="Calibri"/>
                <w:sz w:val="20"/>
                <w:szCs w:val="22"/>
                <w:lang w:val="bg-BG" w:eastAsia="en-US"/>
              </w:rPr>
            </w:pPr>
            <w:r w:rsidRPr="00F8728A">
              <w:rPr>
                <w:rFonts w:ascii="Calibri" w:hAnsi="Calibri" w:cs="Calibri"/>
                <w:sz w:val="20"/>
                <w:szCs w:val="22"/>
                <w:lang w:val="bg-BG" w:eastAsia="en-US"/>
              </w:rPr>
              <w:t>УРБ и подкрепа за възстановяване след бедствие</w:t>
            </w:r>
          </w:p>
          <w:p w:rsidR="00AA4661" w:rsidRPr="00F8728A" w:rsidRDefault="00AA4661" w:rsidP="00CF297A">
            <w:pPr>
              <w:pStyle w:val="ListParagraph1"/>
              <w:widowControl w:val="0"/>
              <w:numPr>
                <w:ilvl w:val="0"/>
                <w:numId w:val="63"/>
              </w:numPr>
              <w:autoSpaceDE w:val="0"/>
              <w:autoSpaceDN w:val="0"/>
              <w:adjustRightInd w:val="0"/>
              <w:spacing w:before="20" w:after="20" w:line="240" w:lineRule="auto"/>
              <w:ind w:left="348" w:hanging="284"/>
              <w:jc w:val="both"/>
              <w:rPr>
                <w:rFonts w:ascii="Calibri" w:hAnsi="Calibri" w:cs="Calibri"/>
                <w:sz w:val="20"/>
                <w:szCs w:val="22"/>
                <w:lang w:val="bg-BG" w:eastAsia="en-US"/>
              </w:rPr>
            </w:pPr>
            <w:r w:rsidRPr="00F8728A">
              <w:rPr>
                <w:rFonts w:ascii="Calibri" w:hAnsi="Calibri" w:cs="Calibri"/>
                <w:sz w:val="20"/>
                <w:szCs w:val="22"/>
                <w:lang w:val="bg-BG" w:eastAsia="en-US"/>
              </w:rPr>
              <w:t>Генериране на идеи за АИК</w:t>
            </w:r>
          </w:p>
          <w:p w:rsidR="00AA4661" w:rsidRPr="00F8728A" w:rsidRDefault="00AA4661" w:rsidP="00B155A6">
            <w:pPr>
              <w:autoSpaceDE w:val="0"/>
              <w:autoSpaceDN w:val="0"/>
              <w:adjustRightInd w:val="0"/>
              <w:spacing w:before="20" w:after="20"/>
              <w:rPr>
                <w:rFonts w:ascii="Calibri" w:hAnsi="Calibri" w:cs="Calibri"/>
              </w:rPr>
            </w:pPr>
            <w:r w:rsidRPr="00F8728A">
              <w:rPr>
                <w:rFonts w:ascii="Calibri" w:hAnsi="Calibri" w:cs="Calibri"/>
              </w:rPr>
              <w:t>Платформата на ЕС Climate ADAPT и инициативата Covenant of Mayors са добри примери за мрежова работа. (</w:t>
            </w:r>
            <w:hyperlink r:id="rId120" w:history="1">
              <w:r w:rsidRPr="00F8728A">
                <w:rPr>
                  <w:rFonts w:ascii="Calibri" w:hAnsi="Calibri" w:cs="Calibri"/>
                  <w:color w:val="0000FF"/>
                  <w:u w:val="single"/>
                </w:rPr>
                <w:t>http://climate-adapt.eea.europa.eu/</w:t>
              </w:r>
            </w:hyperlink>
            <w:r w:rsidRPr="00F8728A">
              <w:rPr>
                <w:rFonts w:ascii="Calibri" w:hAnsi="Calibri" w:cs="Calibri"/>
              </w:rPr>
              <w:t xml:space="preserve"> </w:t>
            </w:r>
            <w:hyperlink r:id="rId121" w:history="1">
              <w:r w:rsidRPr="00F8728A">
                <w:rPr>
                  <w:rFonts w:ascii="Calibri" w:hAnsi="Calibri" w:cs="Calibri"/>
                  <w:color w:val="0000FF"/>
                  <w:u w:val="single"/>
                </w:rPr>
                <w:t>http://www.covenantofmayors.eu/Adaptation.html</w:t>
              </w:r>
            </w:hyperlink>
            <w:r w:rsidRPr="00F8728A">
              <w:rPr>
                <w:rFonts w:ascii="Calibri" w:hAnsi="Calibri" w:cs="Calibri"/>
              </w:rPr>
              <w:t xml:space="preserve">). </w:t>
            </w:r>
          </w:p>
          <w:p w:rsidR="00AA4661" w:rsidRPr="00F8728A" w:rsidRDefault="00AA4661" w:rsidP="00B155A6">
            <w:pPr>
              <w:autoSpaceDE w:val="0"/>
              <w:autoSpaceDN w:val="0"/>
              <w:adjustRightInd w:val="0"/>
              <w:spacing w:before="20" w:after="20"/>
              <w:rPr>
                <w:rFonts w:ascii="Calibri" w:hAnsi="Calibri" w:cs="Calibri"/>
              </w:rPr>
            </w:pPr>
            <w:r w:rsidRPr="00F8728A">
              <w:rPr>
                <w:rFonts w:ascii="Calibri" w:hAnsi="Calibri" w:cs="Calibri"/>
              </w:rPr>
              <w:t xml:space="preserve">МРРБ и местните власти, както и академичната общност имат като основна цел да подкрепят работата в мрежа, изпълзвайки ИКТ решения  </w:t>
            </w:r>
          </w:p>
        </w:tc>
      </w:tr>
      <w:tr w:rsidR="00AA4661" w:rsidRPr="00F8728A" w:rsidTr="000614A3">
        <w:trPr>
          <w:trHeight w:val="271"/>
          <w:jc w:val="center"/>
        </w:trPr>
        <w:tc>
          <w:tcPr>
            <w:tcW w:w="2605"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293"/>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204"/>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73"/>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750"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Осведоменост и подобрена комуникация, засилена съгласуваност на базата от знания и политиките, развитие на капацитета.</w:t>
            </w:r>
          </w:p>
        </w:tc>
      </w:tr>
      <w:tr w:rsidR="00AA4661" w:rsidRPr="00F8728A" w:rsidTr="000614A3">
        <w:trPr>
          <w:trHeight w:val="59"/>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644"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106"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w:t>
            </w:r>
          </w:p>
        </w:tc>
      </w:tr>
      <w:tr w:rsidR="00AA4661" w:rsidRPr="00F8728A" w:rsidTr="000614A3">
        <w:trPr>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750"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w:t>
            </w:r>
          </w:p>
        </w:tc>
      </w:tr>
    </w:tbl>
    <w:p w:rsidR="00485D6A" w:rsidRPr="00F8728A" w:rsidRDefault="00485D6A" w:rsidP="00FF27EC">
      <w:pPr>
        <w:spacing w:after="0"/>
        <w:rPr>
          <w:sz w:val="10"/>
          <w:szCs w:val="10"/>
        </w:rPr>
      </w:pP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5"/>
        <w:gridCol w:w="900"/>
        <w:gridCol w:w="810"/>
        <w:gridCol w:w="1282"/>
        <w:gridCol w:w="287"/>
        <w:gridCol w:w="788"/>
        <w:gridCol w:w="1017"/>
        <w:gridCol w:w="942"/>
        <w:gridCol w:w="900"/>
        <w:gridCol w:w="1534"/>
      </w:tblGrid>
      <w:tr w:rsidR="00AA4661" w:rsidRPr="00F8728A" w:rsidTr="000614A3">
        <w:trPr>
          <w:trHeight w:val="360"/>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i/>
                <w:color w:val="000000"/>
                <w:sz w:val="22"/>
              </w:rPr>
            </w:pPr>
            <w:r w:rsidRPr="00F8728A">
              <w:rPr>
                <w:rFonts w:ascii="Calibri" w:hAnsi="Calibri" w:cs="Calibri"/>
                <w:b/>
                <w:i/>
                <w:smallCaps/>
                <w:color w:val="000000"/>
                <w:sz w:val="22"/>
              </w:rPr>
              <w:t>Организиране на социална мрежа за подкрепа на уязвимите групи</w:t>
            </w:r>
          </w:p>
        </w:tc>
      </w:tr>
      <w:tr w:rsidR="00AA4661" w:rsidRPr="00F8728A" w:rsidTr="000614A3">
        <w:trPr>
          <w:jc w:val="center"/>
        </w:trPr>
        <w:tc>
          <w:tcPr>
            <w:tcW w:w="2605"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282"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75"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101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942"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900"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534"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605"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282" w:type="dxa"/>
            <w:shd w:val="clear" w:color="auto" w:fill="FFFFFF"/>
          </w:tcPr>
          <w:p w:rsidR="00AA4661" w:rsidRPr="00F8728A" w:rsidRDefault="00AA4661" w:rsidP="00B155A6">
            <w:pPr>
              <w:spacing w:before="20" w:after="20"/>
              <w:jc w:val="center"/>
              <w:rPr>
                <w:rFonts w:ascii="Calibri" w:hAnsi="Calibri" w:cs="Calibri"/>
              </w:rPr>
            </w:pPr>
          </w:p>
        </w:tc>
        <w:tc>
          <w:tcPr>
            <w:tcW w:w="1075" w:type="dxa"/>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1017" w:type="dxa"/>
            <w:shd w:val="clear" w:color="auto" w:fill="FFFFFF"/>
          </w:tcPr>
          <w:p w:rsidR="00AA4661" w:rsidRPr="00F8728A" w:rsidRDefault="00AA4661" w:rsidP="00B155A6">
            <w:pPr>
              <w:spacing w:before="20" w:after="20"/>
              <w:jc w:val="center"/>
              <w:rPr>
                <w:rFonts w:ascii="Calibri" w:hAnsi="Calibri" w:cs="Calibri"/>
              </w:rPr>
            </w:pPr>
          </w:p>
        </w:tc>
        <w:tc>
          <w:tcPr>
            <w:tcW w:w="942"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900"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1534" w:type="dxa"/>
            <w:shd w:val="clear" w:color="auto" w:fill="FFFFFF"/>
          </w:tcPr>
          <w:p w:rsidR="00AA4661" w:rsidRPr="00F8728A" w:rsidRDefault="00AA4661" w:rsidP="00B155A6">
            <w:pPr>
              <w:spacing w:before="20" w:after="20"/>
              <w:jc w:val="center"/>
              <w:rPr>
                <w:rFonts w:ascii="Calibri" w:hAnsi="Calibri" w:cs="Calibri"/>
              </w:rPr>
            </w:pPr>
          </w:p>
        </w:tc>
      </w:tr>
      <w:tr w:rsidR="00AA4661" w:rsidRPr="00F8728A" w:rsidTr="000614A3">
        <w:trPr>
          <w:trHeight w:val="1764"/>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750" w:type="dxa"/>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Целевите групи на този вариант са етническите малцинства, по-специално ромите, бедните, възрастните, децата, хората с увреждания, изолираните групи и лишените от достъп до услуги в отдалечените населени места, където социалните и здравните заведения са затворени, пътищата лошо поддържани. Подкрепата се осъществява съгласно разпоредбите на Закона за социално подпомагане. В допълнение към финансовата подкрепа и спешните услуги и осигуряване на подходящи условия на живот, се препоръчват интегрирани мерки. Важен елемент от тези интегрирани мерки са групите за социална подкрепа. Социалните мрежи биха могли да помогнат на жертвите на бедствия да получат информация, подкрепа и други ресурси по време на и след бедствия, което увеличава тяхната устойчивост.</w:t>
            </w:r>
          </w:p>
        </w:tc>
      </w:tr>
      <w:tr w:rsidR="00AA4661" w:rsidRPr="00F8728A" w:rsidTr="000614A3">
        <w:trPr>
          <w:trHeight w:val="270"/>
          <w:jc w:val="center"/>
        </w:trPr>
        <w:tc>
          <w:tcPr>
            <w:tcW w:w="2605"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276"/>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144"/>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 -</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73"/>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750"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Допълнителна подкрепа за най-уязвимото население, подсилени социални връзки, промяна на социалното поведение, стимулиране на доброволчеството.</w:t>
            </w:r>
          </w:p>
        </w:tc>
      </w:tr>
      <w:tr w:rsidR="00AA4661" w:rsidRPr="00F8728A" w:rsidTr="000614A3">
        <w:trPr>
          <w:trHeight w:val="59"/>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569"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181"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w:t>
            </w:r>
          </w:p>
        </w:tc>
      </w:tr>
      <w:tr w:rsidR="00AA4661" w:rsidRPr="00F8728A" w:rsidTr="000614A3">
        <w:trPr>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750"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Риск от бедствия, бедност, социално изключване.</w:t>
            </w:r>
          </w:p>
        </w:tc>
      </w:tr>
    </w:tbl>
    <w:p w:rsidR="000614A3" w:rsidRPr="00F8728A" w:rsidRDefault="000614A3">
      <w:r w:rsidRPr="00F8728A">
        <w:br w:type="page"/>
      </w: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5"/>
        <w:gridCol w:w="900"/>
        <w:gridCol w:w="810"/>
        <w:gridCol w:w="1357"/>
        <w:gridCol w:w="287"/>
        <w:gridCol w:w="765"/>
        <w:gridCol w:w="995"/>
        <w:gridCol w:w="817"/>
        <w:gridCol w:w="768"/>
        <w:gridCol w:w="1761"/>
      </w:tblGrid>
      <w:tr w:rsidR="00AA4661" w:rsidRPr="00F8728A" w:rsidTr="000614A3">
        <w:trPr>
          <w:trHeight w:val="360"/>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i/>
                <w:color w:val="000000"/>
                <w:sz w:val="22"/>
              </w:rPr>
            </w:pPr>
            <w:r w:rsidRPr="00F8728A">
              <w:rPr>
                <w:rFonts w:ascii="Calibri" w:hAnsi="Calibri" w:cs="Calibri"/>
                <w:b/>
                <w:i/>
                <w:smallCaps/>
                <w:color w:val="000000"/>
                <w:sz w:val="22"/>
              </w:rPr>
              <w:t>Развиване на публично-частни партньорства</w:t>
            </w:r>
          </w:p>
        </w:tc>
      </w:tr>
      <w:tr w:rsidR="00AA4661" w:rsidRPr="00F8728A" w:rsidTr="000614A3">
        <w:trPr>
          <w:jc w:val="center"/>
        </w:trPr>
        <w:tc>
          <w:tcPr>
            <w:tcW w:w="2605"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35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52"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995"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81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768"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761"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605"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357" w:type="dxa"/>
            <w:shd w:val="clear" w:color="auto" w:fill="FFFFFF"/>
          </w:tcPr>
          <w:p w:rsidR="00AA4661" w:rsidRPr="00F8728A" w:rsidRDefault="00AA4661" w:rsidP="00B155A6">
            <w:pPr>
              <w:spacing w:before="20" w:after="20"/>
              <w:jc w:val="center"/>
              <w:rPr>
                <w:rFonts w:ascii="Calibri" w:hAnsi="Calibri" w:cs="Calibri"/>
              </w:rPr>
            </w:pPr>
          </w:p>
        </w:tc>
        <w:tc>
          <w:tcPr>
            <w:tcW w:w="1052" w:type="dxa"/>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995" w:type="dxa"/>
            <w:shd w:val="clear" w:color="auto" w:fill="FFFFFF"/>
          </w:tcPr>
          <w:p w:rsidR="00AA4661" w:rsidRPr="00F8728A" w:rsidRDefault="00AA4661" w:rsidP="00B155A6">
            <w:pPr>
              <w:spacing w:before="20" w:after="20"/>
              <w:jc w:val="center"/>
              <w:rPr>
                <w:rFonts w:ascii="Calibri" w:hAnsi="Calibri" w:cs="Calibri"/>
              </w:rPr>
            </w:pPr>
          </w:p>
        </w:tc>
        <w:tc>
          <w:tcPr>
            <w:tcW w:w="817"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768" w:type="dxa"/>
            <w:shd w:val="clear" w:color="auto" w:fill="FFFFFF"/>
          </w:tcPr>
          <w:p w:rsidR="00AA4661" w:rsidRPr="00F8728A" w:rsidRDefault="00AA4661" w:rsidP="00B155A6">
            <w:pPr>
              <w:spacing w:before="20" w:after="20"/>
              <w:jc w:val="center"/>
              <w:rPr>
                <w:rFonts w:ascii="Calibri" w:hAnsi="Calibri" w:cs="Calibri"/>
              </w:rPr>
            </w:pPr>
          </w:p>
        </w:tc>
        <w:tc>
          <w:tcPr>
            <w:tcW w:w="1761"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r>
      <w:tr w:rsidR="00AA4661" w:rsidRPr="00F8728A" w:rsidTr="000614A3">
        <w:trPr>
          <w:trHeight w:val="2034"/>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750" w:type="dxa"/>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Законът за публично-частното партньорство (ПЧП) (2013 г.), критикуван в продължение на повече от четири години, че не улесни партньорството, бе отменен през 2017 г. (последно изменен ДВ, бр. 96/01.12.2017 г.). Регламент (ЕС) № 1303/2013 на Европейския парламент и на Съвета от 17 декември 2013 г. установява общите правила, приложими за фондовете на ЕСИ и стимулира ПЧП. (</w:t>
            </w:r>
            <w:hyperlink r:id="rId122" w:history="1">
              <w:r w:rsidRPr="00F8728A">
                <w:rPr>
                  <w:rFonts w:ascii="Calibri" w:hAnsi="Calibri" w:cs="Calibri"/>
                  <w:color w:val="0000FF"/>
                  <w:u w:val="single"/>
                </w:rPr>
                <w:t>http://eur-lex.europa.eu/legal-content/BG/TXT/?uri=celex: 32013R1303</w:t>
              </w:r>
            </w:hyperlink>
            <w:r w:rsidRPr="00F8728A">
              <w:rPr>
                <w:rFonts w:ascii="Calibri" w:hAnsi="Calibri" w:cs="Calibri"/>
              </w:rPr>
              <w:t xml:space="preserve">). </w:t>
            </w:r>
          </w:p>
          <w:p w:rsidR="00AA4661" w:rsidRPr="00F8728A" w:rsidRDefault="00AA4661" w:rsidP="00B155A6">
            <w:pPr>
              <w:autoSpaceDE w:val="0"/>
              <w:autoSpaceDN w:val="0"/>
              <w:adjustRightInd w:val="0"/>
              <w:spacing w:before="20" w:after="20"/>
              <w:jc w:val="both"/>
              <w:rPr>
                <w:rFonts w:ascii="Calibri" w:hAnsi="Calibri" w:cs="Calibri"/>
                <w:b/>
              </w:rPr>
            </w:pPr>
            <w:r w:rsidRPr="00F8728A">
              <w:rPr>
                <w:rFonts w:ascii="Calibri" w:hAnsi="Calibri" w:cs="Calibri"/>
              </w:rPr>
              <w:t>България има ограничен опит с ПЧП поради лошата бизнес култура, липсата на доверие в институциите и финансовите ограничения. Процесът на АИК с всички предложени варианти и действия силно се нуждае от такова партньорство, особено за управление на бедствия и възстановяване. Някои правила за партньорство са определени в Закона за защита при бедствия (последно изменен ДВ 97/05.12.2017).</w:t>
            </w:r>
          </w:p>
        </w:tc>
      </w:tr>
      <w:tr w:rsidR="00AA4661" w:rsidRPr="00F8728A" w:rsidTr="000614A3">
        <w:trPr>
          <w:trHeight w:val="67"/>
          <w:jc w:val="center"/>
        </w:trPr>
        <w:tc>
          <w:tcPr>
            <w:tcW w:w="2605"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85"/>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3"/>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73"/>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750"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Подобрено сътрудничество с частния сектор, привлечени частни инвестиции, по-добра бизнес среда и управление, финансова подкрепа от частния бизнес за УРБ.</w:t>
            </w:r>
          </w:p>
        </w:tc>
      </w:tr>
      <w:tr w:rsidR="00AA4661" w:rsidRPr="00F8728A" w:rsidTr="000614A3">
        <w:trPr>
          <w:trHeight w:val="59"/>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644"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106"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 Туризъм, УРБ.</w:t>
            </w:r>
          </w:p>
        </w:tc>
      </w:tr>
      <w:tr w:rsidR="00AA4661" w:rsidRPr="00F8728A" w:rsidTr="000614A3">
        <w:trPr>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750"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w:t>
            </w:r>
          </w:p>
        </w:tc>
      </w:tr>
    </w:tbl>
    <w:p w:rsidR="00AA4661" w:rsidRPr="00F8728A" w:rsidRDefault="00AA4661">
      <w:pPr>
        <w:widowControl w:val="0"/>
        <w:spacing w:after="0"/>
        <w:rPr>
          <w:sz w:val="10"/>
          <w:szCs w:val="10"/>
        </w:rPr>
      </w:pP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5"/>
        <w:gridCol w:w="810"/>
        <w:gridCol w:w="810"/>
        <w:gridCol w:w="1447"/>
        <w:gridCol w:w="287"/>
        <w:gridCol w:w="765"/>
        <w:gridCol w:w="995"/>
        <w:gridCol w:w="817"/>
        <w:gridCol w:w="768"/>
        <w:gridCol w:w="1761"/>
      </w:tblGrid>
      <w:tr w:rsidR="00AA4661" w:rsidRPr="00F8728A" w:rsidTr="000614A3">
        <w:trPr>
          <w:trHeight w:val="360"/>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b/>
                <w:i/>
                <w:smallCaps/>
                <w:color w:val="000000"/>
                <w:sz w:val="22"/>
              </w:rPr>
            </w:pPr>
            <w:r w:rsidRPr="00F8728A">
              <w:rPr>
                <w:rFonts w:ascii="Calibri" w:hAnsi="Calibri" w:cs="Calibri"/>
                <w:b/>
                <w:i/>
                <w:smallCaps/>
                <w:color w:val="000000"/>
                <w:sz w:val="22"/>
              </w:rPr>
              <w:t>Подкрепа на ефективността на НПО</w:t>
            </w:r>
          </w:p>
        </w:tc>
      </w:tr>
      <w:tr w:rsidR="00AA4661" w:rsidRPr="00F8728A" w:rsidTr="000614A3">
        <w:trPr>
          <w:jc w:val="center"/>
        </w:trPr>
        <w:tc>
          <w:tcPr>
            <w:tcW w:w="2515"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44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52"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995"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81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768"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761"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515"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447" w:type="dxa"/>
            <w:shd w:val="clear" w:color="auto" w:fill="FFFFFF"/>
          </w:tcPr>
          <w:p w:rsidR="00AA4661" w:rsidRPr="00F8728A" w:rsidRDefault="00AA4661" w:rsidP="00B155A6">
            <w:pPr>
              <w:spacing w:before="20" w:after="20"/>
              <w:jc w:val="center"/>
              <w:rPr>
                <w:rFonts w:ascii="Calibri" w:hAnsi="Calibri" w:cs="Calibri"/>
              </w:rPr>
            </w:pPr>
          </w:p>
        </w:tc>
        <w:tc>
          <w:tcPr>
            <w:tcW w:w="1052" w:type="dxa"/>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995"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817"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768"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1761" w:type="dxa"/>
            <w:shd w:val="clear" w:color="auto" w:fill="FFFFFF"/>
          </w:tcPr>
          <w:p w:rsidR="00AA4661" w:rsidRPr="00F8728A" w:rsidRDefault="00AA4661" w:rsidP="00B155A6">
            <w:pPr>
              <w:spacing w:before="20" w:after="20"/>
              <w:jc w:val="center"/>
              <w:rPr>
                <w:rFonts w:ascii="Calibri" w:hAnsi="Calibri" w:cs="Calibri"/>
              </w:rPr>
            </w:pPr>
          </w:p>
        </w:tc>
      </w:tr>
      <w:tr w:rsidR="00AA4661" w:rsidRPr="00F8728A" w:rsidTr="000614A3">
        <w:trPr>
          <w:trHeight w:val="2016"/>
          <w:jc w:val="center"/>
        </w:trPr>
        <w:tc>
          <w:tcPr>
            <w:tcW w:w="251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840" w:type="dxa"/>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 xml:space="preserve">Съгласно Държавния регистър на юридическите лица с нестопанска цел към Министерството на правосъдието в средата на 2017 г. в България са регистрирани около 15 600 НПО, концентрирани най-вече в големите градове. Публикацията на Институт "Отворено общество" "Активните НПО в България през 2017 г." </w:t>
            </w:r>
            <w:hyperlink r:id="rId123" w:history="1">
              <w:r w:rsidRPr="00F8728A">
                <w:rPr>
                  <w:rFonts w:ascii="Calibri" w:hAnsi="Calibri" w:cs="Calibri"/>
                  <w:color w:val="0000FF"/>
                  <w:u w:val="single"/>
                </w:rPr>
                <w:t>http://osi.bg/downloads/File/2017/active%20NGOs.pdf</w:t>
              </w:r>
            </w:hyperlink>
            <w:r w:rsidRPr="00F8728A">
              <w:rPr>
                <w:rFonts w:ascii="Calibri" w:hAnsi="Calibri" w:cs="Calibri"/>
              </w:rPr>
              <w:t xml:space="preserve"> </w:t>
            </w:r>
          </w:p>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представя основните заключения от проучването, сред които ограничен капацитет и ресурси и малък дял на активните. Тази опция за адаптация ще разгледа проблемите с ефективността на работата на неправителствения сектор и ще привлече най-надеждните партньори с опит в сектора на градската среда, зелената инфраструктура, екосистемите, социалната политика, обновяването на жилищата, ромите и уязвимите групи в съвместни инициативи и УРБ.</w:t>
            </w:r>
          </w:p>
        </w:tc>
      </w:tr>
      <w:tr w:rsidR="00AA4661" w:rsidRPr="00F8728A" w:rsidTr="000614A3">
        <w:trPr>
          <w:trHeight w:val="67"/>
          <w:jc w:val="center"/>
        </w:trPr>
        <w:tc>
          <w:tcPr>
            <w:tcW w:w="2515"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84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85"/>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84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77"/>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84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73"/>
          <w:jc w:val="center"/>
        </w:trPr>
        <w:tc>
          <w:tcPr>
            <w:tcW w:w="251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840"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Повишено доверие в НПО, по-добра работа в мрежа и посредничество за разрешаване на конфликти. По-силна подкрепа в случай на извънредна ситуация.</w:t>
            </w:r>
          </w:p>
        </w:tc>
      </w:tr>
      <w:tr w:rsidR="00AA4661" w:rsidRPr="00F8728A" w:rsidTr="000614A3">
        <w:trPr>
          <w:trHeight w:val="59"/>
          <w:jc w:val="center"/>
        </w:trPr>
        <w:tc>
          <w:tcPr>
            <w:tcW w:w="251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734"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106"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w:t>
            </w:r>
          </w:p>
        </w:tc>
      </w:tr>
      <w:tr w:rsidR="00AA4661" w:rsidRPr="00F8728A" w:rsidTr="000614A3">
        <w:trPr>
          <w:jc w:val="center"/>
        </w:trPr>
        <w:tc>
          <w:tcPr>
            <w:tcW w:w="251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840"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 пост-травматичен стрес.</w:t>
            </w:r>
          </w:p>
        </w:tc>
      </w:tr>
    </w:tbl>
    <w:p w:rsidR="00485D6A" w:rsidRPr="00F8728A" w:rsidRDefault="00485D6A" w:rsidP="00FF27EC">
      <w:pPr>
        <w:widowControl w:val="0"/>
        <w:spacing w:after="0"/>
        <w:rPr>
          <w:sz w:val="10"/>
          <w:szCs w:val="10"/>
        </w:rPr>
      </w:pPr>
    </w:p>
    <w:p w:rsidR="00485D6A" w:rsidRPr="00F8728A" w:rsidRDefault="00485D6A">
      <w:pPr>
        <w:spacing w:after="0"/>
        <w:rPr>
          <w:sz w:val="10"/>
          <w:szCs w:val="10"/>
        </w:rPr>
      </w:pPr>
      <w:r w:rsidRPr="00F8728A">
        <w:rPr>
          <w:sz w:val="10"/>
          <w:szCs w:val="10"/>
        </w:rPr>
        <w:br w:type="page"/>
      </w: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5"/>
        <w:gridCol w:w="810"/>
        <w:gridCol w:w="810"/>
        <w:gridCol w:w="1447"/>
        <w:gridCol w:w="278"/>
        <w:gridCol w:w="775"/>
        <w:gridCol w:w="994"/>
        <w:gridCol w:w="817"/>
        <w:gridCol w:w="768"/>
        <w:gridCol w:w="1761"/>
      </w:tblGrid>
      <w:tr w:rsidR="00AA4661" w:rsidRPr="00F8728A" w:rsidTr="000614A3">
        <w:trPr>
          <w:trHeight w:val="360"/>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i/>
                <w:color w:val="000000"/>
                <w:sz w:val="22"/>
              </w:rPr>
            </w:pPr>
            <w:r w:rsidRPr="00F8728A">
              <w:rPr>
                <w:rFonts w:ascii="Calibri" w:hAnsi="Calibri" w:cs="Calibri"/>
                <w:b/>
                <w:i/>
                <w:smallCaps/>
                <w:color w:val="000000"/>
                <w:sz w:val="22"/>
              </w:rPr>
              <w:t>Работа с медиите за популяризиране на системата за АИК</w:t>
            </w:r>
          </w:p>
        </w:tc>
      </w:tr>
      <w:tr w:rsidR="00AA4661" w:rsidRPr="00F8728A" w:rsidTr="000614A3">
        <w:trPr>
          <w:jc w:val="center"/>
        </w:trPr>
        <w:tc>
          <w:tcPr>
            <w:tcW w:w="2515"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44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53"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994"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81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768"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761"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515"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447" w:type="dxa"/>
            <w:shd w:val="clear" w:color="auto" w:fill="FFFFFF"/>
          </w:tcPr>
          <w:p w:rsidR="00AA4661" w:rsidRPr="00F8728A" w:rsidRDefault="00AA4661" w:rsidP="00B155A6">
            <w:pPr>
              <w:spacing w:before="20" w:after="20"/>
              <w:jc w:val="center"/>
              <w:rPr>
                <w:rFonts w:ascii="Calibri" w:hAnsi="Calibri" w:cs="Calibri"/>
              </w:rPr>
            </w:pPr>
          </w:p>
        </w:tc>
        <w:tc>
          <w:tcPr>
            <w:tcW w:w="1053" w:type="dxa"/>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994"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817"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768" w:type="dxa"/>
            <w:shd w:val="clear" w:color="auto" w:fill="FFFFFF"/>
          </w:tcPr>
          <w:p w:rsidR="00AA4661" w:rsidRPr="00F8728A" w:rsidRDefault="00AA4661" w:rsidP="00B155A6">
            <w:pPr>
              <w:spacing w:before="20" w:after="20"/>
              <w:jc w:val="center"/>
              <w:rPr>
                <w:rFonts w:ascii="Calibri" w:hAnsi="Calibri" w:cs="Calibri"/>
              </w:rPr>
            </w:pPr>
          </w:p>
        </w:tc>
        <w:tc>
          <w:tcPr>
            <w:tcW w:w="1761" w:type="dxa"/>
            <w:shd w:val="clear" w:color="auto" w:fill="FFFFFF"/>
          </w:tcPr>
          <w:p w:rsidR="00AA4661" w:rsidRPr="00F8728A" w:rsidRDefault="00AA4661" w:rsidP="00B155A6">
            <w:pPr>
              <w:spacing w:before="20" w:after="20"/>
              <w:jc w:val="center"/>
              <w:rPr>
                <w:rFonts w:ascii="Calibri" w:hAnsi="Calibri" w:cs="Calibri"/>
              </w:rPr>
            </w:pPr>
          </w:p>
        </w:tc>
      </w:tr>
      <w:tr w:rsidR="00AA4661" w:rsidRPr="00F8728A" w:rsidTr="00B73D7E">
        <w:trPr>
          <w:trHeight w:val="4293"/>
          <w:jc w:val="center"/>
        </w:trPr>
        <w:tc>
          <w:tcPr>
            <w:tcW w:w="251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840" w:type="dxa"/>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Като сравнително нова област, АИК на градската среда ще се нуждае от допълнителни действия за популяризиране и установяване на професионални връзки с обществеността. В случая на финансиране от ЕС действията трябва да следват правилата за прозрачност и отчетност. Основната цел на варианта е да информира обществеността и да привлече интереса към стимулиране на сътрудничеството, осведомеността и разработването на нови идеи за АИК. Следвайки общите правила за комуникация с медиите, ще има няколко стъпки:</w:t>
            </w:r>
          </w:p>
          <w:p w:rsidR="00AA4661" w:rsidRPr="00F8728A" w:rsidRDefault="00AA4661" w:rsidP="00CF297A">
            <w:pPr>
              <w:widowControl w:val="0"/>
              <w:numPr>
                <w:ilvl w:val="0"/>
                <w:numId w:val="62"/>
              </w:numPr>
              <w:autoSpaceDE w:val="0"/>
              <w:autoSpaceDN w:val="0"/>
              <w:adjustRightInd w:val="0"/>
              <w:spacing w:before="20" w:after="20"/>
              <w:ind w:left="360"/>
              <w:contextualSpacing/>
              <w:jc w:val="both"/>
              <w:rPr>
                <w:rFonts w:ascii="Calibri" w:hAnsi="Calibri" w:cs="Calibri"/>
              </w:rPr>
            </w:pPr>
            <w:r w:rsidRPr="00F8728A">
              <w:rPr>
                <w:rFonts w:ascii="Calibri" w:hAnsi="Calibri" w:cs="Calibri"/>
              </w:rPr>
              <w:t>Определяне на целевите групи и заинтересованите страни - вътрешни (МРРБ) и външни (партньори за АИК, местни власти, бенефициенти, НПО, фирми), в зависимост от равнището на комуникация, медиатори (представители на медиите, други организации)</w:t>
            </w:r>
          </w:p>
          <w:p w:rsidR="00AA4661" w:rsidRPr="00F8728A" w:rsidRDefault="00AA4661" w:rsidP="00CF297A">
            <w:pPr>
              <w:widowControl w:val="0"/>
              <w:numPr>
                <w:ilvl w:val="0"/>
                <w:numId w:val="62"/>
              </w:numPr>
              <w:autoSpaceDE w:val="0"/>
              <w:autoSpaceDN w:val="0"/>
              <w:adjustRightInd w:val="0"/>
              <w:spacing w:before="20" w:after="20"/>
              <w:ind w:left="360"/>
              <w:contextualSpacing/>
              <w:jc w:val="both"/>
              <w:rPr>
                <w:rFonts w:ascii="Calibri" w:hAnsi="Calibri" w:cs="Calibri"/>
              </w:rPr>
            </w:pPr>
            <w:r w:rsidRPr="00F8728A">
              <w:rPr>
                <w:rFonts w:ascii="Calibri" w:hAnsi="Calibri" w:cs="Calibri"/>
              </w:rPr>
              <w:t>Идентифициране на медийните канали - Печатни медии, телевизионни канали, радиостанции, видове рекламни материали</w:t>
            </w:r>
          </w:p>
          <w:p w:rsidR="00AA4661" w:rsidRPr="00F8728A" w:rsidRDefault="00AA4661" w:rsidP="00CF297A">
            <w:pPr>
              <w:widowControl w:val="0"/>
              <w:numPr>
                <w:ilvl w:val="0"/>
                <w:numId w:val="62"/>
              </w:numPr>
              <w:autoSpaceDE w:val="0"/>
              <w:autoSpaceDN w:val="0"/>
              <w:adjustRightInd w:val="0"/>
              <w:spacing w:before="20" w:after="20"/>
              <w:ind w:left="360"/>
              <w:contextualSpacing/>
              <w:jc w:val="both"/>
              <w:rPr>
                <w:rFonts w:ascii="Calibri" w:hAnsi="Calibri" w:cs="Calibri"/>
              </w:rPr>
            </w:pPr>
            <w:r w:rsidRPr="00F8728A">
              <w:rPr>
                <w:rFonts w:ascii="Calibri" w:hAnsi="Calibri" w:cs="Calibri"/>
              </w:rPr>
              <w:t>Комуникационна стратегия/План и изготвяне на времеви график за комуникации с медиите</w:t>
            </w:r>
          </w:p>
          <w:p w:rsidR="00AA4661" w:rsidRPr="00F8728A" w:rsidRDefault="00AA4661" w:rsidP="00CF297A">
            <w:pPr>
              <w:widowControl w:val="0"/>
              <w:numPr>
                <w:ilvl w:val="0"/>
                <w:numId w:val="55"/>
              </w:numPr>
              <w:autoSpaceDE w:val="0"/>
              <w:autoSpaceDN w:val="0"/>
              <w:adjustRightInd w:val="0"/>
              <w:spacing w:before="20" w:after="20"/>
              <w:ind w:left="360"/>
              <w:contextualSpacing/>
              <w:jc w:val="both"/>
              <w:rPr>
                <w:rFonts w:ascii="Calibri" w:hAnsi="Calibri" w:cs="Calibri"/>
              </w:rPr>
            </w:pPr>
            <w:r w:rsidRPr="00F8728A">
              <w:rPr>
                <w:rFonts w:ascii="Calibri" w:hAnsi="Calibri" w:cs="Calibri"/>
              </w:rPr>
              <w:t>Финансов план</w:t>
            </w:r>
          </w:p>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 xml:space="preserve">Всяка програма и хонд има сови собствени правила за комуникация и разпространяване на резултатите. Добър пример за Комуникационен план за програми и проекти за регионално и градско развитие е този по ОПРР на МРРБ </w:t>
            </w:r>
            <w:hyperlink r:id="rId124" w:history="1">
              <w:r w:rsidRPr="00F8728A">
                <w:rPr>
                  <w:rFonts w:ascii="Calibri" w:hAnsi="Calibri" w:cs="Calibri"/>
                  <w:color w:val="0000FF"/>
                  <w:u w:val="single"/>
                </w:rPr>
                <w:t>http://www.eufunds.bg/index.php/bg/operativni-programi/regionalno-razvitie/komunikatzionen-plan-na-oprr</w:t>
              </w:r>
            </w:hyperlink>
            <w:r w:rsidRPr="00F8728A">
              <w:rPr>
                <w:rFonts w:ascii="Calibri" w:hAnsi="Calibri" w:cs="Calibri"/>
              </w:rPr>
              <w:t xml:space="preserve"> </w:t>
            </w:r>
          </w:p>
        </w:tc>
      </w:tr>
      <w:tr w:rsidR="00AA4661" w:rsidRPr="00F8728A" w:rsidTr="000614A3">
        <w:trPr>
          <w:trHeight w:val="67"/>
          <w:jc w:val="center"/>
        </w:trPr>
        <w:tc>
          <w:tcPr>
            <w:tcW w:w="2515"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84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85"/>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84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3"/>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84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269"/>
          <w:jc w:val="center"/>
        </w:trPr>
        <w:tc>
          <w:tcPr>
            <w:tcW w:w="251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840"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 xml:space="preserve">По-добре информирано общество; Послания на АИК, визия и цели ясно разпространени сред различни публики и по комуникационни канали, повишен интерес сред бизнес общностите, постигнати цели за прозрачност, отчетност и информираност. </w:t>
            </w:r>
          </w:p>
        </w:tc>
      </w:tr>
      <w:tr w:rsidR="00AA4661" w:rsidRPr="00F8728A" w:rsidTr="000614A3">
        <w:trPr>
          <w:trHeight w:val="59"/>
          <w:jc w:val="center"/>
        </w:trPr>
        <w:tc>
          <w:tcPr>
            <w:tcW w:w="251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725"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115"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Всички сектори</w:t>
            </w:r>
          </w:p>
        </w:tc>
      </w:tr>
      <w:tr w:rsidR="00AA4661" w:rsidRPr="00F8728A" w:rsidTr="000614A3">
        <w:trPr>
          <w:jc w:val="center"/>
        </w:trPr>
        <w:tc>
          <w:tcPr>
            <w:tcW w:w="251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840"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w:t>
            </w:r>
          </w:p>
        </w:tc>
      </w:tr>
    </w:tbl>
    <w:p w:rsidR="00AA4661" w:rsidRPr="00F8728A" w:rsidRDefault="00AA4661" w:rsidP="00FF27EC">
      <w:pPr>
        <w:widowControl w:val="0"/>
        <w:spacing w:after="0"/>
        <w:rPr>
          <w:rFonts w:ascii="Times New Roman" w:hAnsi="Times New Roman"/>
          <w:b/>
          <w:color w:val="244061"/>
          <w:sz w:val="24"/>
          <w:szCs w:val="24"/>
        </w:rPr>
      </w:pPr>
    </w:p>
    <w:p w:rsidR="00B46A56" w:rsidRPr="00F8728A" w:rsidRDefault="00B46A56" w:rsidP="00FF27EC">
      <w:pPr>
        <w:widowControl w:val="0"/>
        <w:spacing w:after="0"/>
        <w:rPr>
          <w:rFonts w:ascii="Times New Roman" w:hAnsi="Times New Roman"/>
          <w:b/>
          <w:color w:val="244061"/>
          <w:sz w:val="24"/>
          <w:szCs w:val="24"/>
        </w:rPr>
      </w:pPr>
    </w:p>
    <w:p w:rsidR="00B46A56" w:rsidRPr="00F8728A" w:rsidRDefault="00B46A56" w:rsidP="00FF27EC">
      <w:pPr>
        <w:widowControl w:val="0"/>
        <w:spacing w:after="0"/>
        <w:rPr>
          <w:rFonts w:ascii="Times New Roman" w:hAnsi="Times New Roman"/>
          <w:b/>
          <w:color w:val="244061"/>
          <w:sz w:val="24"/>
          <w:szCs w:val="24"/>
        </w:rPr>
      </w:pPr>
    </w:p>
    <w:p w:rsidR="00B46A56" w:rsidRPr="00F8728A" w:rsidRDefault="00B46A56" w:rsidP="00FF27EC">
      <w:pPr>
        <w:widowControl w:val="0"/>
        <w:spacing w:after="0"/>
        <w:rPr>
          <w:rFonts w:ascii="Times New Roman" w:hAnsi="Times New Roman"/>
          <w:b/>
          <w:color w:val="244061"/>
          <w:sz w:val="24"/>
          <w:szCs w:val="24"/>
        </w:rPr>
      </w:pPr>
    </w:p>
    <w:p w:rsidR="00B46A56" w:rsidRPr="00F8728A" w:rsidRDefault="00B46A56" w:rsidP="00FF27EC">
      <w:pPr>
        <w:widowControl w:val="0"/>
        <w:spacing w:after="0"/>
        <w:rPr>
          <w:rFonts w:ascii="Times New Roman" w:hAnsi="Times New Roman"/>
          <w:b/>
          <w:color w:val="244061"/>
          <w:sz w:val="24"/>
          <w:szCs w:val="24"/>
        </w:rPr>
      </w:pPr>
    </w:p>
    <w:p w:rsidR="00B46A56" w:rsidRPr="00F8728A" w:rsidRDefault="00B46A56" w:rsidP="00FF27EC">
      <w:pPr>
        <w:widowControl w:val="0"/>
        <w:spacing w:after="0"/>
        <w:rPr>
          <w:rFonts w:ascii="Times New Roman" w:hAnsi="Times New Roman"/>
          <w:b/>
          <w:color w:val="244061"/>
          <w:sz w:val="24"/>
          <w:szCs w:val="24"/>
        </w:rPr>
      </w:pPr>
    </w:p>
    <w:p w:rsidR="00B46A56" w:rsidRPr="00F8728A" w:rsidRDefault="00B46A56" w:rsidP="00FF27EC">
      <w:pPr>
        <w:widowControl w:val="0"/>
        <w:spacing w:after="0"/>
        <w:rPr>
          <w:rFonts w:ascii="Times New Roman" w:hAnsi="Times New Roman"/>
          <w:b/>
          <w:color w:val="244061"/>
          <w:sz w:val="24"/>
          <w:szCs w:val="24"/>
        </w:rPr>
      </w:pPr>
    </w:p>
    <w:p w:rsidR="00B46A56" w:rsidRPr="00F8728A" w:rsidRDefault="00B46A56" w:rsidP="00FF27EC">
      <w:pPr>
        <w:widowControl w:val="0"/>
        <w:spacing w:after="0"/>
        <w:rPr>
          <w:rFonts w:ascii="Times New Roman" w:hAnsi="Times New Roman"/>
          <w:b/>
          <w:color w:val="244061"/>
          <w:sz w:val="24"/>
          <w:szCs w:val="24"/>
        </w:rPr>
      </w:pPr>
    </w:p>
    <w:p w:rsidR="00B46A56" w:rsidRPr="00F8728A" w:rsidRDefault="00B46A56" w:rsidP="00FF27EC">
      <w:pPr>
        <w:widowControl w:val="0"/>
        <w:spacing w:after="0"/>
        <w:rPr>
          <w:rFonts w:ascii="Times New Roman" w:hAnsi="Times New Roman"/>
          <w:b/>
          <w:color w:val="244061"/>
          <w:sz w:val="24"/>
          <w:szCs w:val="24"/>
        </w:rPr>
      </w:pPr>
    </w:p>
    <w:p w:rsidR="00B46A56" w:rsidRPr="00F8728A" w:rsidRDefault="00B46A56" w:rsidP="00FF27EC">
      <w:pPr>
        <w:widowControl w:val="0"/>
        <w:spacing w:after="0"/>
        <w:rPr>
          <w:rFonts w:ascii="Times New Roman" w:hAnsi="Times New Roman"/>
          <w:b/>
          <w:color w:val="244061"/>
          <w:sz w:val="24"/>
          <w:szCs w:val="24"/>
        </w:rPr>
      </w:pPr>
    </w:p>
    <w:p w:rsidR="00B46A56" w:rsidRPr="00F8728A" w:rsidRDefault="00B46A56" w:rsidP="00FF27EC">
      <w:pPr>
        <w:widowControl w:val="0"/>
        <w:spacing w:after="0"/>
        <w:rPr>
          <w:rFonts w:ascii="Times New Roman" w:hAnsi="Times New Roman"/>
          <w:b/>
          <w:color w:val="244061"/>
          <w:sz w:val="24"/>
          <w:szCs w:val="24"/>
        </w:rPr>
      </w:pPr>
    </w:p>
    <w:p w:rsidR="00B46A56" w:rsidRPr="00F8728A" w:rsidRDefault="00B46A56" w:rsidP="00FF27EC">
      <w:pPr>
        <w:widowControl w:val="0"/>
        <w:spacing w:after="0"/>
        <w:rPr>
          <w:rFonts w:ascii="Times New Roman" w:hAnsi="Times New Roman"/>
          <w:b/>
          <w:color w:val="244061"/>
          <w:sz w:val="24"/>
          <w:szCs w:val="24"/>
        </w:rPr>
      </w:pPr>
    </w:p>
    <w:p w:rsidR="00B46A56" w:rsidRPr="00F8728A" w:rsidRDefault="00B46A56" w:rsidP="00FF27EC">
      <w:pPr>
        <w:widowControl w:val="0"/>
        <w:spacing w:after="0"/>
        <w:rPr>
          <w:rFonts w:ascii="Times New Roman" w:hAnsi="Times New Roman"/>
          <w:b/>
          <w:color w:val="244061"/>
          <w:sz w:val="24"/>
          <w:szCs w:val="24"/>
        </w:rPr>
      </w:pPr>
    </w:p>
    <w:p w:rsidR="00B46A56" w:rsidRPr="00F8728A" w:rsidRDefault="00B46A56" w:rsidP="00FF27EC">
      <w:pPr>
        <w:widowControl w:val="0"/>
        <w:spacing w:after="0"/>
        <w:rPr>
          <w:rFonts w:ascii="Times New Roman" w:hAnsi="Times New Roman"/>
          <w:b/>
          <w:color w:val="244061"/>
          <w:sz w:val="24"/>
          <w:szCs w:val="24"/>
        </w:rPr>
      </w:pPr>
    </w:p>
    <w:p w:rsidR="00485D6A" w:rsidRPr="00B73D7E" w:rsidRDefault="00485D6A">
      <w:pPr>
        <w:spacing w:after="0"/>
        <w:rPr>
          <w:rFonts w:ascii="Calibri" w:eastAsia="MS Gothic" w:hAnsi="Calibri"/>
          <w:b/>
          <w:bCs/>
          <w:color w:val="365F91"/>
          <w:sz w:val="28"/>
          <w:szCs w:val="28"/>
          <w:lang w:eastAsia="x-none"/>
        </w:rPr>
      </w:pPr>
      <w:bookmarkStart w:id="765" w:name="_Toc517709438"/>
      <w:bookmarkStart w:id="766" w:name="_Toc506901792"/>
      <w:r w:rsidRPr="00F8728A">
        <w:br w:type="page"/>
      </w:r>
    </w:p>
    <w:p w:rsidR="00D51B0B" w:rsidRPr="00B73D7E" w:rsidRDefault="009339D9" w:rsidP="00B73D7E">
      <w:pPr>
        <w:pStyle w:val="Heading1"/>
        <w:spacing w:before="0" w:after="120"/>
        <w:jc w:val="both"/>
        <w:rPr>
          <w:rFonts w:eastAsia="Times New Roman"/>
          <w:bCs w:val="0"/>
          <w:color w:val="2F5496"/>
          <w:sz w:val="32"/>
          <w:szCs w:val="32"/>
          <w:lang w:val="bg-BG" w:eastAsia="en-US"/>
        </w:rPr>
      </w:pPr>
      <w:bookmarkStart w:id="767" w:name="_Toc522030604"/>
      <w:bookmarkStart w:id="768" w:name="_Toc529285589"/>
      <w:r w:rsidRPr="00B73D7E">
        <w:rPr>
          <w:rFonts w:eastAsia="Times New Roman"/>
          <w:bCs w:val="0"/>
          <w:color w:val="2F5496"/>
          <w:sz w:val="32"/>
          <w:szCs w:val="32"/>
          <w:lang w:val="bg-BG" w:eastAsia="en-US"/>
        </w:rPr>
        <w:t xml:space="preserve">Приложение </w:t>
      </w:r>
      <w:r w:rsidR="00D51B0B" w:rsidRPr="00B73D7E">
        <w:rPr>
          <w:rFonts w:eastAsia="Times New Roman"/>
          <w:bCs w:val="0"/>
          <w:color w:val="2F5496"/>
          <w:sz w:val="32"/>
          <w:szCs w:val="32"/>
          <w:lang w:val="bg-BG" w:eastAsia="en-US"/>
        </w:rPr>
        <w:t xml:space="preserve">3. </w:t>
      </w:r>
      <w:r w:rsidRPr="00B73D7E">
        <w:rPr>
          <w:rFonts w:eastAsia="Times New Roman"/>
          <w:bCs w:val="0"/>
          <w:color w:val="2F5496"/>
          <w:sz w:val="32"/>
          <w:szCs w:val="32"/>
          <w:lang w:val="bg-BG" w:eastAsia="en-US"/>
        </w:rPr>
        <w:t>Анализ на разходи и ползи</w:t>
      </w:r>
      <w:bookmarkEnd w:id="765"/>
      <w:bookmarkEnd w:id="766"/>
      <w:bookmarkEnd w:id="767"/>
      <w:bookmarkEnd w:id="768"/>
    </w:p>
    <w:p w:rsidR="00D51B0B" w:rsidRPr="00B73D7E" w:rsidRDefault="00D51B0B" w:rsidP="00485D6A">
      <w:pPr>
        <w:pStyle w:val="Heading2"/>
        <w:numPr>
          <w:ilvl w:val="0"/>
          <w:numId w:val="0"/>
        </w:numPr>
        <w:spacing w:before="120"/>
        <w:rPr>
          <w:rFonts w:eastAsia="Times New Roman"/>
          <w:b w:val="0"/>
          <w:lang w:val="bg-BG"/>
        </w:rPr>
      </w:pPr>
      <w:bookmarkStart w:id="769" w:name="_Toc517709439"/>
      <w:bookmarkStart w:id="770" w:name="_Toc522030605"/>
      <w:bookmarkStart w:id="771" w:name="_Toc529285590"/>
      <w:r w:rsidRPr="00B73D7E">
        <w:rPr>
          <w:rFonts w:eastAsia="Times New Roman"/>
          <w:lang w:val="bg-BG"/>
        </w:rPr>
        <w:t xml:space="preserve">1. </w:t>
      </w:r>
      <w:bookmarkEnd w:id="769"/>
      <w:r w:rsidR="00A64045" w:rsidRPr="00B73D7E">
        <w:rPr>
          <w:bCs/>
          <w:lang w:val="bg-BG"/>
        </w:rPr>
        <w:t>Общо описание</w:t>
      </w:r>
      <w:bookmarkEnd w:id="770"/>
      <w:bookmarkEnd w:id="771"/>
    </w:p>
    <w:p w:rsidR="00D51B0B" w:rsidRPr="00F8728A" w:rsidRDefault="00A64045" w:rsidP="00A64045">
      <w:pPr>
        <w:spacing w:after="120" w:line="276" w:lineRule="auto"/>
        <w:jc w:val="both"/>
        <w:rPr>
          <w:rFonts w:ascii="Times New Roman" w:eastAsia="Arial Unicode MS" w:hAnsi="Times New Roman"/>
          <w:sz w:val="24"/>
          <w:szCs w:val="24"/>
          <w:bdr w:val="nil"/>
        </w:rPr>
      </w:pPr>
      <w:bookmarkStart w:id="772" w:name="_Hlk516638495"/>
      <w:r w:rsidRPr="00B73D7E">
        <w:rPr>
          <w:rFonts w:ascii="Times New Roman" w:eastAsia="Arial Unicode MS" w:hAnsi="Times New Roman"/>
          <w:sz w:val="24"/>
          <w:szCs w:val="24"/>
          <w:bdr w:val="nil"/>
        </w:rPr>
        <w:t xml:space="preserve">С увеличаването на броя на българските граждани, живеещи в градските райони и съсредоточаването </w:t>
      </w:r>
      <w:r w:rsidRPr="00F8728A">
        <w:rPr>
          <w:rFonts w:ascii="Times New Roman" w:eastAsia="Arial Unicode MS" w:hAnsi="Times New Roman"/>
          <w:sz w:val="24"/>
          <w:szCs w:val="24"/>
          <w:bdr w:val="nil"/>
        </w:rPr>
        <w:t xml:space="preserve">там </w:t>
      </w:r>
      <w:r w:rsidRPr="00B73D7E">
        <w:rPr>
          <w:rFonts w:ascii="Times New Roman" w:eastAsia="Arial Unicode MS" w:hAnsi="Times New Roman"/>
          <w:sz w:val="24"/>
          <w:szCs w:val="24"/>
          <w:bdr w:val="nil"/>
        </w:rPr>
        <w:t>на много икономически дейности, тези области придобиват все по-голямо значение в рамките на адаптирането към изменението на климата. Градските райони са места, където изменението на климата може да има голямо въздействие, вкл</w:t>
      </w:r>
      <w:r w:rsidRPr="00F8728A">
        <w:rPr>
          <w:rFonts w:ascii="Times New Roman" w:eastAsia="Arial Unicode MS" w:hAnsi="Times New Roman"/>
          <w:sz w:val="24"/>
          <w:szCs w:val="24"/>
          <w:bdr w:val="nil"/>
        </w:rPr>
        <w:t>.</w:t>
      </w:r>
      <w:r w:rsidRPr="00B73D7E">
        <w:rPr>
          <w:rFonts w:ascii="Times New Roman" w:eastAsia="Arial Unicode MS" w:hAnsi="Times New Roman"/>
          <w:sz w:val="24"/>
          <w:szCs w:val="24"/>
          <w:bdr w:val="nil"/>
        </w:rPr>
        <w:t xml:space="preserve"> и икономически последици. Концептуалната рамка на този </w:t>
      </w:r>
      <w:r w:rsidRPr="00F8728A">
        <w:rPr>
          <w:rFonts w:ascii="Times New Roman" w:eastAsia="Arial Unicode MS" w:hAnsi="Times New Roman"/>
          <w:sz w:val="24"/>
          <w:szCs w:val="24"/>
          <w:bdr w:val="nil"/>
        </w:rPr>
        <w:t>АРП</w:t>
      </w:r>
      <w:r w:rsidRPr="00B73D7E">
        <w:rPr>
          <w:rFonts w:ascii="Times New Roman" w:eastAsia="Arial Unicode MS" w:hAnsi="Times New Roman"/>
          <w:sz w:val="24"/>
          <w:szCs w:val="24"/>
          <w:bdr w:val="nil"/>
        </w:rPr>
        <w:t xml:space="preserve"> бе разработена въз основа на ефектите от изменението на климата върху сектора градска среда</w:t>
      </w:r>
      <w:bookmarkEnd w:id="772"/>
      <w:r w:rsidRPr="00F8728A">
        <w:rPr>
          <w:rFonts w:ascii="Times New Roman" w:eastAsia="Arial Unicode MS" w:hAnsi="Times New Roman"/>
          <w:sz w:val="24"/>
          <w:szCs w:val="24"/>
          <w:bdr w:val="nil"/>
        </w:rPr>
        <w:t>.</w:t>
      </w:r>
    </w:p>
    <w:p w:rsidR="00D51B0B" w:rsidRPr="00F8728A" w:rsidRDefault="00A64045" w:rsidP="00D51B0B">
      <w:pPr>
        <w:pBdr>
          <w:top w:val="nil"/>
          <w:left w:val="nil"/>
          <w:bottom w:val="nil"/>
          <w:right w:val="nil"/>
          <w:between w:val="nil"/>
          <w:bar w:val="nil"/>
        </w:pBdr>
        <w:spacing w:after="60" w:line="276" w:lineRule="auto"/>
        <w:jc w:val="both"/>
        <w:rPr>
          <w:rFonts w:ascii="Times New Roman" w:hAnsi="Times New Roman"/>
          <w:color w:val="000000"/>
          <w:sz w:val="24"/>
          <w:szCs w:val="24"/>
          <w:u w:color="000000"/>
          <w:bdr w:val="nil"/>
          <w:lang w:eastAsia="en-GB"/>
        </w:rPr>
      </w:pPr>
      <w:r w:rsidRPr="00F8728A">
        <w:rPr>
          <w:rFonts w:ascii="Times New Roman" w:hAnsi="Times New Roman" w:cs="Calibri"/>
          <w:color w:val="000000"/>
          <w:sz w:val="24"/>
          <w:szCs w:val="24"/>
          <w:u w:color="000000"/>
          <w:bdr w:val="nil"/>
          <w:lang w:eastAsia="en-GB"/>
        </w:rPr>
        <w:t>Целта на тази работа е да</w:t>
      </w:r>
      <w:r w:rsidR="00D51B0B" w:rsidRPr="00F8728A">
        <w:rPr>
          <w:rFonts w:ascii="Times New Roman" w:hAnsi="Times New Roman" w:cs="Calibri"/>
          <w:color w:val="000000"/>
          <w:sz w:val="24"/>
          <w:szCs w:val="24"/>
          <w:u w:color="000000"/>
          <w:bdr w:val="nil"/>
          <w:lang w:eastAsia="en-GB"/>
        </w:rPr>
        <w:t xml:space="preserve">: </w:t>
      </w:r>
    </w:p>
    <w:p w:rsidR="00D51B0B" w:rsidRPr="00F8728A" w:rsidRDefault="00A64045" w:rsidP="00CF297A">
      <w:pPr>
        <w:numPr>
          <w:ilvl w:val="0"/>
          <w:numId w:val="66"/>
        </w:numPr>
        <w:pBdr>
          <w:top w:val="nil"/>
          <w:left w:val="nil"/>
          <w:bottom w:val="nil"/>
          <w:right w:val="nil"/>
          <w:between w:val="nil"/>
          <w:bar w:val="nil"/>
        </w:pBdr>
        <w:spacing w:after="60" w:line="276" w:lineRule="auto"/>
        <w:jc w:val="both"/>
        <w:rPr>
          <w:rFonts w:ascii="Times New Roman" w:hAnsi="Times New Roman"/>
          <w:color w:val="000000"/>
          <w:sz w:val="24"/>
          <w:szCs w:val="24"/>
          <w:u w:color="000000"/>
          <w:bdr w:val="nil"/>
          <w:lang w:eastAsia="en-GB"/>
        </w:rPr>
      </w:pPr>
      <w:r w:rsidRPr="00F8728A">
        <w:rPr>
          <w:rFonts w:ascii="Times New Roman" w:hAnsi="Times New Roman"/>
          <w:color w:val="000000"/>
          <w:sz w:val="24"/>
          <w:szCs w:val="24"/>
        </w:rPr>
        <w:t>Оцени параметрите на връзката между показателите за ефективност и показателите за изменението на климата за сектора градска среда (повишение на температурата +2°C и +4°C, както и промени във валежите). Смята се, че климатичните фактори, свързани с оценката на въздействието, са средни температури и средни валежи</w:t>
      </w:r>
      <w:r w:rsidRPr="00F8728A">
        <w:rPr>
          <w:rFonts w:ascii="Times New Roman" w:hAnsi="Times New Roman"/>
          <w:color w:val="000000"/>
          <w:sz w:val="24"/>
          <w:szCs w:val="24"/>
          <w:u w:color="000000"/>
          <w:lang w:eastAsia="en-GB"/>
        </w:rPr>
        <w:t>.</w:t>
      </w:r>
      <w:r w:rsidR="00D51B0B" w:rsidRPr="00F8728A">
        <w:rPr>
          <w:rFonts w:ascii="Times New Roman" w:hAnsi="Times New Roman"/>
          <w:color w:val="000000"/>
          <w:sz w:val="24"/>
          <w:szCs w:val="24"/>
          <w:u w:color="000000"/>
          <w:bdr w:val="nil"/>
          <w:lang w:eastAsia="en-GB"/>
        </w:rPr>
        <w:t xml:space="preserve"> </w:t>
      </w:r>
    </w:p>
    <w:p w:rsidR="00D51B0B" w:rsidRPr="00F8728A" w:rsidRDefault="00A64045" w:rsidP="00CF297A">
      <w:pPr>
        <w:numPr>
          <w:ilvl w:val="0"/>
          <w:numId w:val="67"/>
        </w:numPr>
        <w:pBdr>
          <w:top w:val="nil"/>
          <w:left w:val="nil"/>
          <w:bottom w:val="nil"/>
          <w:right w:val="nil"/>
          <w:between w:val="nil"/>
          <w:bar w:val="nil"/>
        </w:pBdr>
        <w:spacing w:after="60" w:line="276" w:lineRule="auto"/>
        <w:ind w:left="720"/>
        <w:jc w:val="both"/>
        <w:rPr>
          <w:rFonts w:ascii="Times New Roman" w:hAnsi="Times New Roman"/>
          <w:color w:val="000000"/>
          <w:sz w:val="24"/>
          <w:szCs w:val="24"/>
          <w:u w:color="000000"/>
          <w:bdr w:val="nil"/>
          <w:lang w:eastAsia="en-GB"/>
        </w:rPr>
      </w:pPr>
      <w:r w:rsidRPr="00F8728A">
        <w:rPr>
          <w:rFonts w:ascii="Times New Roman" w:hAnsi="Times New Roman"/>
          <w:color w:val="000000"/>
          <w:sz w:val="24"/>
          <w:szCs w:val="24"/>
        </w:rPr>
        <w:t>Разработване на модел за АРП</w:t>
      </w:r>
      <w:r w:rsidR="00F672A7" w:rsidRPr="00F8728A">
        <w:rPr>
          <w:rFonts w:ascii="Times New Roman" w:hAnsi="Times New Roman"/>
          <w:color w:val="000000"/>
          <w:sz w:val="24"/>
          <w:szCs w:val="24"/>
        </w:rPr>
        <w:t xml:space="preserve"> за </w:t>
      </w:r>
      <w:r w:rsidRPr="00F8728A">
        <w:rPr>
          <w:rFonts w:ascii="Times New Roman" w:hAnsi="Times New Roman"/>
          <w:color w:val="000000"/>
          <w:sz w:val="24"/>
          <w:szCs w:val="24"/>
        </w:rPr>
        <w:t>оценка на разходите и ползите от адаптационните действия, като по този начин се измерва ефективността на инвестициите. Той изчислява очакваните разходи и ползи от вариантите за адаптиране с цел да ги сравни и да определи дали ползите надвишават разходите. Ползите са предимствата или положителните ефекти от мерките за адаптиране. Разходите са необходимите ресурси за изпълнение на мерки за адаптиране. Ефектите са изразени като намаляване на разходите поради взетите мерки</w:t>
      </w:r>
      <w:r w:rsidRPr="00F8728A">
        <w:rPr>
          <w:rFonts w:ascii="Times New Roman" w:hAnsi="Times New Roman"/>
          <w:color w:val="000000"/>
          <w:sz w:val="24"/>
          <w:szCs w:val="24"/>
          <w:u w:color="000000"/>
          <w:lang w:eastAsia="en-GB"/>
        </w:rPr>
        <w:t>.</w:t>
      </w:r>
      <w:r w:rsidR="00D51B0B" w:rsidRPr="00F8728A">
        <w:rPr>
          <w:rFonts w:ascii="Times New Roman" w:hAnsi="Times New Roman"/>
          <w:color w:val="000000"/>
          <w:sz w:val="24"/>
          <w:szCs w:val="24"/>
          <w:u w:color="000000"/>
          <w:bdr w:val="nil"/>
          <w:lang w:eastAsia="en-GB"/>
        </w:rPr>
        <w:t xml:space="preserve">. </w:t>
      </w:r>
    </w:p>
    <w:p w:rsidR="00D51B0B" w:rsidRPr="00F8728A" w:rsidRDefault="00A64045" w:rsidP="00CF297A">
      <w:pPr>
        <w:numPr>
          <w:ilvl w:val="0"/>
          <w:numId w:val="66"/>
        </w:numPr>
        <w:pBdr>
          <w:top w:val="nil"/>
          <w:left w:val="nil"/>
          <w:bottom w:val="nil"/>
          <w:right w:val="nil"/>
          <w:between w:val="nil"/>
          <w:bar w:val="nil"/>
        </w:pBdr>
        <w:spacing w:after="60" w:line="276" w:lineRule="auto"/>
        <w:jc w:val="both"/>
        <w:rPr>
          <w:rFonts w:ascii="Times New Roman" w:hAnsi="Times New Roman" w:cs="Calibri"/>
          <w:color w:val="000000"/>
          <w:sz w:val="24"/>
          <w:szCs w:val="24"/>
          <w:u w:color="000000"/>
          <w:bdr w:val="nil"/>
          <w:lang w:eastAsia="en-GB"/>
        </w:rPr>
      </w:pPr>
      <w:r w:rsidRPr="00F8728A">
        <w:rPr>
          <w:rFonts w:ascii="Times New Roman" w:hAnsi="Times New Roman"/>
          <w:color w:val="000000"/>
          <w:sz w:val="24"/>
          <w:szCs w:val="24"/>
        </w:rPr>
        <w:t>Оценка и класиране на мерките за адаптация по отношение на икономическата ефективност</w:t>
      </w:r>
      <w:r w:rsidRPr="00F8728A">
        <w:rPr>
          <w:rFonts w:ascii="Times New Roman" w:hAnsi="Times New Roman" w:cs="Calibri"/>
          <w:color w:val="000000"/>
          <w:sz w:val="24"/>
          <w:szCs w:val="24"/>
          <w:u w:color="000000"/>
          <w:lang w:eastAsia="en-GB"/>
        </w:rPr>
        <w:t>.</w:t>
      </w:r>
      <w:r w:rsidR="00D51B0B" w:rsidRPr="00F8728A">
        <w:rPr>
          <w:rFonts w:ascii="Times New Roman" w:hAnsi="Times New Roman" w:cs="Calibri"/>
          <w:color w:val="000000"/>
          <w:sz w:val="24"/>
          <w:szCs w:val="24"/>
          <w:u w:color="000000"/>
          <w:bdr w:val="nil"/>
          <w:lang w:eastAsia="en-GB"/>
        </w:rPr>
        <w:t xml:space="preserve">  </w:t>
      </w:r>
    </w:p>
    <w:p w:rsidR="00A64045" w:rsidRPr="00B73D7E" w:rsidRDefault="00D51B0B" w:rsidP="00CF297A">
      <w:pPr>
        <w:pStyle w:val="Heading3"/>
        <w:numPr>
          <w:ilvl w:val="1"/>
          <w:numId w:val="68"/>
        </w:numPr>
        <w:spacing w:before="160"/>
        <w:rPr>
          <w:lang w:val="bg-BG"/>
        </w:rPr>
      </w:pPr>
      <w:bookmarkStart w:id="773" w:name="_Toc517709440"/>
      <w:r w:rsidRPr="00B73D7E">
        <w:rPr>
          <w:lang w:val="bg-BG"/>
        </w:rPr>
        <w:t xml:space="preserve"> </w:t>
      </w:r>
      <w:bookmarkStart w:id="774" w:name="_Toc517783536"/>
      <w:bookmarkStart w:id="775" w:name="_Toc522030606"/>
      <w:bookmarkStart w:id="776" w:name="_Toc529285591"/>
      <w:r w:rsidR="00A64045" w:rsidRPr="00B73D7E">
        <w:rPr>
          <w:lang w:val="bg-BG"/>
        </w:rPr>
        <w:t>Описание на методологията</w:t>
      </w:r>
      <w:bookmarkEnd w:id="774"/>
      <w:bookmarkEnd w:id="775"/>
      <w:bookmarkEnd w:id="776"/>
    </w:p>
    <w:p w:rsidR="00D51B0B" w:rsidRPr="00F8728A" w:rsidRDefault="00F672A7" w:rsidP="00D51B0B">
      <w:pPr>
        <w:pBdr>
          <w:top w:val="nil"/>
          <w:left w:val="nil"/>
          <w:bottom w:val="nil"/>
          <w:right w:val="nil"/>
          <w:between w:val="nil"/>
          <w:bar w:val="nil"/>
        </w:pBdr>
        <w:spacing w:after="120" w:line="276" w:lineRule="auto"/>
        <w:jc w:val="both"/>
        <w:rPr>
          <w:rFonts w:ascii="Times New Roman" w:eastAsia="Arial" w:hAnsi="Times New Roman"/>
          <w:color w:val="000000"/>
          <w:sz w:val="24"/>
          <w:szCs w:val="24"/>
          <w:u w:color="000000"/>
          <w:bdr w:val="nil"/>
          <w:lang w:eastAsia="en-GB"/>
        </w:rPr>
      </w:pPr>
      <w:bookmarkStart w:id="777" w:name="_Hlk516671449"/>
      <w:bookmarkEnd w:id="773"/>
      <w:r w:rsidRPr="00F8728A">
        <w:rPr>
          <w:rFonts w:ascii="Times New Roman" w:hAnsi="Times New Roman"/>
          <w:bCs/>
          <w:color w:val="000000"/>
          <w:sz w:val="24"/>
          <w:szCs w:val="24"/>
        </w:rPr>
        <w:t xml:space="preserve">Климатичните ефекти </w:t>
      </w:r>
      <w:r w:rsidR="00AD1326" w:rsidRPr="00F8728A">
        <w:rPr>
          <w:rFonts w:ascii="Times New Roman" w:hAnsi="Times New Roman"/>
          <w:bCs/>
          <w:color w:val="000000"/>
          <w:sz w:val="24"/>
          <w:szCs w:val="24"/>
        </w:rPr>
        <w:t xml:space="preserve">се </w:t>
      </w:r>
      <w:r w:rsidRPr="00F8728A">
        <w:rPr>
          <w:rFonts w:ascii="Times New Roman" w:hAnsi="Times New Roman"/>
          <w:bCs/>
          <w:color w:val="000000"/>
          <w:sz w:val="24"/>
          <w:szCs w:val="24"/>
        </w:rPr>
        <w:t>оценяват в интегриран модел за оценка, който съчетава регресионен (или чувствителен) анализ с АРП, т.е. оценява стойността на разходите и ползите от всяко действие за адаптиране – давайки нетна настояща стойност (ННС) - и сравнява разходите (инвестиционни разходи) и ползите (избегнати разходи)</w:t>
      </w:r>
      <w:r w:rsidRPr="00B73D7E">
        <w:rPr>
          <w:rFonts w:ascii="Times New Roman" w:eastAsia="Arial" w:hAnsi="Times New Roman"/>
          <w:color w:val="000000"/>
          <w:sz w:val="24"/>
          <w:szCs w:val="24"/>
          <w:u w:color="000000"/>
          <w:bdr w:val="nil"/>
          <w:vertAlign w:val="superscript"/>
          <w:lang w:eastAsia="en-GB"/>
        </w:rPr>
        <w:footnoteReference w:id="156"/>
      </w:r>
      <w:r w:rsidRPr="00B73D7E">
        <w:rPr>
          <w:rFonts w:ascii="Times New Roman" w:eastAsia="Arial" w:hAnsi="Times New Roman"/>
          <w:bCs/>
          <w:color w:val="000000"/>
          <w:sz w:val="24"/>
          <w:szCs w:val="24"/>
          <w:u w:color="000000"/>
          <w:bdr w:val="nil"/>
          <w:lang w:eastAsia="en-GB"/>
        </w:rPr>
        <w:t>.</w:t>
      </w:r>
      <w:r w:rsidRPr="00F8728A">
        <w:rPr>
          <w:rFonts w:ascii="Times New Roman" w:hAnsi="Times New Roman"/>
          <w:bCs/>
          <w:color w:val="000000"/>
          <w:sz w:val="24"/>
          <w:szCs w:val="24"/>
        </w:rPr>
        <w:t xml:space="preserve"> Разходите и ползите са представени в парично изражение, а за определяне на ННС</w:t>
      </w:r>
      <w:r w:rsidRPr="00F8728A">
        <w:rPr>
          <w:rFonts w:ascii="Times New Roman" w:hAnsi="Times New Roman"/>
          <w:color w:val="000000"/>
          <w:sz w:val="24"/>
          <w:szCs w:val="24"/>
        </w:rPr>
        <w:t xml:space="preserve"> </w:t>
      </w:r>
      <w:r w:rsidRPr="00F8728A">
        <w:rPr>
          <w:rFonts w:ascii="Times New Roman" w:hAnsi="Times New Roman"/>
          <w:bCs/>
          <w:color w:val="000000"/>
          <w:sz w:val="24"/>
          <w:szCs w:val="24"/>
        </w:rPr>
        <w:t xml:space="preserve"> на мерките за адаптация се използва дисконтов процент</w:t>
      </w:r>
      <w:r w:rsidR="00D51B0B" w:rsidRPr="00F8728A">
        <w:rPr>
          <w:rFonts w:ascii="Times New Roman" w:eastAsia="Arial" w:hAnsi="Times New Roman"/>
          <w:color w:val="000000"/>
          <w:sz w:val="24"/>
          <w:szCs w:val="24"/>
          <w:u w:color="000000"/>
          <w:bdr w:val="nil"/>
          <w:lang w:eastAsia="en-GB"/>
        </w:rPr>
        <w:t>.</w:t>
      </w:r>
    </w:p>
    <w:p w:rsidR="00D51B0B" w:rsidRPr="00B73D7E" w:rsidRDefault="00AD1326" w:rsidP="00D51B0B">
      <w:pPr>
        <w:pBdr>
          <w:top w:val="nil"/>
          <w:left w:val="nil"/>
          <w:bottom w:val="nil"/>
          <w:right w:val="nil"/>
          <w:between w:val="nil"/>
          <w:bar w:val="nil"/>
        </w:pBdr>
        <w:spacing w:after="120" w:line="276" w:lineRule="auto"/>
        <w:jc w:val="both"/>
        <w:rPr>
          <w:rFonts w:ascii="Times New Roman" w:eastAsia="Arial" w:hAnsi="Times New Roman"/>
          <w:bCs/>
          <w:color w:val="000000"/>
          <w:sz w:val="24"/>
          <w:szCs w:val="24"/>
          <w:u w:color="000000"/>
          <w:bdr w:val="nil"/>
          <w:lang w:eastAsia="en-GB"/>
        </w:rPr>
      </w:pPr>
      <w:bookmarkStart w:id="778" w:name="_Hlk516393280"/>
      <w:r w:rsidRPr="00F8728A">
        <w:rPr>
          <w:rFonts w:ascii="Times New Roman" w:hAnsi="Times New Roman"/>
          <w:bCs/>
          <w:sz w:val="24"/>
          <w:szCs w:val="24"/>
        </w:rPr>
        <w:t>Регресионният анализ - като техника за оценка на адаптационните мерки при несигурност - идентифицира онези фактори, които оказват най-голямо влияние върху основните секторни показатели</w:t>
      </w:r>
      <w:r w:rsidR="00D51B0B" w:rsidRPr="00F8728A">
        <w:rPr>
          <w:rFonts w:ascii="Times New Roman" w:eastAsia="Arial" w:hAnsi="Times New Roman"/>
          <w:bCs/>
          <w:color w:val="000000"/>
          <w:sz w:val="24"/>
          <w:szCs w:val="24"/>
          <w:u w:color="000000"/>
          <w:bdr w:val="nil"/>
          <w:lang w:eastAsia="en-GB"/>
        </w:rPr>
        <w:t>.</w:t>
      </w:r>
      <w:r w:rsidR="00D51B0B" w:rsidRPr="00B73D7E">
        <w:rPr>
          <w:rFonts w:ascii="Times New Roman" w:eastAsia="Arial" w:hAnsi="Times New Roman"/>
          <w:bCs/>
          <w:color w:val="000000"/>
          <w:sz w:val="24"/>
          <w:szCs w:val="24"/>
          <w:u w:color="000000"/>
          <w:bdr w:val="nil"/>
          <w:vertAlign w:val="superscript"/>
          <w:lang w:eastAsia="en-GB"/>
        </w:rPr>
        <w:footnoteReference w:id="157"/>
      </w:r>
      <w:r w:rsidR="00506D91">
        <w:rPr>
          <w:rFonts w:ascii="Times New Roman" w:eastAsia="Arial" w:hAnsi="Times New Roman"/>
          <w:bCs/>
          <w:color w:val="000000"/>
          <w:sz w:val="24"/>
          <w:szCs w:val="24"/>
          <w:u w:color="000000"/>
          <w:bdr w:val="nil"/>
          <w:lang w:val="en-US" w:eastAsia="en-GB"/>
        </w:rPr>
        <w:t xml:space="preserve"> </w:t>
      </w:r>
      <w:r w:rsidRPr="00F8728A">
        <w:rPr>
          <w:rFonts w:ascii="Times New Roman" w:hAnsi="Times New Roman"/>
          <w:bCs/>
          <w:sz w:val="24"/>
          <w:szCs w:val="24"/>
        </w:rPr>
        <w:t>Ефектът може да бъде положителен или отрицателен</w:t>
      </w:r>
      <w:r w:rsidR="00D51B0B" w:rsidRPr="00B73D7E">
        <w:rPr>
          <w:rFonts w:ascii="Times New Roman" w:eastAsia="Arial" w:hAnsi="Times New Roman"/>
          <w:bCs/>
          <w:color w:val="000000"/>
          <w:sz w:val="24"/>
          <w:szCs w:val="24"/>
          <w:u w:color="000000"/>
          <w:bdr w:val="nil"/>
          <w:lang w:eastAsia="en-GB"/>
        </w:rPr>
        <w:t>.</w:t>
      </w:r>
      <w:bookmarkEnd w:id="778"/>
    </w:p>
    <w:p w:rsidR="00D51B0B" w:rsidRPr="00F8728A" w:rsidRDefault="00AD1326" w:rsidP="00D51B0B">
      <w:pPr>
        <w:pBdr>
          <w:top w:val="nil"/>
          <w:left w:val="nil"/>
          <w:bottom w:val="nil"/>
          <w:right w:val="nil"/>
          <w:between w:val="nil"/>
          <w:bar w:val="nil"/>
        </w:pBdr>
        <w:spacing w:after="120" w:line="276" w:lineRule="auto"/>
        <w:jc w:val="both"/>
        <w:rPr>
          <w:rFonts w:ascii="Times New Roman" w:hAnsi="Times New Roman"/>
          <w:color w:val="000000"/>
          <w:sz w:val="24"/>
          <w:szCs w:val="24"/>
          <w:u w:color="000000"/>
          <w:bdr w:val="nil"/>
          <w:lang w:eastAsia="en-GB"/>
        </w:rPr>
      </w:pPr>
      <w:r w:rsidRPr="00F8728A">
        <w:rPr>
          <w:rFonts w:ascii="Times New Roman" w:hAnsi="Times New Roman"/>
          <w:color w:val="000000"/>
          <w:sz w:val="24"/>
          <w:szCs w:val="24"/>
        </w:rPr>
        <w:t xml:space="preserve">Регресионният анализ беше използван за определяне на ефекта от климатичните променливи върху </w:t>
      </w:r>
      <w:r w:rsidR="008E4E8B" w:rsidRPr="00F8728A">
        <w:rPr>
          <w:rFonts w:ascii="Times New Roman" w:hAnsi="Times New Roman"/>
          <w:color w:val="000000"/>
          <w:sz w:val="24"/>
          <w:szCs w:val="24"/>
        </w:rPr>
        <w:t xml:space="preserve">ефективността на </w:t>
      </w:r>
      <w:r w:rsidRPr="00F8728A">
        <w:rPr>
          <w:rFonts w:ascii="Times New Roman" w:hAnsi="Times New Roman"/>
          <w:color w:val="000000"/>
          <w:sz w:val="24"/>
          <w:szCs w:val="24"/>
        </w:rPr>
        <w:t>показатели</w:t>
      </w:r>
      <w:r w:rsidR="008E4E8B" w:rsidRPr="00F8728A">
        <w:rPr>
          <w:rFonts w:ascii="Times New Roman" w:hAnsi="Times New Roman"/>
          <w:color w:val="000000"/>
          <w:sz w:val="24"/>
          <w:szCs w:val="24"/>
        </w:rPr>
        <w:t>те в сектор градска среда</w:t>
      </w:r>
      <w:r w:rsidRPr="00F8728A">
        <w:rPr>
          <w:rFonts w:ascii="Times New Roman" w:hAnsi="Times New Roman"/>
          <w:color w:val="000000"/>
          <w:sz w:val="24"/>
          <w:szCs w:val="24"/>
        </w:rPr>
        <w:t>. Тази функция обикновено се използва, когато и зависимите, и обяснителните променливи са линейни. Зависимите променливи са основните секторни показатели, докато независимите променливи са променливите на климата (температура и валежи). Линейната екстраполация на ключовите показатели е отчетена с цел да се определи как ще се развива секторът при всеки сценарий. Екстраполацията определи количествено всеки отделен показател</w:t>
      </w:r>
      <w:r w:rsidR="00D51B0B" w:rsidRPr="00F8728A">
        <w:rPr>
          <w:rFonts w:ascii="Times New Roman" w:hAnsi="Times New Roman"/>
          <w:color w:val="000000"/>
          <w:sz w:val="24"/>
          <w:szCs w:val="24"/>
          <w:u w:color="000000"/>
          <w:bdr w:val="nil"/>
          <w:lang w:eastAsia="en-GB"/>
        </w:rPr>
        <w:t>.</w:t>
      </w:r>
    </w:p>
    <w:p w:rsidR="00D51B0B" w:rsidRPr="00F8728A" w:rsidRDefault="008E4E8B" w:rsidP="00D51B0B">
      <w:pPr>
        <w:spacing w:after="120" w:line="276" w:lineRule="auto"/>
        <w:jc w:val="both"/>
        <w:rPr>
          <w:rFonts w:ascii="Times New Roman" w:hAnsi="Times New Roman"/>
          <w:sz w:val="24"/>
          <w:szCs w:val="24"/>
        </w:rPr>
      </w:pPr>
      <w:bookmarkStart w:id="779" w:name="_Hlk516465737"/>
      <w:bookmarkStart w:id="780" w:name="_Hlk516671871"/>
      <w:bookmarkEnd w:id="777"/>
      <w:r w:rsidRPr="00F8728A">
        <w:rPr>
          <w:rFonts w:ascii="Times New Roman" w:hAnsi="Times New Roman"/>
          <w:sz w:val="24"/>
          <w:szCs w:val="24"/>
        </w:rPr>
        <w:t>Оценката на отрицателните и положителните ефекти от промените в климата е разработена в съответствие с различни сценарии при повишаване на температурата с +2°C и + 4°C до 2050 г. Тези основни сценарии са разделени на под-сценарии: оптимистични, реалистични и песимистични. Под-сценариите се разглеждат в контекста на ефикасното и ефективно прилагане на предложените мерки за адаптиране към изменението на климата</w:t>
      </w:r>
      <w:r w:rsidR="00440E17" w:rsidRPr="00F8728A">
        <w:rPr>
          <w:rFonts w:ascii="Times New Roman" w:hAnsi="Times New Roman"/>
          <w:sz w:val="24"/>
          <w:szCs w:val="24"/>
        </w:rPr>
        <w:t>.</w:t>
      </w:r>
      <w:r w:rsidR="00D51B0B" w:rsidRPr="00F8728A">
        <w:rPr>
          <w:rFonts w:ascii="Times New Roman" w:hAnsi="Times New Roman"/>
          <w:sz w:val="24"/>
          <w:szCs w:val="24"/>
        </w:rPr>
        <w:t xml:space="preserve"> </w:t>
      </w:r>
    </w:p>
    <w:p w:rsidR="00D51B0B" w:rsidRPr="00F8728A" w:rsidRDefault="00440E17" w:rsidP="00D51B0B">
      <w:pPr>
        <w:spacing w:after="120" w:line="276" w:lineRule="auto"/>
        <w:jc w:val="both"/>
        <w:rPr>
          <w:rFonts w:ascii="Times New Roman" w:hAnsi="Times New Roman"/>
          <w:sz w:val="24"/>
          <w:szCs w:val="24"/>
        </w:rPr>
      </w:pPr>
      <w:r w:rsidRPr="00F8728A">
        <w:rPr>
          <w:rFonts w:ascii="Times New Roman" w:hAnsi="Times New Roman"/>
          <w:sz w:val="24"/>
          <w:szCs w:val="24"/>
        </w:rPr>
        <w:t>Прогнозните ефекти от мерките за адаптиране се изразяват като логаритмична функция, която е инструмент за измерване на ефектите от инвестициите, които ще бъдат постепенно реализирани до 2050 г</w:t>
      </w:r>
      <w:r w:rsidR="00D51B0B" w:rsidRPr="00F8728A">
        <w:rPr>
          <w:rFonts w:ascii="Times New Roman" w:hAnsi="Times New Roman"/>
          <w:sz w:val="24"/>
          <w:szCs w:val="24"/>
        </w:rPr>
        <w:t xml:space="preserve">. </w:t>
      </w:r>
    </w:p>
    <w:p w:rsidR="00D51B0B" w:rsidRPr="00F8728A" w:rsidRDefault="00440E17" w:rsidP="00440E17">
      <w:pPr>
        <w:spacing w:after="120" w:line="276" w:lineRule="auto"/>
        <w:jc w:val="both"/>
        <w:rPr>
          <w:rFonts w:ascii="Times New Roman" w:hAnsi="Times New Roman"/>
          <w:sz w:val="24"/>
          <w:szCs w:val="24"/>
        </w:rPr>
      </w:pPr>
      <w:r w:rsidRPr="00F8728A">
        <w:rPr>
          <w:rFonts w:ascii="Times New Roman" w:hAnsi="Times New Roman"/>
          <w:sz w:val="24"/>
          <w:szCs w:val="24"/>
        </w:rPr>
        <w:t>Беше извършена оценка на ННС и ползите до 2050 г., като всички останали аспекти</w:t>
      </w:r>
      <w:r w:rsidR="00145598" w:rsidRPr="00F8728A">
        <w:rPr>
          <w:rFonts w:ascii="Times New Roman" w:hAnsi="Times New Roman"/>
          <w:sz w:val="24"/>
          <w:szCs w:val="24"/>
        </w:rPr>
        <w:t xml:space="preserve"> </w:t>
      </w:r>
      <w:r w:rsidRPr="00F8728A">
        <w:rPr>
          <w:rFonts w:ascii="Times New Roman" w:hAnsi="Times New Roman"/>
          <w:sz w:val="24"/>
          <w:szCs w:val="24"/>
        </w:rPr>
        <w:t>бяха постоянни. Паричната стойност на ефектите е намалена с 4</w:t>
      </w:r>
      <w:r w:rsidR="00506D91">
        <w:rPr>
          <w:rFonts w:ascii="Times New Roman" w:hAnsi="Times New Roman"/>
          <w:sz w:val="24"/>
          <w:szCs w:val="24"/>
          <w:lang w:val="en-US"/>
        </w:rPr>
        <w:t>,</w:t>
      </w:r>
      <w:r w:rsidRPr="00F8728A">
        <w:rPr>
          <w:rFonts w:ascii="Times New Roman" w:hAnsi="Times New Roman"/>
          <w:sz w:val="24"/>
          <w:szCs w:val="24"/>
        </w:rPr>
        <w:t xml:space="preserve">5% за публичното </w:t>
      </w:r>
      <w:r w:rsidR="00145598" w:rsidRPr="00F8728A">
        <w:rPr>
          <w:rFonts w:ascii="Times New Roman" w:hAnsi="Times New Roman"/>
          <w:sz w:val="24"/>
          <w:szCs w:val="24"/>
        </w:rPr>
        <w:t xml:space="preserve"> </w:t>
      </w:r>
      <w:r w:rsidRPr="00F8728A">
        <w:rPr>
          <w:rFonts w:ascii="Times New Roman" w:hAnsi="Times New Roman"/>
          <w:sz w:val="24"/>
          <w:szCs w:val="24"/>
        </w:rPr>
        <w:t>финансиране и с 8% за частното финансиране</w:t>
      </w:r>
      <w:bookmarkEnd w:id="779"/>
      <w:r w:rsidR="00D51B0B" w:rsidRPr="00F8728A">
        <w:rPr>
          <w:rFonts w:ascii="Times New Roman" w:hAnsi="Times New Roman"/>
          <w:sz w:val="24"/>
          <w:szCs w:val="24"/>
        </w:rPr>
        <w:t xml:space="preserve">. </w:t>
      </w:r>
    </w:p>
    <w:p w:rsidR="00D51B0B" w:rsidRPr="00F8728A" w:rsidRDefault="00440E17" w:rsidP="00D51B0B">
      <w:pPr>
        <w:spacing w:after="120" w:line="276" w:lineRule="auto"/>
        <w:jc w:val="both"/>
        <w:rPr>
          <w:rFonts w:ascii="Times New Roman" w:hAnsi="Times New Roman"/>
          <w:sz w:val="24"/>
          <w:szCs w:val="24"/>
        </w:rPr>
      </w:pPr>
      <w:r w:rsidRPr="00F8728A">
        <w:rPr>
          <w:rFonts w:ascii="Times New Roman" w:hAnsi="Times New Roman"/>
          <w:sz w:val="24"/>
          <w:szCs w:val="24"/>
        </w:rPr>
        <w:t>Ползите се определят като положителния ефект от прилагането на мерки за адаптиране към изменението на климата в сектор градска среда</w:t>
      </w:r>
      <w:r w:rsidR="00D51B0B" w:rsidRPr="00F8728A">
        <w:rPr>
          <w:rFonts w:ascii="Times New Roman" w:hAnsi="Times New Roman"/>
          <w:sz w:val="24"/>
          <w:szCs w:val="24"/>
        </w:rPr>
        <w:t>.</w:t>
      </w:r>
      <w:bookmarkEnd w:id="780"/>
    </w:p>
    <w:p w:rsidR="00440E17" w:rsidRPr="00B73D7E" w:rsidRDefault="00D51B0B" w:rsidP="00CF297A">
      <w:pPr>
        <w:pStyle w:val="Heading3"/>
        <w:numPr>
          <w:ilvl w:val="1"/>
          <w:numId w:val="68"/>
        </w:numPr>
        <w:spacing w:before="160"/>
        <w:rPr>
          <w:lang w:val="bg-BG"/>
        </w:rPr>
      </w:pPr>
      <w:bookmarkStart w:id="781" w:name="_Toc517709441"/>
      <w:r w:rsidRPr="00B73D7E">
        <w:rPr>
          <w:lang w:val="bg-BG"/>
        </w:rPr>
        <w:t xml:space="preserve"> </w:t>
      </w:r>
      <w:bookmarkStart w:id="782" w:name="_Toc517783537"/>
      <w:bookmarkStart w:id="783" w:name="_Toc522030607"/>
      <w:bookmarkStart w:id="784" w:name="_Toc529285592"/>
      <w:bookmarkEnd w:id="781"/>
      <w:r w:rsidR="00440E17" w:rsidRPr="00B73D7E">
        <w:rPr>
          <w:lang w:val="bg-BG"/>
        </w:rPr>
        <w:t>Процедури за събиране на данни</w:t>
      </w:r>
      <w:bookmarkEnd w:id="782"/>
      <w:bookmarkEnd w:id="783"/>
      <w:bookmarkEnd w:id="784"/>
    </w:p>
    <w:p w:rsidR="00D51B0B" w:rsidRPr="00B73D7E" w:rsidRDefault="00440E17" w:rsidP="00D51B0B">
      <w:pPr>
        <w:spacing w:after="120" w:line="276" w:lineRule="auto"/>
        <w:jc w:val="both"/>
        <w:rPr>
          <w:rFonts w:ascii="Times New Roman" w:hAnsi="Times New Roman"/>
          <w:sz w:val="24"/>
          <w:szCs w:val="24"/>
        </w:rPr>
      </w:pPr>
      <w:r w:rsidRPr="00B73D7E">
        <w:rPr>
          <w:rFonts w:ascii="Times New Roman" w:hAnsi="Times New Roman"/>
          <w:sz w:val="24"/>
          <w:szCs w:val="24"/>
        </w:rPr>
        <w:t xml:space="preserve">Основните данни, използвани </w:t>
      </w:r>
      <w:r w:rsidRPr="00F8728A">
        <w:rPr>
          <w:rFonts w:ascii="Times New Roman" w:hAnsi="Times New Roman"/>
          <w:sz w:val="24"/>
          <w:szCs w:val="24"/>
        </w:rPr>
        <w:t>при АРП</w:t>
      </w:r>
      <w:r w:rsidRPr="00B73D7E">
        <w:rPr>
          <w:rFonts w:ascii="Times New Roman" w:hAnsi="Times New Roman"/>
          <w:sz w:val="24"/>
          <w:szCs w:val="24"/>
        </w:rPr>
        <w:t xml:space="preserve"> бяха получени от Плана за действие, който е част от проектопредложението за </w:t>
      </w:r>
      <w:r w:rsidRPr="00F8728A">
        <w:rPr>
          <w:rFonts w:ascii="Times New Roman" w:hAnsi="Times New Roman"/>
          <w:sz w:val="24"/>
          <w:szCs w:val="24"/>
        </w:rPr>
        <w:t>Н</w:t>
      </w:r>
      <w:r w:rsidRPr="00B73D7E">
        <w:rPr>
          <w:rFonts w:ascii="Times New Roman" w:hAnsi="Times New Roman"/>
          <w:sz w:val="24"/>
          <w:szCs w:val="24"/>
        </w:rPr>
        <w:t xml:space="preserve">ационална стратегия и </w:t>
      </w:r>
      <w:r w:rsidRPr="00F8728A">
        <w:rPr>
          <w:rFonts w:ascii="Times New Roman" w:hAnsi="Times New Roman"/>
          <w:sz w:val="24"/>
          <w:szCs w:val="24"/>
        </w:rPr>
        <w:t>П</w:t>
      </w:r>
      <w:r w:rsidRPr="00B73D7E">
        <w:rPr>
          <w:rFonts w:ascii="Times New Roman" w:hAnsi="Times New Roman"/>
          <w:sz w:val="24"/>
          <w:szCs w:val="24"/>
        </w:rPr>
        <w:t>лан за действие за адаптиране към изменението на климата за България и от официални статистически данни</w:t>
      </w:r>
      <w:r w:rsidR="00D51B0B" w:rsidRPr="00B73D7E">
        <w:rPr>
          <w:rFonts w:ascii="Times New Roman" w:hAnsi="Times New Roman"/>
          <w:sz w:val="24"/>
          <w:szCs w:val="24"/>
        </w:rPr>
        <w:t>.</w:t>
      </w:r>
    </w:p>
    <w:p w:rsidR="00D51B0B" w:rsidRPr="00B73D7E" w:rsidRDefault="00440E17" w:rsidP="00D51B0B">
      <w:pPr>
        <w:spacing w:after="120" w:line="276" w:lineRule="auto"/>
        <w:jc w:val="both"/>
        <w:rPr>
          <w:rFonts w:ascii="Times New Roman" w:hAnsi="Times New Roman"/>
          <w:b/>
          <w:sz w:val="24"/>
          <w:szCs w:val="24"/>
        </w:rPr>
      </w:pPr>
      <w:bookmarkStart w:id="785" w:name="_Hlk517282269"/>
      <w:r w:rsidRPr="00B73D7E">
        <w:rPr>
          <w:rFonts w:ascii="Times New Roman" w:hAnsi="Times New Roman"/>
          <w:sz w:val="24"/>
        </w:rPr>
        <w:t>Корелацията определ</w:t>
      </w:r>
      <w:r w:rsidRPr="00F8728A">
        <w:rPr>
          <w:rFonts w:ascii="Times New Roman" w:hAnsi="Times New Roman"/>
          <w:sz w:val="24"/>
        </w:rPr>
        <w:t>и</w:t>
      </w:r>
      <w:r w:rsidRPr="00B73D7E">
        <w:rPr>
          <w:rFonts w:ascii="Times New Roman" w:hAnsi="Times New Roman"/>
          <w:sz w:val="24"/>
        </w:rPr>
        <w:t xml:space="preserve"> дали има връзка между показателите за ефективност и климатичните фактори. Връзката показва кои показатели значително зависят от изменението на климата. Оценката на корелационния коефициент (зависимостта между всеки секторен </w:t>
      </w:r>
      <w:r w:rsidRPr="00F8728A">
        <w:rPr>
          <w:rFonts w:ascii="Times New Roman" w:hAnsi="Times New Roman"/>
          <w:sz w:val="24"/>
        </w:rPr>
        <w:t xml:space="preserve">показател </w:t>
      </w:r>
      <w:r w:rsidRPr="00B73D7E">
        <w:rPr>
          <w:rFonts w:ascii="Times New Roman" w:hAnsi="Times New Roman"/>
          <w:sz w:val="24"/>
        </w:rPr>
        <w:t>и факторите на изменението на климата [температура и валежи] се използва за изясняване и избиране на критичните променливи (променливи, които са силно чувствителни към климатичните фактори</w:t>
      </w:r>
      <w:r w:rsidR="00D51B0B" w:rsidRPr="00B73D7E">
        <w:rPr>
          <w:rFonts w:ascii="Times New Roman" w:hAnsi="Times New Roman"/>
          <w:sz w:val="24"/>
          <w:szCs w:val="24"/>
        </w:rPr>
        <w:t xml:space="preserve">). </w:t>
      </w:r>
    </w:p>
    <w:p w:rsidR="00440E17" w:rsidRPr="00B73D7E" w:rsidRDefault="00440E17" w:rsidP="00CF297A">
      <w:pPr>
        <w:pStyle w:val="Heading3"/>
        <w:numPr>
          <w:ilvl w:val="1"/>
          <w:numId w:val="68"/>
        </w:numPr>
        <w:spacing w:before="160"/>
        <w:rPr>
          <w:lang w:val="bg-BG"/>
        </w:rPr>
      </w:pPr>
      <w:bookmarkStart w:id="786" w:name="_Toc522030608"/>
      <w:bookmarkStart w:id="787" w:name="_Toc529285593"/>
      <w:bookmarkEnd w:id="785"/>
      <w:r w:rsidRPr="00B73D7E">
        <w:rPr>
          <w:lang w:val="bg-BG"/>
        </w:rPr>
        <w:t>Спецификации на модела - допускания и ограничения</w:t>
      </w:r>
      <w:bookmarkEnd w:id="786"/>
      <w:bookmarkEnd w:id="787"/>
    </w:p>
    <w:p w:rsidR="00D51B0B" w:rsidRPr="00B73D7E" w:rsidRDefault="00440E17" w:rsidP="00CF297A">
      <w:pPr>
        <w:numPr>
          <w:ilvl w:val="0"/>
          <w:numId w:val="66"/>
        </w:numPr>
        <w:pBdr>
          <w:top w:val="nil"/>
          <w:left w:val="nil"/>
          <w:bottom w:val="nil"/>
          <w:right w:val="nil"/>
          <w:between w:val="nil"/>
          <w:bar w:val="nil"/>
        </w:pBdr>
        <w:spacing w:after="60" w:line="276" w:lineRule="auto"/>
        <w:jc w:val="both"/>
        <w:rPr>
          <w:rFonts w:ascii="Times New Roman" w:hAnsi="Times New Roman"/>
          <w:color w:val="000000"/>
          <w:sz w:val="24"/>
          <w:szCs w:val="24"/>
          <w:u w:color="000000"/>
          <w:bdr w:val="nil"/>
          <w:lang w:eastAsia="en-GB"/>
        </w:rPr>
      </w:pPr>
      <w:r w:rsidRPr="00B73D7E">
        <w:rPr>
          <w:rFonts w:ascii="Times New Roman" w:hAnsi="Times New Roman"/>
          <w:color w:val="000000"/>
          <w:sz w:val="24"/>
          <w:szCs w:val="24"/>
          <w:u w:color="000000"/>
          <w:lang w:eastAsia="en-GB"/>
        </w:rPr>
        <w:t xml:space="preserve">Прогнозната стойност на тенденцията за всеки секторен показател </w:t>
      </w:r>
      <w:r w:rsidRPr="00F8728A">
        <w:rPr>
          <w:rFonts w:ascii="Times New Roman" w:hAnsi="Times New Roman"/>
          <w:color w:val="000000"/>
          <w:sz w:val="24"/>
          <w:szCs w:val="24"/>
          <w:u w:color="000000"/>
          <w:lang w:eastAsia="en-GB"/>
        </w:rPr>
        <w:t xml:space="preserve">се базира </w:t>
      </w:r>
      <w:r w:rsidRPr="00B73D7E">
        <w:rPr>
          <w:rFonts w:ascii="Times New Roman" w:hAnsi="Times New Roman"/>
          <w:color w:val="000000"/>
          <w:sz w:val="24"/>
          <w:szCs w:val="24"/>
          <w:u w:color="000000"/>
          <w:lang w:eastAsia="en-GB"/>
        </w:rPr>
        <w:t xml:space="preserve">на исторически данни </w:t>
      </w:r>
      <w:r w:rsidR="00D51B0B" w:rsidRPr="00B73D7E">
        <w:rPr>
          <w:rFonts w:ascii="Times New Roman" w:hAnsi="Times New Roman"/>
          <w:color w:val="000000"/>
          <w:sz w:val="24"/>
          <w:szCs w:val="24"/>
          <w:u w:color="000000"/>
          <w:bdr w:val="nil"/>
          <w:lang w:eastAsia="en-GB"/>
        </w:rPr>
        <w:t xml:space="preserve">(2010–2015). </w:t>
      </w:r>
    </w:p>
    <w:p w:rsidR="00440E17" w:rsidRPr="00B73D7E" w:rsidRDefault="00440E17" w:rsidP="00CF297A">
      <w:pPr>
        <w:numPr>
          <w:ilvl w:val="0"/>
          <w:numId w:val="66"/>
        </w:numPr>
        <w:pBdr>
          <w:top w:val="nil"/>
          <w:left w:val="nil"/>
          <w:bottom w:val="nil"/>
          <w:right w:val="nil"/>
          <w:between w:val="nil"/>
          <w:bar w:val="nil"/>
        </w:pBdr>
        <w:spacing w:after="60" w:line="276" w:lineRule="auto"/>
        <w:jc w:val="both"/>
        <w:rPr>
          <w:rFonts w:ascii="Times New Roman" w:hAnsi="Times New Roman"/>
          <w:color w:val="000000"/>
          <w:sz w:val="24"/>
          <w:szCs w:val="24"/>
          <w:u w:color="000000"/>
          <w:bdr w:val="nil"/>
          <w:lang w:eastAsia="en-GB"/>
        </w:rPr>
      </w:pPr>
      <w:r w:rsidRPr="00B73D7E">
        <w:rPr>
          <w:rFonts w:ascii="Times New Roman" w:hAnsi="Times New Roman"/>
          <w:color w:val="000000"/>
          <w:sz w:val="24"/>
          <w:szCs w:val="24"/>
          <w:u w:color="000000"/>
          <w:bdr w:val="nil"/>
          <w:lang w:eastAsia="en-GB"/>
        </w:rPr>
        <w:t>Основните секторни показатели</w:t>
      </w:r>
      <w:r w:rsidR="009C0C55" w:rsidRPr="00F8728A">
        <w:rPr>
          <w:rFonts w:ascii="Times New Roman" w:hAnsi="Times New Roman"/>
          <w:color w:val="000000"/>
          <w:sz w:val="24"/>
          <w:szCs w:val="24"/>
          <w:u w:color="000000"/>
          <w:bdr w:val="nil"/>
          <w:lang w:eastAsia="en-GB"/>
        </w:rPr>
        <w:t>, включени</w:t>
      </w:r>
      <w:r w:rsidRPr="00B73D7E">
        <w:rPr>
          <w:rFonts w:ascii="Times New Roman" w:hAnsi="Times New Roman"/>
          <w:color w:val="000000"/>
          <w:sz w:val="24"/>
          <w:szCs w:val="24"/>
          <w:u w:color="000000"/>
          <w:bdr w:val="nil"/>
          <w:lang w:eastAsia="en-GB"/>
        </w:rPr>
        <w:t xml:space="preserve"> в анализа са: потребление на </w:t>
      </w:r>
      <w:r w:rsidR="000435FC" w:rsidRPr="00F8728A">
        <w:rPr>
          <w:rFonts w:ascii="Times New Roman" w:hAnsi="Times New Roman"/>
          <w:color w:val="000000"/>
          <w:sz w:val="24"/>
          <w:szCs w:val="24"/>
          <w:u w:color="000000"/>
          <w:bdr w:val="nil"/>
          <w:lang w:eastAsia="en-GB"/>
        </w:rPr>
        <w:t>електро</w:t>
      </w:r>
      <w:r w:rsidRPr="00B73D7E">
        <w:rPr>
          <w:rFonts w:ascii="Times New Roman" w:hAnsi="Times New Roman"/>
          <w:color w:val="000000"/>
          <w:sz w:val="24"/>
          <w:szCs w:val="24"/>
          <w:u w:color="000000"/>
          <w:bdr w:val="nil"/>
          <w:lang w:eastAsia="en-GB"/>
        </w:rPr>
        <w:t>енергия в домакинствата, потребление на топлинна енергия в домакинствата, общо потребление на електрическа и топлинна енергия в домакинствата, загуби на вода</w:t>
      </w:r>
      <w:r w:rsidR="00D51B0B" w:rsidRPr="00B73D7E">
        <w:rPr>
          <w:rFonts w:ascii="Times New Roman" w:hAnsi="Times New Roman"/>
          <w:color w:val="000000"/>
          <w:sz w:val="24"/>
          <w:szCs w:val="24"/>
          <w:u w:color="000000"/>
          <w:bdr w:val="nil"/>
          <w:lang w:eastAsia="en-GB"/>
        </w:rPr>
        <w:t xml:space="preserve">. </w:t>
      </w:r>
    </w:p>
    <w:p w:rsidR="00D51B0B" w:rsidRPr="00B73D7E" w:rsidRDefault="00440E17" w:rsidP="00CF297A">
      <w:pPr>
        <w:numPr>
          <w:ilvl w:val="0"/>
          <w:numId w:val="66"/>
        </w:numPr>
        <w:pBdr>
          <w:top w:val="nil"/>
          <w:left w:val="nil"/>
          <w:bottom w:val="nil"/>
          <w:right w:val="nil"/>
          <w:between w:val="nil"/>
          <w:bar w:val="nil"/>
        </w:pBdr>
        <w:spacing w:after="60" w:line="276" w:lineRule="auto"/>
        <w:jc w:val="both"/>
        <w:rPr>
          <w:rFonts w:ascii="Times New Roman" w:hAnsi="Times New Roman"/>
          <w:color w:val="000000"/>
          <w:sz w:val="24"/>
          <w:szCs w:val="24"/>
          <w:u w:color="000000"/>
          <w:bdr w:val="nil"/>
          <w:lang w:eastAsia="en-GB"/>
        </w:rPr>
      </w:pPr>
      <w:r w:rsidRPr="00B73D7E">
        <w:rPr>
          <w:rFonts w:ascii="Times New Roman" w:hAnsi="Times New Roman"/>
          <w:color w:val="000000"/>
          <w:sz w:val="24"/>
          <w:szCs w:val="24"/>
          <w:u w:color="000000"/>
          <w:lang w:eastAsia="en-GB"/>
        </w:rPr>
        <w:t xml:space="preserve">Прогнозите за климата (температура и валежи) бяха приложени към историческите различия в България (1991-2015 г.). </w:t>
      </w:r>
      <w:r w:rsidR="000435FC" w:rsidRPr="00F8728A">
        <w:rPr>
          <w:rFonts w:ascii="Times New Roman" w:hAnsi="Times New Roman"/>
          <w:color w:val="000000"/>
          <w:sz w:val="24"/>
          <w:szCs w:val="24"/>
          <w:u w:color="000000"/>
          <w:lang w:eastAsia="en-GB"/>
        </w:rPr>
        <w:t xml:space="preserve">Наблюденията са от месечни климатични променливи: месечна температура </w:t>
      </w:r>
      <w:r w:rsidRPr="00B73D7E">
        <w:rPr>
          <w:rFonts w:ascii="Times New Roman" w:hAnsi="Times New Roman"/>
          <w:color w:val="000000"/>
          <w:sz w:val="24"/>
          <w:szCs w:val="24"/>
          <w:u w:color="000000"/>
          <w:lang w:eastAsia="en-GB"/>
        </w:rPr>
        <w:t>(максимална, минимална и средна) и валежи (максималн</w:t>
      </w:r>
      <w:r w:rsidRPr="00F8728A">
        <w:rPr>
          <w:rFonts w:ascii="Times New Roman" w:hAnsi="Times New Roman"/>
          <w:color w:val="000000"/>
          <w:sz w:val="24"/>
          <w:szCs w:val="24"/>
          <w:u w:color="000000"/>
          <w:lang w:eastAsia="en-GB"/>
        </w:rPr>
        <w:t>и</w:t>
      </w:r>
      <w:r w:rsidRPr="00B73D7E">
        <w:rPr>
          <w:rFonts w:ascii="Times New Roman" w:hAnsi="Times New Roman"/>
          <w:color w:val="000000"/>
          <w:sz w:val="24"/>
          <w:szCs w:val="24"/>
          <w:u w:color="000000"/>
          <w:lang w:eastAsia="en-GB"/>
        </w:rPr>
        <w:t>, минималн</w:t>
      </w:r>
      <w:r w:rsidRPr="00F8728A">
        <w:rPr>
          <w:rFonts w:ascii="Times New Roman" w:hAnsi="Times New Roman"/>
          <w:color w:val="000000"/>
          <w:sz w:val="24"/>
          <w:szCs w:val="24"/>
          <w:u w:color="000000"/>
          <w:lang w:eastAsia="en-GB"/>
        </w:rPr>
        <w:t>и</w:t>
      </w:r>
      <w:r w:rsidRPr="00B73D7E">
        <w:rPr>
          <w:rFonts w:ascii="Times New Roman" w:hAnsi="Times New Roman"/>
          <w:color w:val="000000"/>
          <w:sz w:val="24"/>
          <w:szCs w:val="24"/>
          <w:u w:color="000000"/>
          <w:lang w:eastAsia="en-GB"/>
        </w:rPr>
        <w:t xml:space="preserve"> и средн</w:t>
      </w:r>
      <w:r w:rsidRPr="00F8728A">
        <w:rPr>
          <w:rFonts w:ascii="Times New Roman" w:hAnsi="Times New Roman"/>
          <w:color w:val="000000"/>
          <w:sz w:val="24"/>
          <w:szCs w:val="24"/>
          <w:u w:color="000000"/>
          <w:lang w:eastAsia="en-GB"/>
        </w:rPr>
        <w:t>и</w:t>
      </w:r>
      <w:r w:rsidR="00D51B0B" w:rsidRPr="00B73D7E">
        <w:rPr>
          <w:rFonts w:ascii="Times New Roman" w:hAnsi="Times New Roman"/>
          <w:color w:val="000000"/>
          <w:sz w:val="24"/>
          <w:szCs w:val="24"/>
          <w:u w:color="000000"/>
          <w:bdr w:val="nil"/>
          <w:lang w:eastAsia="en-GB"/>
        </w:rPr>
        <w:t>).</w:t>
      </w:r>
    </w:p>
    <w:p w:rsidR="00D51B0B" w:rsidRPr="00B73D7E" w:rsidRDefault="00440E17" w:rsidP="00CF297A">
      <w:pPr>
        <w:numPr>
          <w:ilvl w:val="0"/>
          <w:numId w:val="66"/>
        </w:numPr>
        <w:pBdr>
          <w:top w:val="nil"/>
          <w:left w:val="nil"/>
          <w:bottom w:val="nil"/>
          <w:right w:val="nil"/>
          <w:between w:val="nil"/>
          <w:bar w:val="nil"/>
        </w:pBdr>
        <w:spacing w:after="60" w:line="276" w:lineRule="auto"/>
        <w:jc w:val="both"/>
        <w:rPr>
          <w:rFonts w:ascii="Times New Roman" w:hAnsi="Times New Roman"/>
          <w:color w:val="000000"/>
          <w:sz w:val="24"/>
          <w:szCs w:val="24"/>
          <w:u w:color="000000"/>
          <w:bdr w:val="nil"/>
          <w:lang w:eastAsia="en-GB"/>
        </w:rPr>
      </w:pPr>
      <w:bookmarkStart w:id="788" w:name="_Hlk516672608"/>
      <w:bookmarkStart w:id="789" w:name="_Hlk516592275"/>
      <w:r w:rsidRPr="00B73D7E">
        <w:rPr>
          <w:rFonts w:ascii="Times New Roman" w:hAnsi="Times New Roman"/>
          <w:sz w:val="24"/>
          <w:szCs w:val="24"/>
        </w:rPr>
        <w:t xml:space="preserve">Беше използван основен сценарий за </w:t>
      </w:r>
      <w:r w:rsidRPr="00F8728A">
        <w:rPr>
          <w:rFonts w:ascii="Times New Roman" w:hAnsi="Times New Roman"/>
          <w:sz w:val="24"/>
          <w:szCs w:val="24"/>
        </w:rPr>
        <w:t>оценка на тенденци</w:t>
      </w:r>
      <w:r w:rsidR="00B13354" w:rsidRPr="00F8728A">
        <w:rPr>
          <w:rFonts w:ascii="Times New Roman" w:hAnsi="Times New Roman"/>
          <w:sz w:val="24"/>
          <w:szCs w:val="24"/>
        </w:rPr>
        <w:t>ята на развитие на</w:t>
      </w:r>
      <w:r w:rsidRPr="00F8728A">
        <w:rPr>
          <w:rFonts w:ascii="Times New Roman" w:hAnsi="Times New Roman"/>
          <w:sz w:val="24"/>
          <w:szCs w:val="24"/>
        </w:rPr>
        <w:t xml:space="preserve"> </w:t>
      </w:r>
      <w:r w:rsidRPr="00B73D7E">
        <w:rPr>
          <w:rFonts w:ascii="Times New Roman" w:hAnsi="Times New Roman"/>
          <w:sz w:val="24"/>
          <w:szCs w:val="24"/>
        </w:rPr>
        <w:t>показатели</w:t>
      </w:r>
      <w:r w:rsidRPr="00F8728A">
        <w:rPr>
          <w:rFonts w:ascii="Times New Roman" w:hAnsi="Times New Roman"/>
          <w:sz w:val="24"/>
          <w:szCs w:val="24"/>
        </w:rPr>
        <w:t>те</w:t>
      </w:r>
      <w:r w:rsidRPr="00B73D7E">
        <w:rPr>
          <w:rFonts w:ascii="Times New Roman" w:hAnsi="Times New Roman"/>
          <w:sz w:val="24"/>
          <w:szCs w:val="24"/>
        </w:rPr>
        <w:t xml:space="preserve"> за ефективност при сценариите от </w:t>
      </w:r>
      <w:r w:rsidRPr="00F8728A">
        <w:rPr>
          <w:rFonts w:ascii="Times New Roman" w:hAnsi="Times New Roman"/>
          <w:sz w:val="24"/>
          <w:szCs w:val="24"/>
        </w:rPr>
        <w:t xml:space="preserve">повишение на температурата с </w:t>
      </w:r>
      <w:r w:rsidRPr="00B73D7E">
        <w:rPr>
          <w:rFonts w:ascii="Times New Roman" w:hAnsi="Times New Roman"/>
          <w:sz w:val="24"/>
          <w:szCs w:val="24"/>
        </w:rPr>
        <w:t xml:space="preserve">+2°C и +4°C. Основният сценарий </w:t>
      </w:r>
      <w:r w:rsidRPr="00F8728A">
        <w:rPr>
          <w:rFonts w:ascii="Times New Roman" w:hAnsi="Times New Roman"/>
          <w:sz w:val="24"/>
          <w:szCs w:val="24"/>
        </w:rPr>
        <w:t xml:space="preserve">отразява продължението на </w:t>
      </w:r>
      <w:r w:rsidRPr="00B73D7E">
        <w:rPr>
          <w:rFonts w:ascii="Times New Roman" w:hAnsi="Times New Roman"/>
          <w:sz w:val="24"/>
          <w:szCs w:val="24"/>
        </w:rPr>
        <w:t>текущите</w:t>
      </w:r>
      <w:r w:rsidRPr="00F8728A">
        <w:rPr>
          <w:rFonts w:ascii="Times New Roman" w:hAnsi="Times New Roman"/>
          <w:sz w:val="24"/>
          <w:szCs w:val="24"/>
        </w:rPr>
        <w:t xml:space="preserve"> политики и планове, т.е. в бъдеще няма да се предпиремат нови мерки за справяне с изменението на климата</w:t>
      </w:r>
      <w:r w:rsidR="00D51B0B" w:rsidRPr="00B73D7E">
        <w:rPr>
          <w:rFonts w:ascii="Times New Roman" w:hAnsi="Times New Roman"/>
          <w:color w:val="000000"/>
          <w:sz w:val="24"/>
          <w:szCs w:val="24"/>
          <w:u w:color="000000"/>
          <w:bdr w:val="nil"/>
          <w:lang w:eastAsia="en-GB"/>
        </w:rPr>
        <w:t>.</w:t>
      </w:r>
      <w:bookmarkEnd w:id="788"/>
    </w:p>
    <w:p w:rsidR="00D51B0B" w:rsidRPr="00B73D7E" w:rsidRDefault="00440E17" w:rsidP="00CF297A">
      <w:pPr>
        <w:numPr>
          <w:ilvl w:val="0"/>
          <w:numId w:val="66"/>
        </w:numPr>
        <w:pBdr>
          <w:top w:val="nil"/>
          <w:left w:val="nil"/>
          <w:bottom w:val="nil"/>
          <w:right w:val="nil"/>
          <w:between w:val="nil"/>
          <w:bar w:val="nil"/>
        </w:pBdr>
        <w:spacing w:after="60" w:line="276" w:lineRule="auto"/>
        <w:jc w:val="both"/>
        <w:rPr>
          <w:rFonts w:ascii="Times New Roman" w:hAnsi="Times New Roman"/>
          <w:color w:val="000000"/>
          <w:sz w:val="24"/>
          <w:szCs w:val="24"/>
          <w:u w:color="000000"/>
          <w:bdr w:val="nil"/>
          <w:lang w:eastAsia="en-GB"/>
        </w:rPr>
      </w:pPr>
      <w:r w:rsidRPr="00B73D7E">
        <w:rPr>
          <w:rFonts w:ascii="Times New Roman" w:hAnsi="Times New Roman"/>
          <w:color w:val="000000"/>
          <w:sz w:val="24"/>
          <w:szCs w:val="24"/>
          <w:u w:color="000000"/>
          <w:bdr w:val="nil"/>
          <w:lang w:eastAsia="en-GB"/>
        </w:rPr>
        <w:t>Натискът от екстремни събития, като наводнения и свлачища, върху ключовите показатели за ефективност не се отчита, те са непряко включени, но не са анализирани отделно. Бяха взети под внимание неклиматичните фактори (природни, материални, икономически, социални и политически фактори) и техният кумулативен ефект</w:t>
      </w:r>
      <w:r w:rsidR="00D51B0B" w:rsidRPr="00B73D7E">
        <w:rPr>
          <w:rFonts w:ascii="Times New Roman" w:hAnsi="Times New Roman"/>
          <w:color w:val="000000"/>
          <w:sz w:val="24"/>
          <w:szCs w:val="24"/>
          <w:u w:color="000000"/>
          <w:bdr w:val="nil"/>
          <w:lang w:eastAsia="en-GB"/>
        </w:rPr>
        <w:t>.</w:t>
      </w:r>
    </w:p>
    <w:p w:rsidR="0068608A" w:rsidRPr="00B73D7E" w:rsidRDefault="0068608A" w:rsidP="00CF297A">
      <w:pPr>
        <w:pStyle w:val="Heading2"/>
        <w:keepNext/>
        <w:keepLines/>
        <w:widowControl/>
        <w:numPr>
          <w:ilvl w:val="0"/>
          <w:numId w:val="68"/>
        </w:numPr>
        <w:autoSpaceDE w:val="0"/>
        <w:autoSpaceDN w:val="0"/>
        <w:adjustRightInd w:val="0"/>
        <w:spacing w:line="240" w:lineRule="auto"/>
        <w:rPr>
          <w:bCs/>
          <w:lang w:val="bg-BG"/>
        </w:rPr>
      </w:pPr>
      <w:bookmarkStart w:id="790" w:name="_Toc522030609"/>
      <w:bookmarkStart w:id="791" w:name="_Toc529285594"/>
      <w:bookmarkStart w:id="792" w:name="_Toc517709443"/>
      <w:bookmarkEnd w:id="789"/>
      <w:r w:rsidRPr="00B73D7E">
        <w:rPr>
          <w:lang w:val="bg-BG"/>
        </w:rPr>
        <w:t>Резултати от регресионния анализ</w:t>
      </w:r>
      <w:bookmarkEnd w:id="790"/>
      <w:bookmarkEnd w:id="791"/>
    </w:p>
    <w:bookmarkEnd w:id="792"/>
    <w:p w:rsidR="00D51B0B" w:rsidRPr="00B73D7E" w:rsidRDefault="0068608A" w:rsidP="00D51B0B">
      <w:pPr>
        <w:spacing w:after="120" w:line="276" w:lineRule="auto"/>
        <w:jc w:val="both"/>
        <w:rPr>
          <w:rFonts w:ascii="Times New Roman" w:hAnsi="Times New Roman"/>
          <w:bCs/>
          <w:sz w:val="24"/>
          <w:szCs w:val="24"/>
        </w:rPr>
      </w:pPr>
      <w:r w:rsidRPr="00B73D7E">
        <w:rPr>
          <w:rFonts w:ascii="Times New Roman" w:hAnsi="Times New Roman"/>
          <w:sz w:val="24"/>
          <w:szCs w:val="24"/>
        </w:rPr>
        <w:t xml:space="preserve">Диференциалната оценка беше извършена чрез сравняване на ефектите от изменението на климата върху основните показатели за </w:t>
      </w:r>
      <w:r w:rsidRPr="00F8728A">
        <w:rPr>
          <w:rFonts w:ascii="Times New Roman" w:hAnsi="Times New Roman"/>
          <w:sz w:val="24"/>
          <w:szCs w:val="24"/>
        </w:rPr>
        <w:t xml:space="preserve">ефективност при </w:t>
      </w:r>
      <w:r w:rsidRPr="00B73D7E">
        <w:rPr>
          <w:rFonts w:ascii="Times New Roman" w:hAnsi="Times New Roman"/>
          <w:sz w:val="24"/>
          <w:szCs w:val="24"/>
        </w:rPr>
        <w:t>всички сценарии спрямо базовия сценарий. Резултатите показват отрицателни или положителни ефекти върху показателите за всеки сценарий</w:t>
      </w:r>
      <w:r w:rsidR="00D51B0B" w:rsidRPr="00B73D7E">
        <w:rPr>
          <w:rFonts w:ascii="Times New Roman" w:hAnsi="Times New Roman"/>
          <w:bCs/>
          <w:sz w:val="24"/>
          <w:szCs w:val="24"/>
        </w:rPr>
        <w:t>.</w:t>
      </w:r>
    </w:p>
    <w:p w:rsidR="00D51B0B" w:rsidRPr="00B73D7E" w:rsidRDefault="00AB5F36" w:rsidP="00D51B0B">
      <w:pPr>
        <w:spacing w:after="120" w:line="276" w:lineRule="auto"/>
        <w:jc w:val="both"/>
        <w:rPr>
          <w:rFonts w:ascii="Times New Roman" w:hAnsi="Times New Roman"/>
          <w:bCs/>
          <w:sz w:val="24"/>
          <w:szCs w:val="24"/>
        </w:rPr>
      </w:pPr>
      <w:r w:rsidRPr="00F8728A">
        <w:rPr>
          <w:rFonts w:ascii="Times New Roman" w:hAnsi="Times New Roman"/>
          <w:bCs/>
          <w:sz w:val="24"/>
          <w:szCs w:val="24"/>
        </w:rPr>
        <w:t>Беше отчетено</w:t>
      </w:r>
      <w:r w:rsidRPr="00B73D7E">
        <w:rPr>
          <w:rFonts w:ascii="Times New Roman" w:hAnsi="Times New Roman"/>
          <w:bCs/>
          <w:sz w:val="24"/>
          <w:szCs w:val="24"/>
        </w:rPr>
        <w:t xml:space="preserve">, че </w:t>
      </w:r>
      <w:r w:rsidRPr="00F8728A">
        <w:rPr>
          <w:rFonts w:ascii="Times New Roman" w:hAnsi="Times New Roman"/>
          <w:bCs/>
          <w:sz w:val="24"/>
          <w:szCs w:val="24"/>
        </w:rPr>
        <w:t xml:space="preserve">вариантите </w:t>
      </w:r>
      <w:r w:rsidRPr="00B73D7E">
        <w:rPr>
          <w:rFonts w:ascii="Times New Roman" w:hAnsi="Times New Roman"/>
          <w:bCs/>
          <w:sz w:val="24"/>
          <w:szCs w:val="24"/>
        </w:rPr>
        <w:t xml:space="preserve">за адаптиране имат сложно въздействие върху </w:t>
      </w:r>
      <w:r w:rsidRPr="00B73D7E">
        <w:rPr>
          <w:rFonts w:ascii="Times New Roman" w:hAnsi="Times New Roman"/>
          <w:sz w:val="24"/>
          <w:szCs w:val="24"/>
        </w:rPr>
        <w:t xml:space="preserve">основните показатели за </w:t>
      </w:r>
      <w:r w:rsidRPr="00F8728A">
        <w:rPr>
          <w:rFonts w:ascii="Times New Roman" w:hAnsi="Times New Roman"/>
          <w:sz w:val="24"/>
          <w:szCs w:val="24"/>
        </w:rPr>
        <w:t xml:space="preserve">ефективност </w:t>
      </w:r>
      <w:r w:rsidRPr="00B73D7E">
        <w:rPr>
          <w:rFonts w:ascii="Times New Roman" w:hAnsi="Times New Roman"/>
          <w:bCs/>
          <w:sz w:val="24"/>
          <w:szCs w:val="24"/>
        </w:rPr>
        <w:t xml:space="preserve">и са чувствителни към градското развитие. </w:t>
      </w:r>
      <w:r w:rsidRPr="00F8728A">
        <w:rPr>
          <w:rFonts w:ascii="Times New Roman" w:hAnsi="Times New Roman"/>
          <w:bCs/>
          <w:sz w:val="24"/>
          <w:szCs w:val="24"/>
        </w:rPr>
        <w:t xml:space="preserve">Корелацията </w:t>
      </w:r>
      <w:r w:rsidRPr="00B73D7E">
        <w:rPr>
          <w:rFonts w:ascii="Times New Roman" w:hAnsi="Times New Roman"/>
          <w:bCs/>
          <w:sz w:val="24"/>
          <w:szCs w:val="24"/>
        </w:rPr>
        <w:t xml:space="preserve">между </w:t>
      </w:r>
      <w:r w:rsidRPr="00F8728A">
        <w:rPr>
          <w:rFonts w:ascii="Times New Roman" w:hAnsi="Times New Roman"/>
          <w:bCs/>
          <w:sz w:val="24"/>
          <w:szCs w:val="24"/>
        </w:rPr>
        <w:t xml:space="preserve">секторните </w:t>
      </w:r>
      <w:r w:rsidRPr="00B73D7E">
        <w:rPr>
          <w:rFonts w:ascii="Times New Roman" w:hAnsi="Times New Roman"/>
          <w:bCs/>
          <w:sz w:val="24"/>
          <w:szCs w:val="24"/>
        </w:rPr>
        <w:t>показатели</w:t>
      </w:r>
      <w:r w:rsidRPr="00F8728A">
        <w:rPr>
          <w:rFonts w:ascii="Times New Roman" w:hAnsi="Times New Roman"/>
          <w:bCs/>
          <w:sz w:val="24"/>
          <w:szCs w:val="24"/>
        </w:rPr>
        <w:t xml:space="preserve"> за ефективност </w:t>
      </w:r>
      <w:r w:rsidRPr="00B73D7E">
        <w:rPr>
          <w:rFonts w:ascii="Times New Roman" w:hAnsi="Times New Roman"/>
          <w:bCs/>
          <w:sz w:val="24"/>
          <w:szCs w:val="24"/>
        </w:rPr>
        <w:t>и факторите на изменение на климата (температура и валежи) е значително отрицателн</w:t>
      </w:r>
      <w:r w:rsidRPr="00F8728A">
        <w:rPr>
          <w:rFonts w:ascii="Times New Roman" w:hAnsi="Times New Roman"/>
          <w:bCs/>
          <w:sz w:val="24"/>
          <w:szCs w:val="24"/>
        </w:rPr>
        <w:t>а</w:t>
      </w:r>
      <w:r w:rsidR="00D51B0B" w:rsidRPr="00B73D7E">
        <w:rPr>
          <w:rFonts w:ascii="Times New Roman" w:hAnsi="Times New Roman"/>
          <w:bCs/>
          <w:sz w:val="24"/>
          <w:szCs w:val="24"/>
        </w:rPr>
        <w:t>.</w:t>
      </w:r>
    </w:p>
    <w:p w:rsidR="00D51B0B" w:rsidRPr="00B73D7E" w:rsidRDefault="00AB5F36" w:rsidP="00D51B0B">
      <w:pPr>
        <w:spacing w:after="120" w:line="276" w:lineRule="auto"/>
        <w:jc w:val="both"/>
        <w:rPr>
          <w:rFonts w:ascii="Times New Roman" w:hAnsi="Times New Roman"/>
          <w:bCs/>
          <w:sz w:val="24"/>
          <w:szCs w:val="24"/>
        </w:rPr>
      </w:pPr>
      <w:r w:rsidRPr="00F8728A">
        <w:rPr>
          <w:rFonts w:ascii="Times New Roman" w:hAnsi="Times New Roman"/>
          <w:bCs/>
          <w:sz w:val="24"/>
          <w:szCs w:val="24"/>
        </w:rPr>
        <w:t xml:space="preserve">Корелацията </w:t>
      </w:r>
      <w:r w:rsidRPr="00B73D7E">
        <w:rPr>
          <w:rFonts w:ascii="Times New Roman" w:hAnsi="Times New Roman"/>
          <w:bCs/>
          <w:sz w:val="24"/>
          <w:szCs w:val="24"/>
        </w:rPr>
        <w:t>показва, че потреблението на енергия в домакинствата зависи статистически от повишаването на температурата. Подобн</w:t>
      </w:r>
      <w:r w:rsidRPr="00F8728A">
        <w:rPr>
          <w:rFonts w:ascii="Times New Roman" w:hAnsi="Times New Roman"/>
          <w:bCs/>
          <w:sz w:val="24"/>
          <w:szCs w:val="24"/>
        </w:rPr>
        <w:t xml:space="preserve">а е констатацията </w:t>
      </w:r>
      <w:r w:rsidRPr="00B73D7E">
        <w:rPr>
          <w:rFonts w:ascii="Times New Roman" w:hAnsi="Times New Roman"/>
          <w:bCs/>
          <w:sz w:val="24"/>
          <w:szCs w:val="24"/>
        </w:rPr>
        <w:t xml:space="preserve">и по отношение на </w:t>
      </w:r>
      <w:r w:rsidRPr="00F8728A">
        <w:rPr>
          <w:rFonts w:ascii="Times New Roman" w:hAnsi="Times New Roman"/>
          <w:bCs/>
          <w:sz w:val="24"/>
          <w:szCs w:val="24"/>
        </w:rPr>
        <w:t xml:space="preserve">потреблението </w:t>
      </w:r>
      <w:r w:rsidRPr="00B73D7E">
        <w:rPr>
          <w:rFonts w:ascii="Times New Roman" w:hAnsi="Times New Roman"/>
          <w:bCs/>
          <w:sz w:val="24"/>
          <w:szCs w:val="24"/>
        </w:rPr>
        <w:t xml:space="preserve">на топлинна енергия. Има негативна връзка между загубите на вода и климатичните фактори. </w:t>
      </w:r>
      <w:r w:rsidRPr="00F8728A">
        <w:rPr>
          <w:rFonts w:ascii="Times New Roman" w:hAnsi="Times New Roman"/>
          <w:bCs/>
          <w:sz w:val="24"/>
          <w:szCs w:val="24"/>
        </w:rPr>
        <w:t xml:space="preserve">Корелацията </w:t>
      </w:r>
      <w:r w:rsidRPr="00B73D7E">
        <w:rPr>
          <w:rFonts w:ascii="Times New Roman" w:hAnsi="Times New Roman"/>
          <w:bCs/>
          <w:sz w:val="24"/>
          <w:szCs w:val="24"/>
        </w:rPr>
        <w:t xml:space="preserve">между загубите на вода и валежите е значително по-високо от зависимостта от температурата. </w:t>
      </w:r>
      <w:r w:rsidRPr="00F8728A">
        <w:rPr>
          <w:rFonts w:ascii="Times New Roman" w:hAnsi="Times New Roman"/>
          <w:bCs/>
          <w:sz w:val="24"/>
          <w:szCs w:val="24"/>
        </w:rPr>
        <w:t xml:space="preserve">Валежите </w:t>
      </w:r>
      <w:r w:rsidRPr="00B73D7E">
        <w:rPr>
          <w:rFonts w:ascii="Times New Roman" w:hAnsi="Times New Roman"/>
          <w:bCs/>
          <w:sz w:val="24"/>
          <w:szCs w:val="24"/>
        </w:rPr>
        <w:t xml:space="preserve">пряко </w:t>
      </w:r>
      <w:r w:rsidRPr="00F8728A">
        <w:rPr>
          <w:rFonts w:ascii="Times New Roman" w:hAnsi="Times New Roman"/>
          <w:bCs/>
          <w:sz w:val="24"/>
          <w:szCs w:val="24"/>
        </w:rPr>
        <w:t>влияят на</w:t>
      </w:r>
      <w:r w:rsidRPr="00B73D7E">
        <w:rPr>
          <w:rFonts w:ascii="Times New Roman" w:hAnsi="Times New Roman"/>
          <w:bCs/>
          <w:sz w:val="24"/>
          <w:szCs w:val="24"/>
        </w:rPr>
        <w:t xml:space="preserve"> загубите на вода, тъй като водният баланс се подобрява и компенсира загубите от увредената водоснабдителна инфраструктура. Регресионната зависимост обаче е ниска, което показва, че влиянието на </w:t>
      </w:r>
      <w:r w:rsidR="001A1A74" w:rsidRPr="00F8728A">
        <w:rPr>
          <w:rFonts w:ascii="Times New Roman" w:hAnsi="Times New Roman"/>
          <w:bCs/>
          <w:sz w:val="24"/>
          <w:szCs w:val="24"/>
        </w:rPr>
        <w:t>валежите не</w:t>
      </w:r>
      <w:r w:rsidRPr="00B73D7E">
        <w:rPr>
          <w:rFonts w:ascii="Times New Roman" w:hAnsi="Times New Roman"/>
          <w:bCs/>
          <w:sz w:val="24"/>
          <w:szCs w:val="24"/>
        </w:rPr>
        <w:t xml:space="preserve"> е силно</w:t>
      </w:r>
      <w:r w:rsidR="00D51B0B" w:rsidRPr="00B73D7E">
        <w:rPr>
          <w:rFonts w:ascii="Times New Roman" w:hAnsi="Times New Roman"/>
          <w:bCs/>
          <w:sz w:val="24"/>
          <w:szCs w:val="24"/>
        </w:rPr>
        <w:t>.</w:t>
      </w:r>
    </w:p>
    <w:p w:rsidR="00D51B0B" w:rsidRPr="00B73D7E" w:rsidRDefault="000A6970" w:rsidP="00D51B0B">
      <w:pPr>
        <w:spacing w:after="120" w:line="276" w:lineRule="auto"/>
        <w:jc w:val="both"/>
        <w:rPr>
          <w:rFonts w:ascii="Times New Roman" w:hAnsi="Times New Roman"/>
          <w:sz w:val="24"/>
          <w:szCs w:val="24"/>
        </w:rPr>
      </w:pPr>
      <w:r w:rsidRPr="00B73D7E">
        <w:rPr>
          <w:rFonts w:ascii="Times New Roman" w:hAnsi="Times New Roman"/>
          <w:bCs/>
          <w:sz w:val="24"/>
          <w:szCs w:val="24"/>
        </w:rPr>
        <w:t>Корелацията между топлинната енергия и климатичните фактори е съществено отрицателна. Потреблението на топлинна енергия намалява поради повишаващите се температури. Увеличаването на температурата влияе върху системите за електро</w:t>
      </w:r>
      <w:r w:rsidRPr="00F8728A">
        <w:rPr>
          <w:rFonts w:ascii="Times New Roman" w:hAnsi="Times New Roman"/>
          <w:bCs/>
          <w:sz w:val="24"/>
          <w:szCs w:val="24"/>
        </w:rPr>
        <w:t xml:space="preserve">снабдяване и </w:t>
      </w:r>
      <w:r w:rsidRPr="00B73D7E">
        <w:rPr>
          <w:rFonts w:ascii="Times New Roman" w:hAnsi="Times New Roman"/>
          <w:bCs/>
          <w:sz w:val="24"/>
          <w:szCs w:val="24"/>
        </w:rPr>
        <w:t>за отопление и охлаждане (температурата и валежите се екстраполират и се изчисляват годишно, а не ежемесечно). Пристрастието на населението да консумира енергия за охлаждане не е било взето предвид. В това отношение изчислението отчита сегашните зависимости, а не вероятностите за бъдеща промяна в предпочитанията на населението</w:t>
      </w:r>
      <w:r w:rsidR="00D51B0B" w:rsidRPr="00B73D7E">
        <w:rPr>
          <w:rFonts w:ascii="Times New Roman" w:hAnsi="Times New Roman"/>
          <w:sz w:val="24"/>
          <w:szCs w:val="24"/>
        </w:rPr>
        <w:t>.</w:t>
      </w:r>
    </w:p>
    <w:p w:rsidR="00D51B0B" w:rsidRPr="00B73D7E" w:rsidRDefault="000A6970" w:rsidP="00D51B0B">
      <w:pPr>
        <w:spacing w:after="120" w:line="276" w:lineRule="auto"/>
        <w:jc w:val="both"/>
        <w:rPr>
          <w:rFonts w:ascii="Times New Roman" w:hAnsi="Times New Roman"/>
          <w:sz w:val="24"/>
          <w:szCs w:val="24"/>
        </w:rPr>
      </w:pPr>
      <w:bookmarkStart w:id="793" w:name="_Hlk517274535"/>
      <w:r w:rsidRPr="00B73D7E">
        <w:rPr>
          <w:rFonts w:ascii="Times New Roman" w:hAnsi="Times New Roman"/>
          <w:sz w:val="24"/>
          <w:szCs w:val="24"/>
        </w:rPr>
        <w:t>Кумулативни</w:t>
      </w:r>
      <w:r w:rsidRPr="00F8728A">
        <w:rPr>
          <w:rFonts w:ascii="Times New Roman" w:hAnsi="Times New Roman"/>
          <w:sz w:val="24"/>
          <w:szCs w:val="24"/>
        </w:rPr>
        <w:t>те секторни ефекти</w:t>
      </w:r>
      <w:r w:rsidRPr="00B73D7E">
        <w:rPr>
          <w:rFonts w:ascii="Times New Roman" w:hAnsi="Times New Roman"/>
          <w:sz w:val="24"/>
          <w:szCs w:val="24"/>
        </w:rPr>
        <w:t xml:space="preserve">, представени в </w:t>
      </w:r>
      <w:r w:rsidRPr="00B73D7E">
        <w:rPr>
          <w:rFonts w:ascii="Times New Roman" w:hAnsi="Times New Roman"/>
          <w:b/>
          <w:i/>
          <w:sz w:val="24"/>
          <w:szCs w:val="24"/>
        </w:rPr>
        <w:t>таблица 21</w:t>
      </w:r>
      <w:r w:rsidRPr="00B73D7E">
        <w:rPr>
          <w:rFonts w:ascii="Times New Roman" w:hAnsi="Times New Roman"/>
          <w:sz w:val="24"/>
          <w:szCs w:val="24"/>
        </w:rPr>
        <w:t xml:space="preserve">, илюстрират разликата между базовия сценарий (т.е. без прилагане на избрани </w:t>
      </w:r>
      <w:r w:rsidRPr="00F8728A">
        <w:rPr>
          <w:rFonts w:ascii="Times New Roman" w:hAnsi="Times New Roman"/>
          <w:sz w:val="24"/>
          <w:szCs w:val="24"/>
        </w:rPr>
        <w:t xml:space="preserve">варианти </w:t>
      </w:r>
      <w:r w:rsidRPr="00B73D7E">
        <w:rPr>
          <w:rFonts w:ascii="Times New Roman" w:hAnsi="Times New Roman"/>
          <w:sz w:val="24"/>
          <w:szCs w:val="24"/>
        </w:rPr>
        <w:t xml:space="preserve">за адаптиране) и сценарии за нарастване на температурите </w:t>
      </w:r>
      <w:r w:rsidRPr="00F8728A">
        <w:rPr>
          <w:rFonts w:ascii="Times New Roman" w:hAnsi="Times New Roman"/>
          <w:sz w:val="24"/>
          <w:szCs w:val="24"/>
        </w:rPr>
        <w:t>с</w:t>
      </w:r>
      <w:r w:rsidRPr="00B73D7E">
        <w:rPr>
          <w:rFonts w:ascii="Times New Roman" w:hAnsi="Times New Roman"/>
          <w:sz w:val="24"/>
          <w:szCs w:val="24"/>
        </w:rPr>
        <w:t xml:space="preserve"> +2°C и +4°C до 2050 г.</w:t>
      </w:r>
      <w:r w:rsidR="00D51B0B" w:rsidRPr="00B73D7E">
        <w:rPr>
          <w:rFonts w:ascii="Times New Roman" w:hAnsi="Times New Roman"/>
          <w:sz w:val="24"/>
          <w:szCs w:val="24"/>
        </w:rPr>
        <w:t xml:space="preserve"> </w:t>
      </w:r>
    </w:p>
    <w:p w:rsidR="00D51B0B" w:rsidRPr="008E7DAC" w:rsidRDefault="00163E93" w:rsidP="00B73D7E">
      <w:pPr>
        <w:pStyle w:val="FiguresTablesCaption"/>
      </w:pPr>
      <w:bookmarkStart w:id="794" w:name="_Toc517709522"/>
      <w:bookmarkStart w:id="795" w:name="_Toc529286648"/>
      <w:bookmarkEnd w:id="793"/>
      <w:r w:rsidRPr="008E7DAC">
        <w:t>Таблица</w:t>
      </w:r>
      <w:r w:rsidR="00D51B0B" w:rsidRPr="008E7DAC">
        <w:t xml:space="preserve"> </w:t>
      </w:r>
      <w:r w:rsidR="00D51B0B" w:rsidRPr="008E7DAC">
        <w:fldChar w:fldCharType="begin"/>
      </w:r>
      <w:r w:rsidR="00D51B0B" w:rsidRPr="008E7DAC">
        <w:instrText xml:space="preserve"> SEQ Table \* ARABIC </w:instrText>
      </w:r>
      <w:r w:rsidR="00D51B0B" w:rsidRPr="008E7DAC">
        <w:fldChar w:fldCharType="separate"/>
      </w:r>
      <w:r w:rsidR="00145598" w:rsidRPr="00B73D7E">
        <w:t>21</w:t>
      </w:r>
      <w:r w:rsidR="00D51B0B" w:rsidRPr="008E7DAC">
        <w:fldChar w:fldCharType="end"/>
      </w:r>
      <w:r w:rsidR="00D51B0B" w:rsidRPr="008E7DAC">
        <w:t xml:space="preserve">. </w:t>
      </w:r>
      <w:r w:rsidRPr="008E7DAC">
        <w:t>Очаквани кумулативни секторни ефекти от изменението на климата въэрху  сектор градска следа до 2050 г. без мерки за адаптиране (базов сценарий</w:t>
      </w:r>
      <w:r w:rsidR="00D51B0B" w:rsidRPr="008E7DAC">
        <w:t>)</w:t>
      </w:r>
      <w:bookmarkEnd w:id="794"/>
      <w:bookmarkEnd w:id="795"/>
    </w:p>
    <w:tbl>
      <w:tblPr>
        <w:tblW w:w="8823" w:type="dxa"/>
        <w:tblInd w:w="103"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5262"/>
        <w:gridCol w:w="1135"/>
        <w:gridCol w:w="1135"/>
        <w:gridCol w:w="1291"/>
      </w:tblGrid>
      <w:tr w:rsidR="00D51B0B" w:rsidRPr="00F8728A" w:rsidTr="00B73D7E">
        <w:trPr>
          <w:trHeight w:val="510"/>
        </w:trPr>
        <w:tc>
          <w:tcPr>
            <w:tcW w:w="5262" w:type="dxa"/>
            <w:shd w:val="clear" w:color="auto" w:fill="365F91"/>
            <w:vAlign w:val="center"/>
            <w:hideMark/>
          </w:tcPr>
          <w:p w:rsidR="00D51B0B" w:rsidRPr="00B73D7E" w:rsidRDefault="00163E93" w:rsidP="00163E93">
            <w:pPr>
              <w:spacing w:before="40" w:after="40"/>
              <w:jc w:val="center"/>
              <w:rPr>
                <w:rFonts w:ascii="Calibri" w:hAnsi="Calibri" w:cs="Calibri"/>
                <w:b/>
                <w:bCs/>
                <w:color w:val="FFFFFF" w:themeColor="background1"/>
                <w:sz w:val="22"/>
                <w:lang w:eastAsia="en-GB"/>
              </w:rPr>
            </w:pPr>
            <w:r w:rsidRPr="00F8728A">
              <w:rPr>
                <w:rFonts w:ascii="Calibri" w:hAnsi="Calibri" w:cs="Calibri"/>
                <w:b/>
                <w:bCs/>
                <w:color w:val="FFFFFF" w:themeColor="background1"/>
                <w:sz w:val="22"/>
                <w:lang w:eastAsia="en-GB"/>
              </w:rPr>
              <w:t>Показатели за ефективност</w:t>
            </w:r>
          </w:p>
        </w:tc>
        <w:tc>
          <w:tcPr>
            <w:tcW w:w="1135" w:type="dxa"/>
            <w:shd w:val="clear" w:color="auto" w:fill="365F91"/>
            <w:vAlign w:val="center"/>
            <w:hideMark/>
          </w:tcPr>
          <w:p w:rsidR="00D51B0B" w:rsidRPr="00B73D7E" w:rsidRDefault="00D51B0B" w:rsidP="00C93A11">
            <w:pPr>
              <w:spacing w:before="40" w:after="40"/>
              <w:jc w:val="center"/>
              <w:rPr>
                <w:rFonts w:ascii="Calibri" w:hAnsi="Calibri" w:cs="Calibri"/>
                <w:b/>
                <w:bCs/>
                <w:color w:val="FFFFFF" w:themeColor="background1"/>
                <w:sz w:val="22"/>
                <w:lang w:eastAsia="en-GB"/>
              </w:rPr>
            </w:pPr>
            <w:r w:rsidRPr="00B73D7E">
              <w:rPr>
                <w:rFonts w:ascii="Calibri" w:hAnsi="Calibri" w:cs="Calibri"/>
                <w:b/>
                <w:bCs/>
                <w:color w:val="FFFFFF" w:themeColor="background1"/>
                <w:sz w:val="22"/>
                <w:lang w:eastAsia="en-GB"/>
              </w:rPr>
              <w:t>2</w:t>
            </w:r>
            <w:r w:rsidRPr="00B73D7E">
              <w:rPr>
                <w:rFonts w:ascii="Calibri" w:hAnsi="Calibri" w:cs="Calibri"/>
                <w:b/>
                <w:bCs/>
                <w:color w:val="FFFFFF" w:themeColor="background1"/>
                <w:sz w:val="22"/>
                <w:vertAlign w:val="superscript"/>
                <w:lang w:eastAsia="en-GB"/>
              </w:rPr>
              <w:t>o</w:t>
            </w:r>
            <w:r w:rsidRPr="00B73D7E">
              <w:rPr>
                <w:rFonts w:ascii="Calibri" w:hAnsi="Calibri" w:cs="Calibri"/>
                <w:b/>
                <w:bCs/>
                <w:color w:val="FFFFFF" w:themeColor="background1"/>
                <w:sz w:val="22"/>
                <w:lang w:eastAsia="en-GB"/>
              </w:rPr>
              <w:t xml:space="preserve">C </w:t>
            </w:r>
            <w:r w:rsidR="00163E93" w:rsidRPr="00F8728A">
              <w:rPr>
                <w:rFonts w:ascii="Calibri" w:hAnsi="Calibri" w:cs="Calibri"/>
                <w:b/>
                <w:bCs/>
                <w:color w:val="FFFFFF" w:themeColor="background1"/>
                <w:sz w:val="22"/>
                <w:lang w:eastAsia="en-GB"/>
              </w:rPr>
              <w:t>сценарий</w:t>
            </w:r>
          </w:p>
          <w:p w:rsidR="00D51B0B" w:rsidRPr="00B73D7E" w:rsidRDefault="00D51B0B" w:rsidP="001B2C18">
            <w:pPr>
              <w:spacing w:before="40" w:after="40"/>
              <w:jc w:val="center"/>
              <w:rPr>
                <w:rFonts w:ascii="Calibri" w:hAnsi="Calibri" w:cs="Calibri"/>
                <w:b/>
                <w:bCs/>
                <w:color w:val="FFFFFF" w:themeColor="background1"/>
                <w:sz w:val="22"/>
                <w:lang w:eastAsia="en-GB"/>
              </w:rPr>
            </w:pPr>
            <w:r w:rsidRPr="00B73D7E">
              <w:rPr>
                <w:rFonts w:ascii="Calibri" w:hAnsi="Calibri" w:cs="Calibri"/>
                <w:b/>
                <w:bCs/>
                <w:color w:val="FFFFFF" w:themeColor="background1"/>
                <w:sz w:val="22"/>
                <w:lang w:eastAsia="en-GB"/>
              </w:rPr>
              <w:t>(</w:t>
            </w:r>
            <w:r w:rsidR="001B2C18" w:rsidRPr="00F8728A">
              <w:rPr>
                <w:rFonts w:ascii="Calibri" w:hAnsi="Calibri" w:cs="Calibri"/>
                <w:b/>
                <w:bCs/>
                <w:color w:val="FFFFFF" w:themeColor="background1"/>
                <w:sz w:val="22"/>
                <w:lang w:eastAsia="en-GB"/>
              </w:rPr>
              <w:t>%</w:t>
            </w:r>
            <w:r w:rsidRPr="00B73D7E">
              <w:rPr>
                <w:rFonts w:ascii="Calibri" w:hAnsi="Calibri" w:cs="Calibri"/>
                <w:b/>
                <w:bCs/>
                <w:color w:val="FFFFFF" w:themeColor="background1"/>
                <w:sz w:val="22"/>
                <w:lang w:eastAsia="en-GB"/>
              </w:rPr>
              <w:t>)</w:t>
            </w:r>
          </w:p>
        </w:tc>
        <w:tc>
          <w:tcPr>
            <w:tcW w:w="1135" w:type="dxa"/>
            <w:shd w:val="clear" w:color="auto" w:fill="365F91"/>
            <w:vAlign w:val="center"/>
            <w:hideMark/>
          </w:tcPr>
          <w:p w:rsidR="00D51B0B" w:rsidRPr="00B73D7E" w:rsidRDefault="00D51B0B" w:rsidP="00C93A11">
            <w:pPr>
              <w:spacing w:before="40" w:after="40"/>
              <w:jc w:val="center"/>
              <w:rPr>
                <w:rFonts w:ascii="Calibri" w:hAnsi="Calibri" w:cs="Calibri"/>
                <w:b/>
                <w:bCs/>
                <w:color w:val="FFFFFF" w:themeColor="background1"/>
                <w:sz w:val="22"/>
                <w:lang w:eastAsia="en-GB"/>
              </w:rPr>
            </w:pPr>
            <w:r w:rsidRPr="00B73D7E">
              <w:rPr>
                <w:rFonts w:ascii="Calibri" w:hAnsi="Calibri" w:cs="Calibri"/>
                <w:b/>
                <w:bCs/>
                <w:color w:val="FFFFFF" w:themeColor="background1"/>
                <w:sz w:val="22"/>
                <w:lang w:eastAsia="en-GB"/>
              </w:rPr>
              <w:t>4</w:t>
            </w:r>
            <w:r w:rsidRPr="00B73D7E">
              <w:rPr>
                <w:rFonts w:ascii="Calibri" w:hAnsi="Calibri" w:cs="Calibri"/>
                <w:b/>
                <w:bCs/>
                <w:color w:val="FFFFFF" w:themeColor="background1"/>
                <w:sz w:val="22"/>
                <w:vertAlign w:val="superscript"/>
                <w:lang w:eastAsia="en-GB"/>
              </w:rPr>
              <w:t>o</w:t>
            </w:r>
            <w:r w:rsidRPr="00B73D7E">
              <w:rPr>
                <w:rFonts w:ascii="Calibri" w:hAnsi="Calibri" w:cs="Calibri"/>
                <w:b/>
                <w:bCs/>
                <w:color w:val="FFFFFF" w:themeColor="background1"/>
                <w:sz w:val="22"/>
                <w:lang w:eastAsia="en-GB"/>
              </w:rPr>
              <w:t xml:space="preserve">C </w:t>
            </w:r>
            <w:r w:rsidR="001B2C18" w:rsidRPr="00F8728A">
              <w:rPr>
                <w:rFonts w:ascii="Calibri" w:hAnsi="Calibri" w:cs="Calibri"/>
                <w:b/>
                <w:bCs/>
                <w:color w:val="FFFFFF" w:themeColor="background1"/>
                <w:sz w:val="22"/>
                <w:lang w:eastAsia="en-GB"/>
              </w:rPr>
              <w:t>сценарий</w:t>
            </w:r>
          </w:p>
          <w:p w:rsidR="00D51B0B" w:rsidRPr="00B73D7E" w:rsidRDefault="001B2C18" w:rsidP="001B2C18">
            <w:pPr>
              <w:spacing w:before="40" w:after="40"/>
              <w:jc w:val="center"/>
              <w:rPr>
                <w:rFonts w:ascii="Calibri" w:hAnsi="Calibri" w:cs="Calibri"/>
                <w:b/>
                <w:bCs/>
                <w:color w:val="FFFFFF" w:themeColor="background1"/>
                <w:sz w:val="22"/>
                <w:lang w:eastAsia="en-GB"/>
              </w:rPr>
            </w:pPr>
            <w:r w:rsidRPr="00B73D7E">
              <w:rPr>
                <w:rFonts w:ascii="Calibri" w:hAnsi="Calibri" w:cs="Calibri"/>
                <w:b/>
                <w:bCs/>
                <w:color w:val="FFFFFF" w:themeColor="background1"/>
                <w:sz w:val="22"/>
                <w:lang w:eastAsia="en-GB"/>
              </w:rPr>
              <w:t>(</w:t>
            </w:r>
            <w:r w:rsidRPr="00F8728A">
              <w:rPr>
                <w:rFonts w:ascii="Calibri" w:hAnsi="Calibri" w:cs="Calibri"/>
                <w:b/>
                <w:bCs/>
                <w:color w:val="FFFFFF" w:themeColor="background1"/>
                <w:sz w:val="22"/>
                <w:lang w:eastAsia="en-GB"/>
              </w:rPr>
              <w:t>%</w:t>
            </w:r>
            <w:r w:rsidRPr="00B73D7E">
              <w:rPr>
                <w:rFonts w:ascii="Calibri" w:hAnsi="Calibri" w:cs="Calibri"/>
                <w:b/>
                <w:bCs/>
                <w:color w:val="FFFFFF" w:themeColor="background1"/>
                <w:sz w:val="22"/>
                <w:lang w:eastAsia="en-GB"/>
              </w:rPr>
              <w:t>)</w:t>
            </w:r>
          </w:p>
        </w:tc>
        <w:tc>
          <w:tcPr>
            <w:tcW w:w="1291" w:type="dxa"/>
            <w:shd w:val="clear" w:color="auto" w:fill="365F91"/>
            <w:vAlign w:val="center"/>
            <w:hideMark/>
          </w:tcPr>
          <w:p w:rsidR="00D51B0B" w:rsidRPr="00B73D7E" w:rsidRDefault="001B2C18" w:rsidP="001B2C18">
            <w:pPr>
              <w:spacing w:before="40" w:after="40"/>
              <w:jc w:val="center"/>
              <w:rPr>
                <w:rFonts w:ascii="Calibri" w:hAnsi="Calibri" w:cs="Calibri"/>
                <w:b/>
                <w:bCs/>
                <w:color w:val="FFFFFF" w:themeColor="background1"/>
                <w:sz w:val="22"/>
                <w:lang w:eastAsia="en-GB"/>
              </w:rPr>
            </w:pPr>
            <w:r w:rsidRPr="00F8728A">
              <w:rPr>
                <w:rFonts w:ascii="Calibri" w:hAnsi="Calibri" w:cs="Calibri"/>
                <w:b/>
                <w:bCs/>
                <w:color w:val="FFFFFF" w:themeColor="background1"/>
                <w:sz w:val="22"/>
                <w:lang w:eastAsia="en-GB"/>
              </w:rPr>
              <w:t>Валежи</w:t>
            </w:r>
            <w:r w:rsidR="00D51B0B" w:rsidRPr="00B73D7E">
              <w:rPr>
                <w:rFonts w:ascii="Calibri" w:hAnsi="Calibri" w:cs="Calibri"/>
                <w:b/>
                <w:bCs/>
                <w:color w:val="FFFFFF" w:themeColor="background1"/>
                <w:sz w:val="22"/>
                <w:lang w:eastAsia="en-GB"/>
              </w:rPr>
              <w:t xml:space="preserve"> </w:t>
            </w:r>
            <w:r w:rsidRPr="00B73D7E">
              <w:rPr>
                <w:rFonts w:ascii="Calibri" w:hAnsi="Calibri" w:cs="Calibri"/>
                <w:b/>
                <w:bCs/>
                <w:color w:val="FFFFFF" w:themeColor="background1"/>
                <w:sz w:val="22"/>
                <w:lang w:eastAsia="en-GB"/>
              </w:rPr>
              <w:t>(</w:t>
            </w:r>
            <w:r w:rsidRPr="00F8728A">
              <w:rPr>
                <w:rFonts w:ascii="Calibri" w:hAnsi="Calibri" w:cs="Calibri"/>
                <w:b/>
                <w:bCs/>
                <w:color w:val="FFFFFF" w:themeColor="background1"/>
                <w:sz w:val="22"/>
                <w:lang w:eastAsia="en-GB"/>
              </w:rPr>
              <w:t>%</w:t>
            </w:r>
            <w:r w:rsidRPr="00B73D7E">
              <w:rPr>
                <w:rFonts w:ascii="Calibri" w:hAnsi="Calibri" w:cs="Calibri"/>
                <w:b/>
                <w:bCs/>
                <w:color w:val="FFFFFF" w:themeColor="background1"/>
                <w:sz w:val="22"/>
                <w:lang w:eastAsia="en-GB"/>
              </w:rPr>
              <w:t>)</w:t>
            </w:r>
          </w:p>
        </w:tc>
      </w:tr>
      <w:tr w:rsidR="00D51B0B" w:rsidRPr="00F8728A" w:rsidTr="00B73D7E">
        <w:trPr>
          <w:trHeight w:val="510"/>
        </w:trPr>
        <w:tc>
          <w:tcPr>
            <w:tcW w:w="5262" w:type="dxa"/>
            <w:shd w:val="clear" w:color="auto" w:fill="B8CCE4"/>
            <w:vAlign w:val="center"/>
            <w:hideMark/>
          </w:tcPr>
          <w:p w:rsidR="00D51B0B" w:rsidRPr="00F8728A" w:rsidRDefault="001B2C18" w:rsidP="001B2C18">
            <w:pPr>
              <w:spacing w:before="40" w:after="40" w:line="264" w:lineRule="auto"/>
              <w:rPr>
                <w:rFonts w:ascii="Calibri" w:hAnsi="Calibri" w:cs="Calibri"/>
                <w:b/>
                <w:sz w:val="22"/>
                <w:lang w:eastAsia="en-GB"/>
              </w:rPr>
            </w:pPr>
            <w:r w:rsidRPr="00F8728A">
              <w:rPr>
                <w:rFonts w:ascii="Calibri" w:hAnsi="Calibri" w:cs="Calibri"/>
                <w:b/>
                <w:sz w:val="22"/>
                <w:lang w:eastAsia="en-GB"/>
              </w:rPr>
              <w:t>Потребление на електроенергия в домакинствата</w:t>
            </w:r>
            <w:r w:rsidR="00D51B0B" w:rsidRPr="00F8728A">
              <w:rPr>
                <w:rFonts w:ascii="Calibri" w:hAnsi="Calibri" w:cs="Calibri"/>
                <w:b/>
                <w:sz w:val="22"/>
                <w:lang w:eastAsia="en-GB"/>
              </w:rPr>
              <w:t xml:space="preserve"> (</w:t>
            </w:r>
            <w:r w:rsidRPr="00F8728A">
              <w:rPr>
                <w:rFonts w:ascii="Calibri" w:hAnsi="Calibri" w:cs="Calibri"/>
                <w:b/>
                <w:sz w:val="22"/>
                <w:lang w:eastAsia="en-GB"/>
              </w:rPr>
              <w:t xml:space="preserve">милиони </w:t>
            </w:r>
            <w:r w:rsidR="00D51B0B" w:rsidRPr="00B73D7E">
              <w:rPr>
                <w:rFonts w:ascii="Calibri" w:hAnsi="Calibri" w:cs="Calibri"/>
                <w:b/>
                <w:sz w:val="22"/>
                <w:lang w:eastAsia="en-GB"/>
              </w:rPr>
              <w:t>kWt</w:t>
            </w:r>
            <w:r w:rsidR="00D51B0B" w:rsidRPr="00F8728A">
              <w:rPr>
                <w:rFonts w:ascii="Calibri" w:hAnsi="Calibri" w:cs="Calibri"/>
                <w:b/>
                <w:sz w:val="22"/>
                <w:lang w:eastAsia="en-GB"/>
              </w:rPr>
              <w:t>/</w:t>
            </w:r>
            <w:r w:rsidRPr="00F8728A">
              <w:rPr>
                <w:rFonts w:ascii="Calibri" w:hAnsi="Calibri" w:cs="Calibri"/>
                <w:b/>
                <w:sz w:val="22"/>
                <w:lang w:eastAsia="en-GB"/>
              </w:rPr>
              <w:t>часове</w:t>
            </w:r>
            <w:r w:rsidR="00D51B0B" w:rsidRPr="00F8728A">
              <w:rPr>
                <w:rFonts w:ascii="Calibri" w:hAnsi="Calibri" w:cs="Calibri"/>
                <w:b/>
                <w:sz w:val="22"/>
                <w:lang w:eastAsia="en-GB"/>
              </w:rPr>
              <w:t xml:space="preserve">) </w:t>
            </w:r>
          </w:p>
        </w:tc>
        <w:tc>
          <w:tcPr>
            <w:tcW w:w="1135" w:type="dxa"/>
            <w:shd w:val="clear" w:color="auto" w:fill="auto"/>
            <w:noWrap/>
            <w:vAlign w:val="center"/>
            <w:hideMark/>
          </w:tcPr>
          <w:p w:rsidR="00D51B0B" w:rsidRPr="00B73D7E" w:rsidRDefault="00D51B0B" w:rsidP="00C93A11">
            <w:pPr>
              <w:spacing w:before="40" w:after="40" w:line="264" w:lineRule="auto"/>
              <w:jc w:val="right"/>
              <w:rPr>
                <w:rFonts w:ascii="Calibri" w:hAnsi="Calibri" w:cs="Calibri"/>
                <w:color w:val="000000"/>
                <w:sz w:val="22"/>
                <w:lang w:eastAsia="en-GB"/>
              </w:rPr>
            </w:pPr>
            <w:r w:rsidRPr="00B73D7E">
              <w:rPr>
                <w:rFonts w:ascii="Calibri" w:hAnsi="Calibri" w:cs="Calibri"/>
                <w:color w:val="000000"/>
                <w:sz w:val="22"/>
                <w:lang w:eastAsia="en-GB"/>
              </w:rPr>
              <w:t>0</w:t>
            </w:r>
            <w:r w:rsidR="00506D91">
              <w:rPr>
                <w:rFonts w:ascii="Calibri" w:hAnsi="Calibri" w:cs="Calibri"/>
                <w:color w:val="000000"/>
                <w:sz w:val="22"/>
                <w:lang w:eastAsia="en-GB"/>
              </w:rPr>
              <w:t>,</w:t>
            </w:r>
            <w:r w:rsidRPr="00B73D7E">
              <w:rPr>
                <w:rFonts w:ascii="Calibri" w:hAnsi="Calibri" w:cs="Calibri"/>
                <w:color w:val="000000"/>
                <w:sz w:val="22"/>
                <w:lang w:eastAsia="en-GB"/>
              </w:rPr>
              <w:t>26</w:t>
            </w:r>
          </w:p>
        </w:tc>
        <w:tc>
          <w:tcPr>
            <w:tcW w:w="1135" w:type="dxa"/>
            <w:shd w:val="clear" w:color="auto" w:fill="auto"/>
            <w:noWrap/>
            <w:vAlign w:val="center"/>
            <w:hideMark/>
          </w:tcPr>
          <w:p w:rsidR="00D51B0B" w:rsidRPr="00B73D7E" w:rsidRDefault="00D51B0B" w:rsidP="00C93A11">
            <w:pPr>
              <w:spacing w:before="40" w:after="40" w:line="264" w:lineRule="auto"/>
              <w:jc w:val="right"/>
              <w:rPr>
                <w:rFonts w:ascii="Calibri" w:hAnsi="Calibri" w:cs="Calibri"/>
                <w:color w:val="000000"/>
                <w:sz w:val="22"/>
                <w:lang w:eastAsia="en-GB"/>
              </w:rPr>
            </w:pPr>
            <w:r w:rsidRPr="00B73D7E">
              <w:rPr>
                <w:rFonts w:ascii="Calibri" w:hAnsi="Calibri" w:cs="Calibri"/>
                <w:color w:val="000000"/>
                <w:sz w:val="22"/>
                <w:lang w:eastAsia="en-GB"/>
              </w:rPr>
              <w:t>0</w:t>
            </w:r>
            <w:r w:rsidR="00506D91">
              <w:rPr>
                <w:rFonts w:ascii="Calibri" w:hAnsi="Calibri" w:cs="Calibri"/>
                <w:color w:val="000000"/>
                <w:sz w:val="22"/>
                <w:lang w:eastAsia="en-GB"/>
              </w:rPr>
              <w:t>,</w:t>
            </w:r>
            <w:r w:rsidRPr="00B73D7E">
              <w:rPr>
                <w:rFonts w:ascii="Calibri" w:hAnsi="Calibri" w:cs="Calibri"/>
                <w:color w:val="000000"/>
                <w:sz w:val="22"/>
                <w:lang w:eastAsia="en-GB"/>
              </w:rPr>
              <w:t>51</w:t>
            </w:r>
          </w:p>
        </w:tc>
        <w:tc>
          <w:tcPr>
            <w:tcW w:w="1291" w:type="dxa"/>
            <w:shd w:val="clear" w:color="auto" w:fill="auto"/>
            <w:noWrap/>
            <w:vAlign w:val="center"/>
            <w:hideMark/>
          </w:tcPr>
          <w:p w:rsidR="00D51B0B" w:rsidRPr="00B73D7E" w:rsidRDefault="00D51B0B" w:rsidP="00C93A11">
            <w:pPr>
              <w:spacing w:before="40" w:after="40" w:line="264" w:lineRule="auto"/>
              <w:jc w:val="right"/>
              <w:rPr>
                <w:rFonts w:ascii="Calibri" w:hAnsi="Calibri" w:cs="Calibri"/>
                <w:color w:val="000000"/>
                <w:sz w:val="22"/>
                <w:lang w:eastAsia="en-GB"/>
              </w:rPr>
            </w:pPr>
            <w:r w:rsidRPr="00B73D7E">
              <w:rPr>
                <w:rFonts w:ascii="Calibri" w:hAnsi="Calibri" w:cs="Calibri"/>
                <w:color w:val="000000"/>
                <w:sz w:val="22"/>
                <w:lang w:eastAsia="en-GB"/>
              </w:rPr>
              <w:t>0</w:t>
            </w:r>
            <w:r w:rsidR="00506D91">
              <w:rPr>
                <w:rFonts w:ascii="Calibri" w:hAnsi="Calibri" w:cs="Calibri"/>
                <w:color w:val="000000"/>
                <w:sz w:val="22"/>
                <w:lang w:eastAsia="en-GB"/>
              </w:rPr>
              <w:t>,</w:t>
            </w:r>
            <w:r w:rsidRPr="00B73D7E">
              <w:rPr>
                <w:rFonts w:ascii="Calibri" w:hAnsi="Calibri" w:cs="Calibri"/>
                <w:color w:val="000000"/>
                <w:sz w:val="22"/>
                <w:lang w:eastAsia="en-GB"/>
              </w:rPr>
              <w:t>54</w:t>
            </w:r>
          </w:p>
        </w:tc>
      </w:tr>
      <w:tr w:rsidR="00D51B0B" w:rsidRPr="00F8728A" w:rsidTr="00B73D7E">
        <w:trPr>
          <w:trHeight w:val="510"/>
        </w:trPr>
        <w:tc>
          <w:tcPr>
            <w:tcW w:w="5262" w:type="dxa"/>
            <w:shd w:val="clear" w:color="auto" w:fill="B8CCE4"/>
            <w:vAlign w:val="center"/>
            <w:hideMark/>
          </w:tcPr>
          <w:p w:rsidR="00D51B0B" w:rsidRPr="00F8728A" w:rsidRDefault="001B2C18" w:rsidP="001B2C18">
            <w:pPr>
              <w:spacing w:before="40" w:after="40" w:line="264" w:lineRule="auto"/>
              <w:rPr>
                <w:rFonts w:ascii="Calibri" w:hAnsi="Calibri" w:cs="Calibri"/>
                <w:b/>
                <w:sz w:val="22"/>
                <w:lang w:eastAsia="en-GB"/>
              </w:rPr>
            </w:pPr>
            <w:r w:rsidRPr="00F8728A">
              <w:rPr>
                <w:rFonts w:ascii="Calibri" w:hAnsi="Calibri" w:cs="Calibri"/>
                <w:b/>
                <w:sz w:val="22"/>
                <w:lang w:eastAsia="en-GB"/>
              </w:rPr>
              <w:t xml:space="preserve">Потребление на топлинна енергия в домакинствата (милиони </w:t>
            </w:r>
            <w:r w:rsidRPr="00B73D7E">
              <w:rPr>
                <w:rFonts w:ascii="Calibri" w:hAnsi="Calibri" w:cs="Calibri"/>
                <w:b/>
                <w:sz w:val="22"/>
                <w:lang w:eastAsia="en-GB"/>
              </w:rPr>
              <w:t>kWt</w:t>
            </w:r>
            <w:r w:rsidRPr="00F8728A">
              <w:rPr>
                <w:rFonts w:ascii="Calibri" w:hAnsi="Calibri" w:cs="Calibri"/>
                <w:b/>
                <w:sz w:val="22"/>
                <w:lang w:eastAsia="en-GB"/>
              </w:rPr>
              <w:t xml:space="preserve">/часове) </w:t>
            </w:r>
          </w:p>
        </w:tc>
        <w:tc>
          <w:tcPr>
            <w:tcW w:w="1135" w:type="dxa"/>
            <w:shd w:val="clear" w:color="auto" w:fill="auto"/>
            <w:noWrap/>
            <w:vAlign w:val="center"/>
            <w:hideMark/>
          </w:tcPr>
          <w:p w:rsidR="00D51B0B" w:rsidRPr="00B73D7E" w:rsidRDefault="00D51B0B" w:rsidP="00C93A11">
            <w:pPr>
              <w:spacing w:before="40" w:after="40" w:line="264" w:lineRule="auto"/>
              <w:jc w:val="right"/>
              <w:rPr>
                <w:rFonts w:ascii="Calibri" w:hAnsi="Calibri" w:cs="Calibri"/>
                <w:color w:val="000000"/>
                <w:sz w:val="22"/>
                <w:lang w:eastAsia="en-GB"/>
              </w:rPr>
            </w:pPr>
            <w:r w:rsidRPr="00B73D7E">
              <w:rPr>
                <w:rFonts w:ascii="Calibri" w:hAnsi="Calibri" w:cs="Calibri"/>
                <w:color w:val="000000"/>
                <w:sz w:val="22"/>
                <w:lang w:eastAsia="en-GB"/>
              </w:rPr>
              <w:t>1</w:t>
            </w:r>
            <w:r w:rsidR="00506D91">
              <w:rPr>
                <w:rFonts w:ascii="Calibri" w:hAnsi="Calibri" w:cs="Calibri"/>
                <w:color w:val="000000"/>
                <w:sz w:val="22"/>
                <w:lang w:eastAsia="en-GB"/>
              </w:rPr>
              <w:t>,</w:t>
            </w:r>
            <w:r w:rsidRPr="00B73D7E">
              <w:rPr>
                <w:rFonts w:ascii="Calibri" w:hAnsi="Calibri" w:cs="Calibri"/>
                <w:color w:val="000000"/>
                <w:sz w:val="22"/>
                <w:lang w:eastAsia="en-GB"/>
              </w:rPr>
              <w:t>57</w:t>
            </w:r>
          </w:p>
        </w:tc>
        <w:tc>
          <w:tcPr>
            <w:tcW w:w="1135" w:type="dxa"/>
            <w:shd w:val="clear" w:color="auto" w:fill="auto"/>
            <w:noWrap/>
            <w:vAlign w:val="center"/>
            <w:hideMark/>
          </w:tcPr>
          <w:p w:rsidR="00D51B0B" w:rsidRPr="00B73D7E" w:rsidRDefault="00D51B0B" w:rsidP="00C93A11">
            <w:pPr>
              <w:spacing w:before="40" w:after="40" w:line="264" w:lineRule="auto"/>
              <w:jc w:val="right"/>
              <w:rPr>
                <w:rFonts w:ascii="Calibri" w:hAnsi="Calibri" w:cs="Calibri"/>
                <w:color w:val="000000"/>
                <w:sz w:val="22"/>
                <w:lang w:eastAsia="en-GB"/>
              </w:rPr>
            </w:pPr>
            <w:r w:rsidRPr="00B73D7E">
              <w:rPr>
                <w:rFonts w:ascii="Calibri" w:hAnsi="Calibri" w:cs="Calibri"/>
                <w:color w:val="000000"/>
                <w:sz w:val="22"/>
                <w:lang w:eastAsia="en-GB"/>
              </w:rPr>
              <w:t>3</w:t>
            </w:r>
            <w:r w:rsidR="00506D91">
              <w:rPr>
                <w:rFonts w:ascii="Calibri" w:hAnsi="Calibri" w:cs="Calibri"/>
                <w:color w:val="000000"/>
                <w:sz w:val="22"/>
                <w:lang w:eastAsia="en-GB"/>
              </w:rPr>
              <w:t>,</w:t>
            </w:r>
            <w:r w:rsidRPr="00B73D7E">
              <w:rPr>
                <w:rFonts w:ascii="Calibri" w:hAnsi="Calibri" w:cs="Calibri"/>
                <w:color w:val="000000"/>
                <w:sz w:val="22"/>
                <w:lang w:eastAsia="en-GB"/>
              </w:rPr>
              <w:t>14</w:t>
            </w:r>
          </w:p>
        </w:tc>
        <w:tc>
          <w:tcPr>
            <w:tcW w:w="1291" w:type="dxa"/>
            <w:shd w:val="clear" w:color="auto" w:fill="auto"/>
            <w:noWrap/>
            <w:vAlign w:val="center"/>
            <w:hideMark/>
          </w:tcPr>
          <w:p w:rsidR="00D51B0B" w:rsidRPr="00B73D7E" w:rsidRDefault="00D51B0B" w:rsidP="00C93A11">
            <w:pPr>
              <w:spacing w:before="40" w:after="40" w:line="264" w:lineRule="auto"/>
              <w:jc w:val="right"/>
              <w:rPr>
                <w:rFonts w:ascii="Calibri" w:hAnsi="Calibri" w:cs="Calibri"/>
                <w:color w:val="000000"/>
                <w:sz w:val="22"/>
                <w:lang w:eastAsia="en-GB"/>
              </w:rPr>
            </w:pPr>
            <w:r w:rsidRPr="00B73D7E">
              <w:rPr>
                <w:rFonts w:ascii="Calibri" w:hAnsi="Calibri" w:cs="Calibri"/>
                <w:color w:val="000000"/>
                <w:sz w:val="22"/>
                <w:lang w:eastAsia="en-GB"/>
              </w:rPr>
              <w:t>3</w:t>
            </w:r>
            <w:r w:rsidR="00506D91">
              <w:rPr>
                <w:rFonts w:ascii="Calibri" w:hAnsi="Calibri" w:cs="Calibri"/>
                <w:color w:val="000000"/>
                <w:sz w:val="22"/>
                <w:lang w:eastAsia="en-GB"/>
              </w:rPr>
              <w:t>,</w:t>
            </w:r>
            <w:r w:rsidRPr="00B73D7E">
              <w:rPr>
                <w:rFonts w:ascii="Calibri" w:hAnsi="Calibri" w:cs="Calibri"/>
                <w:color w:val="000000"/>
                <w:sz w:val="22"/>
                <w:lang w:eastAsia="en-GB"/>
              </w:rPr>
              <w:t>51</w:t>
            </w:r>
          </w:p>
        </w:tc>
      </w:tr>
      <w:tr w:rsidR="00D51B0B" w:rsidRPr="00F8728A" w:rsidTr="00B73D7E">
        <w:trPr>
          <w:trHeight w:val="510"/>
        </w:trPr>
        <w:tc>
          <w:tcPr>
            <w:tcW w:w="5262" w:type="dxa"/>
            <w:shd w:val="clear" w:color="auto" w:fill="B8CCE4"/>
            <w:vAlign w:val="center"/>
            <w:hideMark/>
          </w:tcPr>
          <w:p w:rsidR="00D51B0B" w:rsidRPr="00F8728A" w:rsidRDefault="001B2C18" w:rsidP="00C93A11">
            <w:pPr>
              <w:spacing w:before="40" w:after="40" w:line="264" w:lineRule="auto"/>
              <w:rPr>
                <w:rFonts w:ascii="Calibri" w:hAnsi="Calibri" w:cs="Calibri"/>
                <w:b/>
                <w:sz w:val="22"/>
                <w:lang w:eastAsia="en-GB"/>
              </w:rPr>
            </w:pPr>
            <w:r w:rsidRPr="00F8728A">
              <w:rPr>
                <w:rFonts w:ascii="Calibri" w:hAnsi="Calibri" w:cs="Calibri"/>
                <w:b/>
                <w:sz w:val="22"/>
                <w:lang w:eastAsia="en-GB"/>
              </w:rPr>
              <w:t xml:space="preserve">Общо потребление на  електро- и  топлинна енергия в домакинствата (милиони </w:t>
            </w:r>
            <w:r w:rsidRPr="00B73D7E">
              <w:rPr>
                <w:rFonts w:ascii="Calibri" w:hAnsi="Calibri" w:cs="Calibri"/>
                <w:b/>
                <w:sz w:val="22"/>
                <w:lang w:eastAsia="en-GB"/>
              </w:rPr>
              <w:t>kWt</w:t>
            </w:r>
            <w:r w:rsidRPr="00F8728A">
              <w:rPr>
                <w:rFonts w:ascii="Calibri" w:hAnsi="Calibri" w:cs="Calibri"/>
                <w:b/>
                <w:sz w:val="22"/>
                <w:lang w:eastAsia="en-GB"/>
              </w:rPr>
              <w:t>/часове)</w:t>
            </w:r>
          </w:p>
        </w:tc>
        <w:tc>
          <w:tcPr>
            <w:tcW w:w="1135" w:type="dxa"/>
            <w:shd w:val="clear" w:color="auto" w:fill="auto"/>
            <w:noWrap/>
            <w:vAlign w:val="center"/>
            <w:hideMark/>
          </w:tcPr>
          <w:p w:rsidR="00D51B0B" w:rsidRPr="00B73D7E" w:rsidRDefault="00D51B0B" w:rsidP="00C93A11">
            <w:pPr>
              <w:spacing w:before="40" w:after="40" w:line="264" w:lineRule="auto"/>
              <w:jc w:val="right"/>
              <w:rPr>
                <w:rFonts w:ascii="Calibri" w:hAnsi="Calibri" w:cs="Calibri"/>
                <w:color w:val="000000"/>
                <w:sz w:val="22"/>
                <w:lang w:eastAsia="en-GB"/>
              </w:rPr>
            </w:pPr>
            <w:r w:rsidRPr="00B73D7E">
              <w:rPr>
                <w:rFonts w:ascii="Calibri" w:hAnsi="Calibri" w:cs="Calibri"/>
                <w:color w:val="000000"/>
                <w:sz w:val="22"/>
                <w:lang w:eastAsia="en-GB"/>
              </w:rPr>
              <w:t>0</w:t>
            </w:r>
            <w:r w:rsidR="00506D91">
              <w:rPr>
                <w:rFonts w:ascii="Calibri" w:hAnsi="Calibri" w:cs="Calibri"/>
                <w:color w:val="000000"/>
                <w:sz w:val="22"/>
                <w:lang w:eastAsia="en-GB"/>
              </w:rPr>
              <w:t>,</w:t>
            </w:r>
            <w:r w:rsidRPr="00B73D7E">
              <w:rPr>
                <w:rFonts w:ascii="Calibri" w:hAnsi="Calibri" w:cs="Calibri"/>
                <w:color w:val="000000"/>
                <w:sz w:val="22"/>
                <w:lang w:eastAsia="en-GB"/>
              </w:rPr>
              <w:t>47</w:t>
            </w:r>
          </w:p>
        </w:tc>
        <w:tc>
          <w:tcPr>
            <w:tcW w:w="1135" w:type="dxa"/>
            <w:shd w:val="clear" w:color="auto" w:fill="auto"/>
            <w:noWrap/>
            <w:vAlign w:val="center"/>
            <w:hideMark/>
          </w:tcPr>
          <w:p w:rsidR="00D51B0B" w:rsidRPr="00B73D7E" w:rsidRDefault="00D51B0B" w:rsidP="00C93A11">
            <w:pPr>
              <w:spacing w:before="40" w:after="40" w:line="264" w:lineRule="auto"/>
              <w:jc w:val="right"/>
              <w:rPr>
                <w:rFonts w:ascii="Calibri" w:hAnsi="Calibri" w:cs="Calibri"/>
                <w:color w:val="000000"/>
                <w:sz w:val="22"/>
                <w:lang w:eastAsia="en-GB"/>
              </w:rPr>
            </w:pPr>
            <w:r w:rsidRPr="00B73D7E">
              <w:rPr>
                <w:rFonts w:ascii="Calibri" w:hAnsi="Calibri" w:cs="Calibri"/>
                <w:color w:val="000000"/>
                <w:sz w:val="22"/>
                <w:lang w:eastAsia="en-GB"/>
              </w:rPr>
              <w:t>0</w:t>
            </w:r>
            <w:r w:rsidR="00506D91">
              <w:rPr>
                <w:rFonts w:ascii="Calibri" w:hAnsi="Calibri" w:cs="Calibri"/>
                <w:color w:val="000000"/>
                <w:sz w:val="22"/>
                <w:lang w:eastAsia="en-GB"/>
              </w:rPr>
              <w:t>,</w:t>
            </w:r>
            <w:r w:rsidRPr="00B73D7E">
              <w:rPr>
                <w:rFonts w:ascii="Calibri" w:hAnsi="Calibri" w:cs="Calibri"/>
                <w:color w:val="000000"/>
                <w:sz w:val="22"/>
                <w:lang w:eastAsia="en-GB"/>
              </w:rPr>
              <w:t>94</w:t>
            </w:r>
          </w:p>
        </w:tc>
        <w:tc>
          <w:tcPr>
            <w:tcW w:w="1291" w:type="dxa"/>
            <w:shd w:val="clear" w:color="auto" w:fill="auto"/>
            <w:noWrap/>
            <w:vAlign w:val="center"/>
            <w:hideMark/>
          </w:tcPr>
          <w:p w:rsidR="00D51B0B" w:rsidRPr="00B73D7E" w:rsidRDefault="00D51B0B" w:rsidP="00C93A11">
            <w:pPr>
              <w:spacing w:before="40" w:after="40" w:line="264" w:lineRule="auto"/>
              <w:jc w:val="right"/>
              <w:rPr>
                <w:rFonts w:ascii="Calibri" w:hAnsi="Calibri" w:cs="Calibri"/>
                <w:color w:val="000000"/>
                <w:sz w:val="22"/>
                <w:lang w:eastAsia="en-GB"/>
              </w:rPr>
            </w:pPr>
            <w:r w:rsidRPr="00B73D7E">
              <w:rPr>
                <w:rFonts w:ascii="Calibri" w:hAnsi="Calibri" w:cs="Calibri"/>
                <w:color w:val="000000"/>
                <w:sz w:val="22"/>
                <w:lang w:eastAsia="en-GB"/>
              </w:rPr>
              <w:t>1</w:t>
            </w:r>
            <w:r w:rsidR="00506D91">
              <w:rPr>
                <w:rFonts w:ascii="Calibri" w:hAnsi="Calibri" w:cs="Calibri"/>
                <w:color w:val="000000"/>
                <w:sz w:val="22"/>
                <w:lang w:eastAsia="en-GB"/>
              </w:rPr>
              <w:t>,</w:t>
            </w:r>
            <w:r w:rsidRPr="00B73D7E">
              <w:rPr>
                <w:rFonts w:ascii="Calibri" w:hAnsi="Calibri" w:cs="Calibri"/>
                <w:color w:val="000000"/>
                <w:sz w:val="22"/>
                <w:lang w:eastAsia="en-GB"/>
              </w:rPr>
              <w:t>02</w:t>
            </w:r>
          </w:p>
        </w:tc>
      </w:tr>
      <w:tr w:rsidR="00D51B0B" w:rsidRPr="00F8728A" w:rsidTr="00B73D7E">
        <w:trPr>
          <w:trHeight w:val="300"/>
        </w:trPr>
        <w:tc>
          <w:tcPr>
            <w:tcW w:w="5262" w:type="dxa"/>
            <w:shd w:val="clear" w:color="auto" w:fill="B8CCE4"/>
            <w:vAlign w:val="center"/>
            <w:hideMark/>
          </w:tcPr>
          <w:p w:rsidR="00D51B0B" w:rsidRPr="00F8728A" w:rsidRDefault="00564746" w:rsidP="00564746">
            <w:pPr>
              <w:spacing w:before="40" w:after="40" w:line="264" w:lineRule="auto"/>
              <w:rPr>
                <w:rFonts w:ascii="Calibri" w:hAnsi="Calibri" w:cs="Calibri"/>
                <w:b/>
                <w:sz w:val="22"/>
                <w:lang w:eastAsia="en-GB"/>
              </w:rPr>
            </w:pPr>
            <w:r w:rsidRPr="00F8728A">
              <w:rPr>
                <w:rFonts w:ascii="Calibri" w:hAnsi="Calibri" w:cs="Calibri"/>
                <w:b/>
                <w:sz w:val="22"/>
                <w:lang w:eastAsia="en-GB"/>
              </w:rPr>
              <w:t xml:space="preserve">Загуба на вода </w:t>
            </w:r>
            <w:r w:rsidR="00D51B0B" w:rsidRPr="00F8728A">
              <w:rPr>
                <w:rFonts w:ascii="Calibri" w:hAnsi="Calibri" w:cs="Calibri"/>
                <w:b/>
                <w:sz w:val="22"/>
                <w:lang w:eastAsia="en-GB"/>
              </w:rPr>
              <w:t>(</w:t>
            </w:r>
            <w:r w:rsidRPr="00F8728A">
              <w:rPr>
                <w:rFonts w:ascii="Calibri" w:hAnsi="Calibri" w:cs="Calibri"/>
                <w:b/>
                <w:sz w:val="22"/>
                <w:lang w:eastAsia="en-GB"/>
              </w:rPr>
              <w:t>милиони</w:t>
            </w:r>
            <w:r w:rsidR="00D51B0B" w:rsidRPr="00F8728A">
              <w:rPr>
                <w:rFonts w:ascii="Calibri" w:hAnsi="Calibri" w:cs="Calibri"/>
                <w:b/>
                <w:sz w:val="22"/>
                <w:lang w:eastAsia="en-GB"/>
              </w:rPr>
              <w:t xml:space="preserve"> </w:t>
            </w:r>
            <w:r w:rsidR="00D51B0B" w:rsidRPr="00B73D7E">
              <w:rPr>
                <w:rFonts w:ascii="Calibri" w:hAnsi="Calibri" w:cs="Calibri"/>
                <w:b/>
                <w:sz w:val="22"/>
                <w:lang w:eastAsia="en-GB"/>
              </w:rPr>
              <w:t>m</w:t>
            </w:r>
            <w:r w:rsidR="00D51B0B" w:rsidRPr="00F8728A">
              <w:rPr>
                <w:rFonts w:ascii="Calibri" w:hAnsi="Calibri" w:cs="Calibri"/>
                <w:b/>
                <w:sz w:val="22"/>
                <w:vertAlign w:val="superscript"/>
                <w:lang w:eastAsia="en-GB"/>
              </w:rPr>
              <w:t>3</w:t>
            </w:r>
            <w:r w:rsidR="00D51B0B" w:rsidRPr="00F8728A">
              <w:rPr>
                <w:rFonts w:ascii="Calibri" w:hAnsi="Calibri" w:cs="Calibri"/>
                <w:b/>
                <w:sz w:val="22"/>
                <w:lang w:eastAsia="en-GB"/>
              </w:rPr>
              <w:t>/</w:t>
            </w:r>
            <w:r w:rsidRPr="00F8728A">
              <w:rPr>
                <w:rFonts w:ascii="Calibri" w:hAnsi="Calibri" w:cs="Calibri"/>
                <w:b/>
                <w:sz w:val="22"/>
                <w:lang w:eastAsia="en-GB"/>
              </w:rPr>
              <w:t>година</w:t>
            </w:r>
            <w:r w:rsidR="00D51B0B" w:rsidRPr="00F8728A">
              <w:rPr>
                <w:rFonts w:ascii="Calibri" w:hAnsi="Calibri" w:cs="Calibri"/>
                <w:b/>
                <w:sz w:val="22"/>
                <w:lang w:eastAsia="en-GB"/>
              </w:rPr>
              <w:t>)</w:t>
            </w:r>
          </w:p>
        </w:tc>
        <w:tc>
          <w:tcPr>
            <w:tcW w:w="1135" w:type="dxa"/>
            <w:shd w:val="clear" w:color="auto" w:fill="auto"/>
            <w:noWrap/>
            <w:vAlign w:val="center"/>
            <w:hideMark/>
          </w:tcPr>
          <w:p w:rsidR="00D51B0B" w:rsidRPr="00B73D7E" w:rsidRDefault="00D51B0B" w:rsidP="00C93A11">
            <w:pPr>
              <w:spacing w:before="40" w:after="40" w:line="264" w:lineRule="auto"/>
              <w:jc w:val="right"/>
              <w:rPr>
                <w:rFonts w:ascii="Calibri" w:hAnsi="Calibri" w:cs="Calibri"/>
                <w:color w:val="000000"/>
                <w:sz w:val="22"/>
                <w:lang w:eastAsia="en-GB"/>
              </w:rPr>
            </w:pPr>
            <w:r w:rsidRPr="00B73D7E">
              <w:rPr>
                <w:rFonts w:ascii="Calibri" w:hAnsi="Calibri" w:cs="Calibri"/>
                <w:color w:val="000000"/>
                <w:sz w:val="22"/>
                <w:lang w:eastAsia="en-GB"/>
              </w:rPr>
              <w:t>1</w:t>
            </w:r>
            <w:r w:rsidR="00506D91">
              <w:rPr>
                <w:rFonts w:ascii="Calibri" w:hAnsi="Calibri" w:cs="Calibri"/>
                <w:color w:val="000000"/>
                <w:sz w:val="22"/>
                <w:lang w:eastAsia="en-GB"/>
              </w:rPr>
              <w:t>,</w:t>
            </w:r>
            <w:r w:rsidRPr="00B73D7E">
              <w:rPr>
                <w:rFonts w:ascii="Calibri" w:hAnsi="Calibri" w:cs="Calibri"/>
                <w:color w:val="000000"/>
                <w:sz w:val="22"/>
                <w:lang w:eastAsia="en-GB"/>
              </w:rPr>
              <w:t>11</w:t>
            </w:r>
          </w:p>
        </w:tc>
        <w:tc>
          <w:tcPr>
            <w:tcW w:w="1135" w:type="dxa"/>
            <w:shd w:val="clear" w:color="auto" w:fill="auto"/>
            <w:noWrap/>
            <w:vAlign w:val="center"/>
            <w:hideMark/>
          </w:tcPr>
          <w:p w:rsidR="00D51B0B" w:rsidRPr="00B73D7E" w:rsidRDefault="00D51B0B" w:rsidP="00C93A11">
            <w:pPr>
              <w:spacing w:before="40" w:after="40" w:line="264" w:lineRule="auto"/>
              <w:jc w:val="right"/>
              <w:rPr>
                <w:rFonts w:ascii="Calibri" w:hAnsi="Calibri" w:cs="Calibri"/>
                <w:color w:val="000000"/>
                <w:sz w:val="22"/>
                <w:lang w:eastAsia="en-GB"/>
              </w:rPr>
            </w:pPr>
            <w:r w:rsidRPr="00B73D7E">
              <w:rPr>
                <w:rFonts w:ascii="Calibri" w:hAnsi="Calibri" w:cs="Calibri"/>
                <w:color w:val="000000"/>
                <w:sz w:val="22"/>
                <w:lang w:eastAsia="en-GB"/>
              </w:rPr>
              <w:t>2</w:t>
            </w:r>
            <w:r w:rsidR="00506D91">
              <w:rPr>
                <w:rFonts w:ascii="Calibri" w:hAnsi="Calibri" w:cs="Calibri"/>
                <w:color w:val="000000"/>
                <w:sz w:val="22"/>
                <w:lang w:eastAsia="en-GB"/>
              </w:rPr>
              <w:t>,</w:t>
            </w:r>
            <w:r w:rsidRPr="00B73D7E">
              <w:rPr>
                <w:rFonts w:ascii="Calibri" w:hAnsi="Calibri" w:cs="Calibri"/>
                <w:color w:val="000000"/>
                <w:sz w:val="22"/>
                <w:lang w:eastAsia="en-GB"/>
              </w:rPr>
              <w:t>21</w:t>
            </w:r>
          </w:p>
        </w:tc>
        <w:tc>
          <w:tcPr>
            <w:tcW w:w="1291" w:type="dxa"/>
            <w:shd w:val="clear" w:color="auto" w:fill="auto"/>
            <w:noWrap/>
            <w:vAlign w:val="center"/>
            <w:hideMark/>
          </w:tcPr>
          <w:p w:rsidR="00D51B0B" w:rsidRPr="00B73D7E" w:rsidRDefault="00D51B0B" w:rsidP="00C93A11">
            <w:pPr>
              <w:spacing w:before="40" w:after="40" w:line="264" w:lineRule="auto"/>
              <w:jc w:val="right"/>
              <w:rPr>
                <w:rFonts w:ascii="Calibri" w:hAnsi="Calibri" w:cs="Calibri"/>
                <w:color w:val="000000"/>
                <w:sz w:val="22"/>
                <w:lang w:eastAsia="en-GB"/>
              </w:rPr>
            </w:pPr>
            <w:r w:rsidRPr="00B73D7E">
              <w:rPr>
                <w:rFonts w:ascii="Calibri" w:hAnsi="Calibri" w:cs="Calibri"/>
                <w:color w:val="000000"/>
                <w:sz w:val="22"/>
                <w:lang w:eastAsia="en-GB"/>
              </w:rPr>
              <w:t>2</w:t>
            </w:r>
            <w:r w:rsidR="00506D91">
              <w:rPr>
                <w:rFonts w:ascii="Calibri" w:hAnsi="Calibri" w:cs="Calibri"/>
                <w:color w:val="000000"/>
                <w:sz w:val="22"/>
                <w:lang w:eastAsia="en-GB"/>
              </w:rPr>
              <w:t>,</w:t>
            </w:r>
            <w:r w:rsidRPr="00B73D7E">
              <w:rPr>
                <w:rFonts w:ascii="Calibri" w:hAnsi="Calibri" w:cs="Calibri"/>
                <w:color w:val="000000"/>
                <w:sz w:val="22"/>
                <w:lang w:eastAsia="en-GB"/>
              </w:rPr>
              <w:t>09</w:t>
            </w:r>
          </w:p>
        </w:tc>
      </w:tr>
    </w:tbl>
    <w:p w:rsidR="00D51B0B" w:rsidRPr="00F8728A" w:rsidRDefault="00564746" w:rsidP="00D51B0B">
      <w:pPr>
        <w:spacing w:before="200" w:after="120" w:line="276" w:lineRule="auto"/>
        <w:jc w:val="both"/>
        <w:rPr>
          <w:rFonts w:ascii="Times New Roman" w:hAnsi="Times New Roman"/>
          <w:bCs/>
          <w:sz w:val="24"/>
          <w:szCs w:val="24"/>
        </w:rPr>
      </w:pPr>
      <w:r w:rsidRPr="00F8728A">
        <w:rPr>
          <w:rFonts w:ascii="Times New Roman" w:hAnsi="Times New Roman"/>
          <w:bCs/>
          <w:sz w:val="24"/>
          <w:szCs w:val="24"/>
        </w:rPr>
        <w:t>Като цяло ефектите от изменението на климата върху показателите за ефективност са положителни. Според логаритмичната функция повишените температури не оказват натиск върху повишената консумация на енергия. Възможно е обаче населението в градовете да започне да консумира повече енергия за охлаждане, което значително ще увеличи нуждата от енергийни доставки.</w:t>
      </w:r>
    </w:p>
    <w:p w:rsidR="00D51B0B" w:rsidRPr="00F8728A" w:rsidRDefault="00564746" w:rsidP="00D51B0B">
      <w:pPr>
        <w:spacing w:after="120" w:line="276" w:lineRule="auto"/>
        <w:jc w:val="both"/>
        <w:rPr>
          <w:rFonts w:ascii="Times New Roman" w:hAnsi="Times New Roman"/>
          <w:sz w:val="24"/>
          <w:szCs w:val="24"/>
        </w:rPr>
      </w:pPr>
      <w:r w:rsidRPr="00F8728A">
        <w:rPr>
          <w:rFonts w:ascii="Times New Roman" w:hAnsi="Times New Roman"/>
          <w:sz w:val="24"/>
          <w:szCs w:val="24"/>
        </w:rPr>
        <w:t>Потреблението на топлинна енергия ще бъде най-силно повлияно от повишаването на температурата и необходимостта от топлинна енергия ще намалее. Следователно мерките за адаптиране биха могли да бъдат насочени към спестяване на разходи от намаляване на потреблението на топлинна енергия.</w:t>
      </w:r>
    </w:p>
    <w:p w:rsidR="00D51B0B" w:rsidRPr="00F8728A" w:rsidRDefault="00564746" w:rsidP="00D51B0B">
      <w:pPr>
        <w:spacing w:after="120" w:line="276" w:lineRule="auto"/>
        <w:jc w:val="both"/>
        <w:rPr>
          <w:rFonts w:ascii="Times New Roman" w:hAnsi="Times New Roman"/>
          <w:sz w:val="24"/>
          <w:szCs w:val="24"/>
        </w:rPr>
      </w:pPr>
      <w:r w:rsidRPr="00F8728A">
        <w:rPr>
          <w:rFonts w:ascii="Times New Roman" w:hAnsi="Times New Roman"/>
          <w:sz w:val="24"/>
          <w:szCs w:val="24"/>
        </w:rPr>
        <w:t>Екстраполатацията показва тенденция на нарастване на загубите на вода, като отрицателно въздействие от покачващите се температури в областта на водоснабдяването. Инвестициите в градския сектор са решаващи за намаляване на ефектите от влошаването на водния баланс</w:t>
      </w:r>
      <w:r w:rsidR="00D51B0B" w:rsidRPr="00F8728A">
        <w:rPr>
          <w:rFonts w:ascii="Times New Roman" w:hAnsi="Times New Roman"/>
          <w:sz w:val="24"/>
          <w:szCs w:val="24"/>
        </w:rPr>
        <w:t>.</w:t>
      </w:r>
    </w:p>
    <w:p w:rsidR="001B2C18" w:rsidRPr="00B73D7E" w:rsidRDefault="001B2C18" w:rsidP="00CF297A">
      <w:pPr>
        <w:pStyle w:val="Heading2"/>
        <w:keepNext/>
        <w:keepLines/>
        <w:widowControl/>
        <w:numPr>
          <w:ilvl w:val="0"/>
          <w:numId w:val="68"/>
        </w:numPr>
        <w:autoSpaceDE w:val="0"/>
        <w:autoSpaceDN w:val="0"/>
        <w:adjustRightInd w:val="0"/>
        <w:spacing w:line="240" w:lineRule="auto"/>
        <w:rPr>
          <w:lang w:val="bg-BG"/>
        </w:rPr>
      </w:pPr>
      <w:bookmarkStart w:id="796" w:name="_Toc522030610"/>
      <w:bookmarkStart w:id="797" w:name="_Toc529285595"/>
      <w:r w:rsidRPr="00B73D7E">
        <w:rPr>
          <w:lang w:val="bg-BG"/>
        </w:rPr>
        <w:t>Резултати от анализа на разходите и ползите</w:t>
      </w:r>
      <w:bookmarkEnd w:id="796"/>
      <w:bookmarkEnd w:id="797"/>
      <w:r w:rsidRPr="00B73D7E">
        <w:rPr>
          <w:lang w:val="bg-BG"/>
        </w:rPr>
        <w:t xml:space="preserve"> </w:t>
      </w:r>
    </w:p>
    <w:p w:rsidR="00D51B0B" w:rsidRPr="00F8728A" w:rsidRDefault="00564746" w:rsidP="00D51B0B">
      <w:pPr>
        <w:spacing w:after="0" w:line="276" w:lineRule="auto"/>
        <w:contextualSpacing/>
        <w:jc w:val="both"/>
        <w:rPr>
          <w:rFonts w:ascii="Times New Roman" w:hAnsi="Times New Roman"/>
          <w:sz w:val="24"/>
          <w:szCs w:val="24"/>
          <w:lang w:eastAsia="en-GB"/>
        </w:rPr>
      </w:pPr>
      <w:r w:rsidRPr="00F8728A">
        <w:rPr>
          <w:rFonts w:ascii="Times New Roman" w:hAnsi="Times New Roman"/>
          <w:sz w:val="24"/>
          <w:szCs w:val="24"/>
        </w:rPr>
        <w:t xml:space="preserve">АРП е комбинация от оценка на инвестициите в меки мерки за адаптиране. Техните ефекти върху основните </w:t>
      </w:r>
      <w:r w:rsidRPr="00F8728A">
        <w:rPr>
          <w:rFonts w:ascii="Times New Roman" w:hAnsi="Times New Roman"/>
          <w:bCs/>
          <w:sz w:val="24"/>
          <w:szCs w:val="24"/>
        </w:rPr>
        <w:t xml:space="preserve">показателите за ефективност </w:t>
      </w:r>
      <w:r w:rsidRPr="00F8728A">
        <w:rPr>
          <w:rFonts w:ascii="Times New Roman" w:hAnsi="Times New Roman"/>
          <w:sz w:val="24"/>
          <w:szCs w:val="24"/>
        </w:rPr>
        <w:t>(потребление на електро-енергия в домакинствата, потребление на топлинна енергия в домакинствата, общото потребление на електрическа и топлинна енергия в домакинствата, загуби на вода) се приемат за положителни</w:t>
      </w:r>
      <w:r w:rsidR="00D51B0B" w:rsidRPr="00F8728A">
        <w:rPr>
          <w:rFonts w:ascii="Times New Roman" w:hAnsi="Times New Roman"/>
          <w:sz w:val="24"/>
          <w:szCs w:val="24"/>
          <w:lang w:eastAsia="en-GB"/>
        </w:rPr>
        <w:t>.</w:t>
      </w:r>
    </w:p>
    <w:p w:rsidR="00145598" w:rsidRPr="00F8728A" w:rsidRDefault="00145598">
      <w:pPr>
        <w:spacing w:after="0"/>
        <w:rPr>
          <w:rFonts w:ascii="Calibri" w:hAnsi="Calibri" w:cs="Calibri"/>
          <w:b/>
          <w:i/>
          <w:iCs/>
          <w:color w:val="44546A"/>
          <w:sz w:val="22"/>
        </w:rPr>
      </w:pPr>
      <w:bookmarkStart w:id="798" w:name="_Toc517709523"/>
      <w:r w:rsidRPr="00F8728A">
        <w:rPr>
          <w:rFonts w:ascii="Calibri" w:hAnsi="Calibri" w:cs="Calibri"/>
          <w:b/>
          <w:i/>
          <w:iCs/>
          <w:color w:val="44546A"/>
          <w:sz w:val="22"/>
        </w:rPr>
        <w:br w:type="page"/>
      </w:r>
    </w:p>
    <w:p w:rsidR="00D51B0B" w:rsidRPr="008E7DAC" w:rsidRDefault="00151C9D" w:rsidP="00B73D7E">
      <w:pPr>
        <w:pStyle w:val="FiguresTablesCaption"/>
      </w:pPr>
      <w:bookmarkStart w:id="799" w:name="_Toc529286649"/>
      <w:r w:rsidRPr="008E7DAC">
        <w:t>Таблиц</w:t>
      </w:r>
      <w:r w:rsidR="00124F24" w:rsidRPr="008E7DAC">
        <w:t xml:space="preserve">а </w:t>
      </w:r>
      <w:r w:rsidR="00D51B0B" w:rsidRPr="00B73D7E">
        <w:fldChar w:fldCharType="begin"/>
      </w:r>
      <w:r w:rsidR="00D51B0B" w:rsidRPr="008E7DAC">
        <w:instrText xml:space="preserve"> </w:instrText>
      </w:r>
      <w:r w:rsidR="00D51B0B" w:rsidRPr="00B73D7E">
        <w:instrText>SEQ</w:instrText>
      </w:r>
      <w:r w:rsidR="00D51B0B" w:rsidRPr="008E7DAC">
        <w:instrText xml:space="preserve"> </w:instrText>
      </w:r>
      <w:r w:rsidR="00D51B0B" w:rsidRPr="00B73D7E">
        <w:instrText>Table</w:instrText>
      </w:r>
      <w:r w:rsidR="00D51B0B" w:rsidRPr="008E7DAC">
        <w:instrText xml:space="preserve"> \* </w:instrText>
      </w:r>
      <w:r w:rsidR="00D51B0B" w:rsidRPr="00B73D7E">
        <w:instrText>ARABIC</w:instrText>
      </w:r>
      <w:r w:rsidR="00D51B0B" w:rsidRPr="008E7DAC">
        <w:instrText xml:space="preserve"> </w:instrText>
      </w:r>
      <w:r w:rsidR="00D51B0B" w:rsidRPr="00B73D7E">
        <w:fldChar w:fldCharType="separate"/>
      </w:r>
      <w:r w:rsidR="00145598" w:rsidRPr="00B73D7E">
        <w:t>22</w:t>
      </w:r>
      <w:r w:rsidR="00D51B0B" w:rsidRPr="00B73D7E">
        <w:fldChar w:fldCharType="end"/>
      </w:r>
      <w:r w:rsidR="00D51B0B" w:rsidRPr="008E7DAC">
        <w:t xml:space="preserve">. </w:t>
      </w:r>
      <w:r w:rsidRPr="008E7DAC">
        <w:t>Ползи от мерки за ада</w:t>
      </w:r>
      <w:r w:rsidR="00145598" w:rsidRPr="008E7DAC">
        <w:t xml:space="preserve">птиране в сектор градска среда </w:t>
      </w:r>
      <w:r w:rsidRPr="008E7DAC">
        <w:t xml:space="preserve">до </w:t>
      </w:r>
      <w:r w:rsidR="00D51B0B" w:rsidRPr="008E7DAC">
        <w:t>2050</w:t>
      </w:r>
      <w:r w:rsidRPr="008E7DAC">
        <w:t xml:space="preserve"> г.</w:t>
      </w:r>
      <w:r w:rsidR="00145598" w:rsidRPr="008E7DAC">
        <w:t xml:space="preserve"> </w:t>
      </w:r>
      <w:r w:rsidRPr="008E7DAC">
        <w:t>(в млн</w:t>
      </w:r>
      <w:r w:rsidR="00145598" w:rsidRPr="008E7DAC">
        <w:t>.</w:t>
      </w:r>
      <w:r w:rsidRPr="008E7DAC">
        <w:t xml:space="preserve"> евро</w:t>
      </w:r>
      <w:r w:rsidR="00D51B0B" w:rsidRPr="008E7DAC">
        <w:t>)</w:t>
      </w:r>
      <w:bookmarkEnd w:id="798"/>
      <w:bookmarkEnd w:id="799"/>
    </w:p>
    <w:tbl>
      <w:tblPr>
        <w:tblW w:w="782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3114"/>
        <w:gridCol w:w="1530"/>
        <w:gridCol w:w="3181"/>
      </w:tblGrid>
      <w:tr w:rsidR="00124F24" w:rsidRPr="00F8728A" w:rsidTr="00145598">
        <w:trPr>
          <w:trHeight w:val="70"/>
          <w:jc w:val="center"/>
        </w:trPr>
        <w:tc>
          <w:tcPr>
            <w:tcW w:w="3114" w:type="dxa"/>
            <w:shd w:val="clear" w:color="auto" w:fill="365F91"/>
            <w:vAlign w:val="center"/>
            <w:hideMark/>
          </w:tcPr>
          <w:p w:rsidR="00124F24" w:rsidRPr="00F8728A" w:rsidRDefault="00124F24" w:rsidP="0079412B">
            <w:pPr>
              <w:spacing w:before="40" w:after="40"/>
              <w:jc w:val="center"/>
              <w:rPr>
                <w:rFonts w:asciiTheme="minorHAnsi" w:hAnsiTheme="minorHAnsi" w:cs="Calibri"/>
                <w:b/>
                <w:bCs/>
                <w:color w:val="FFFFFF" w:themeColor="background1"/>
                <w:sz w:val="22"/>
                <w:lang w:eastAsia="en-GB"/>
              </w:rPr>
            </w:pPr>
            <w:r w:rsidRPr="00F8728A">
              <w:rPr>
                <w:rFonts w:asciiTheme="minorHAnsi" w:hAnsiTheme="minorHAnsi" w:cs="Calibri"/>
                <w:b/>
                <w:bCs/>
                <w:color w:val="FFFFFF" w:themeColor="background1"/>
                <w:sz w:val="22"/>
                <w:lang w:eastAsia="en-GB"/>
              </w:rPr>
              <w:t>Климатични сценарии</w:t>
            </w:r>
          </w:p>
        </w:tc>
        <w:tc>
          <w:tcPr>
            <w:tcW w:w="1530" w:type="dxa"/>
            <w:shd w:val="clear" w:color="auto" w:fill="365F91"/>
            <w:vAlign w:val="center"/>
            <w:hideMark/>
          </w:tcPr>
          <w:p w:rsidR="00124F24" w:rsidRPr="00F8728A" w:rsidRDefault="00124F24" w:rsidP="0079412B">
            <w:pPr>
              <w:spacing w:before="40" w:after="40"/>
              <w:jc w:val="center"/>
              <w:rPr>
                <w:rFonts w:asciiTheme="minorHAnsi" w:hAnsiTheme="minorHAnsi" w:cs="Calibri"/>
                <w:b/>
                <w:bCs/>
                <w:color w:val="FFFFFF" w:themeColor="background1"/>
                <w:sz w:val="22"/>
                <w:lang w:eastAsia="en-GB"/>
              </w:rPr>
            </w:pPr>
            <w:r w:rsidRPr="00F8728A">
              <w:rPr>
                <w:rFonts w:asciiTheme="minorHAnsi" w:hAnsiTheme="minorHAnsi" w:cs="Calibri"/>
                <w:b/>
                <w:bCs/>
                <w:color w:val="FFFFFF" w:themeColor="background1"/>
                <w:sz w:val="22"/>
                <w:lang w:eastAsia="en-GB"/>
              </w:rPr>
              <w:t>ННС</w:t>
            </w:r>
          </w:p>
          <w:p w:rsidR="00124F24" w:rsidRPr="00F8728A" w:rsidRDefault="00124F24" w:rsidP="0079412B">
            <w:pPr>
              <w:spacing w:before="40" w:after="40"/>
              <w:jc w:val="center"/>
              <w:rPr>
                <w:rFonts w:asciiTheme="minorHAnsi" w:hAnsiTheme="minorHAnsi" w:cs="Calibri"/>
                <w:b/>
                <w:bCs/>
                <w:color w:val="FFFFFF" w:themeColor="background1"/>
                <w:sz w:val="22"/>
                <w:lang w:eastAsia="en-GB"/>
              </w:rPr>
            </w:pPr>
            <w:r w:rsidRPr="00F8728A">
              <w:rPr>
                <w:rFonts w:asciiTheme="minorHAnsi" w:hAnsiTheme="minorHAnsi" w:cs="Calibri"/>
                <w:b/>
                <w:bCs/>
                <w:color w:val="FFFFFF" w:themeColor="background1"/>
                <w:sz w:val="22"/>
                <w:lang w:eastAsia="en-GB"/>
              </w:rPr>
              <w:t>(€ млн.)</w:t>
            </w:r>
          </w:p>
        </w:tc>
        <w:tc>
          <w:tcPr>
            <w:tcW w:w="3181" w:type="dxa"/>
            <w:shd w:val="clear" w:color="auto" w:fill="365F91"/>
            <w:vAlign w:val="center"/>
            <w:hideMark/>
          </w:tcPr>
          <w:p w:rsidR="00124F24" w:rsidRPr="00F8728A" w:rsidRDefault="00124F24" w:rsidP="00124F24">
            <w:pPr>
              <w:spacing w:before="40" w:after="40"/>
              <w:jc w:val="center"/>
              <w:rPr>
                <w:rFonts w:asciiTheme="minorHAnsi" w:hAnsiTheme="minorHAnsi" w:cs="Calibri"/>
                <w:b/>
                <w:bCs/>
                <w:color w:val="FFFFFF" w:themeColor="background1"/>
                <w:sz w:val="22"/>
                <w:lang w:eastAsia="en-GB"/>
              </w:rPr>
            </w:pPr>
            <w:r w:rsidRPr="00F8728A">
              <w:rPr>
                <w:rFonts w:asciiTheme="minorHAnsi" w:hAnsiTheme="minorHAnsi" w:cs="Calibri"/>
                <w:b/>
                <w:bCs/>
                <w:color w:val="FFFFFF" w:themeColor="background1"/>
                <w:sz w:val="22"/>
                <w:lang w:eastAsia="en-GB"/>
              </w:rPr>
              <w:t>Икономическа ефективност</w:t>
            </w:r>
            <w:r w:rsidRPr="00F8728A">
              <w:rPr>
                <w:rFonts w:asciiTheme="minorHAnsi" w:hAnsiTheme="minorHAnsi" w:cs="Calibri"/>
                <w:b/>
                <w:bCs/>
                <w:color w:val="FFFFFF" w:themeColor="background1"/>
                <w:sz w:val="22"/>
                <w:vertAlign w:val="superscript"/>
                <w:lang w:eastAsia="en-GB"/>
              </w:rPr>
              <w:t xml:space="preserve"> </w:t>
            </w:r>
            <w:r w:rsidRPr="00B73D7E">
              <w:rPr>
                <w:rFonts w:asciiTheme="minorHAnsi" w:hAnsiTheme="minorHAnsi" w:cs="Calibri"/>
                <w:b/>
                <w:bCs/>
                <w:color w:val="FFFFFF" w:themeColor="background1"/>
                <w:sz w:val="22"/>
                <w:vertAlign w:val="superscript"/>
                <w:lang w:eastAsia="en-GB"/>
              </w:rPr>
              <w:footnoteReference w:id="158"/>
            </w:r>
            <w:r w:rsidRPr="00F8728A">
              <w:rPr>
                <w:rFonts w:asciiTheme="minorHAnsi" w:hAnsiTheme="minorHAnsi" w:cs="Calibri"/>
                <w:b/>
                <w:bCs/>
                <w:color w:val="FFFFFF" w:themeColor="background1"/>
                <w:sz w:val="22"/>
                <w:lang w:eastAsia="en-GB"/>
              </w:rPr>
              <w:br/>
              <w:t>(съотношение ползи/разходи)</w:t>
            </w:r>
          </w:p>
        </w:tc>
      </w:tr>
      <w:tr w:rsidR="00124F24" w:rsidRPr="00F8728A" w:rsidTr="00145598">
        <w:trPr>
          <w:trHeight w:val="300"/>
          <w:jc w:val="center"/>
        </w:trPr>
        <w:tc>
          <w:tcPr>
            <w:tcW w:w="3114" w:type="dxa"/>
            <w:shd w:val="clear" w:color="auto" w:fill="B8CCE4"/>
            <w:hideMark/>
          </w:tcPr>
          <w:p w:rsidR="00124F24" w:rsidRPr="00F8728A" w:rsidRDefault="00124F24" w:rsidP="00145598">
            <w:pPr>
              <w:spacing w:before="60" w:after="60"/>
              <w:rPr>
                <w:rFonts w:asciiTheme="minorHAnsi" w:hAnsiTheme="minorHAnsi"/>
                <w:b/>
                <w:sz w:val="22"/>
              </w:rPr>
            </w:pPr>
            <w:r w:rsidRPr="00F8728A">
              <w:rPr>
                <w:rFonts w:asciiTheme="minorHAnsi" w:hAnsiTheme="minorHAnsi"/>
                <w:b/>
                <w:sz w:val="22"/>
              </w:rPr>
              <w:t>Реалистичен сценарий +2°C</w:t>
            </w:r>
          </w:p>
        </w:tc>
        <w:tc>
          <w:tcPr>
            <w:tcW w:w="1530" w:type="dxa"/>
            <w:shd w:val="clear" w:color="auto" w:fill="auto"/>
            <w:hideMark/>
          </w:tcPr>
          <w:p w:rsidR="00124F24" w:rsidRPr="00B73D7E" w:rsidRDefault="00124F24" w:rsidP="00C93A11">
            <w:pPr>
              <w:spacing w:before="40" w:after="40"/>
              <w:jc w:val="right"/>
              <w:rPr>
                <w:rFonts w:asciiTheme="minorHAnsi" w:hAnsiTheme="minorHAnsi" w:cs="Calibri"/>
                <w:color w:val="000000"/>
                <w:sz w:val="22"/>
                <w:lang w:eastAsia="en-GB"/>
              </w:rPr>
            </w:pPr>
            <w:r w:rsidRPr="00B73D7E">
              <w:rPr>
                <w:rFonts w:asciiTheme="minorHAnsi" w:hAnsiTheme="minorHAnsi" w:cs="Calibri"/>
                <w:color w:val="000000"/>
                <w:sz w:val="22"/>
                <w:lang w:eastAsia="en-GB"/>
              </w:rPr>
              <w:t>8</w:t>
            </w:r>
            <w:r w:rsidR="00506D91">
              <w:rPr>
                <w:rFonts w:asciiTheme="minorHAnsi" w:hAnsiTheme="minorHAnsi" w:cs="Calibri"/>
                <w:color w:val="000000"/>
                <w:sz w:val="22"/>
                <w:lang w:eastAsia="en-GB"/>
              </w:rPr>
              <w:t xml:space="preserve"> </w:t>
            </w:r>
            <w:r w:rsidRPr="00B73D7E">
              <w:rPr>
                <w:rFonts w:asciiTheme="minorHAnsi" w:hAnsiTheme="minorHAnsi" w:cs="Calibri"/>
                <w:color w:val="000000"/>
                <w:sz w:val="22"/>
                <w:lang w:eastAsia="en-GB"/>
              </w:rPr>
              <w:t>786</w:t>
            </w:r>
            <w:r w:rsidR="00506D91">
              <w:rPr>
                <w:rFonts w:asciiTheme="minorHAnsi" w:hAnsiTheme="minorHAnsi" w:cs="Calibri"/>
                <w:color w:val="000000"/>
                <w:sz w:val="22"/>
                <w:lang w:eastAsia="en-GB"/>
              </w:rPr>
              <w:t>,</w:t>
            </w:r>
            <w:r w:rsidRPr="00B73D7E">
              <w:rPr>
                <w:rFonts w:asciiTheme="minorHAnsi" w:hAnsiTheme="minorHAnsi" w:cs="Calibri"/>
                <w:color w:val="000000"/>
                <w:sz w:val="22"/>
                <w:lang w:eastAsia="en-GB"/>
              </w:rPr>
              <w:t>11</w:t>
            </w:r>
          </w:p>
        </w:tc>
        <w:tc>
          <w:tcPr>
            <w:tcW w:w="3181" w:type="dxa"/>
            <w:shd w:val="clear" w:color="auto" w:fill="auto"/>
            <w:hideMark/>
          </w:tcPr>
          <w:p w:rsidR="00124F24" w:rsidRPr="00B73D7E" w:rsidRDefault="00124F24" w:rsidP="00C93A11">
            <w:pPr>
              <w:spacing w:before="40" w:after="40"/>
              <w:jc w:val="right"/>
              <w:rPr>
                <w:rFonts w:asciiTheme="minorHAnsi" w:hAnsiTheme="minorHAnsi" w:cs="Calibri"/>
                <w:color w:val="000000"/>
                <w:sz w:val="22"/>
                <w:lang w:eastAsia="en-GB"/>
              </w:rPr>
            </w:pPr>
            <w:r w:rsidRPr="00B73D7E">
              <w:rPr>
                <w:rFonts w:asciiTheme="minorHAnsi" w:hAnsiTheme="minorHAnsi" w:cs="Calibri"/>
                <w:color w:val="000000"/>
                <w:sz w:val="22"/>
                <w:lang w:eastAsia="en-GB"/>
              </w:rPr>
              <w:t>1</w:t>
            </w:r>
            <w:r w:rsidR="00506D91">
              <w:rPr>
                <w:rFonts w:asciiTheme="minorHAnsi" w:hAnsiTheme="minorHAnsi" w:cs="Calibri"/>
                <w:color w:val="000000"/>
                <w:sz w:val="22"/>
                <w:lang w:eastAsia="en-GB"/>
              </w:rPr>
              <w:t>,</w:t>
            </w:r>
            <w:r w:rsidRPr="00B73D7E">
              <w:rPr>
                <w:rFonts w:asciiTheme="minorHAnsi" w:hAnsiTheme="minorHAnsi" w:cs="Calibri"/>
                <w:color w:val="000000"/>
                <w:sz w:val="22"/>
                <w:lang w:eastAsia="en-GB"/>
              </w:rPr>
              <w:t>57</w:t>
            </w:r>
          </w:p>
        </w:tc>
      </w:tr>
      <w:tr w:rsidR="00124F24" w:rsidRPr="00F8728A" w:rsidTr="00145598">
        <w:trPr>
          <w:trHeight w:val="300"/>
          <w:jc w:val="center"/>
        </w:trPr>
        <w:tc>
          <w:tcPr>
            <w:tcW w:w="3114" w:type="dxa"/>
            <w:shd w:val="clear" w:color="auto" w:fill="B8CCE4"/>
            <w:hideMark/>
          </w:tcPr>
          <w:p w:rsidR="00124F24" w:rsidRPr="00F8728A" w:rsidRDefault="00124F24" w:rsidP="00145598">
            <w:pPr>
              <w:spacing w:before="60" w:after="60"/>
              <w:rPr>
                <w:rFonts w:asciiTheme="minorHAnsi" w:hAnsiTheme="minorHAnsi"/>
                <w:b/>
                <w:sz w:val="22"/>
              </w:rPr>
            </w:pPr>
            <w:r w:rsidRPr="00F8728A">
              <w:rPr>
                <w:rFonts w:asciiTheme="minorHAnsi" w:hAnsiTheme="minorHAnsi"/>
                <w:b/>
                <w:sz w:val="22"/>
              </w:rPr>
              <w:t>Оптимистичен сценарий +2°C</w:t>
            </w:r>
          </w:p>
        </w:tc>
        <w:tc>
          <w:tcPr>
            <w:tcW w:w="1530" w:type="dxa"/>
            <w:shd w:val="clear" w:color="auto" w:fill="auto"/>
            <w:hideMark/>
          </w:tcPr>
          <w:p w:rsidR="00124F24" w:rsidRPr="00B73D7E" w:rsidRDefault="00124F24" w:rsidP="00C93A11">
            <w:pPr>
              <w:spacing w:before="40" w:after="40"/>
              <w:jc w:val="right"/>
              <w:rPr>
                <w:rFonts w:asciiTheme="minorHAnsi" w:hAnsiTheme="minorHAnsi" w:cs="Calibri"/>
                <w:color w:val="000000"/>
                <w:sz w:val="22"/>
                <w:lang w:eastAsia="en-GB"/>
              </w:rPr>
            </w:pPr>
            <w:r w:rsidRPr="00B73D7E">
              <w:rPr>
                <w:rFonts w:asciiTheme="minorHAnsi" w:hAnsiTheme="minorHAnsi" w:cs="Calibri"/>
                <w:color w:val="000000"/>
                <w:sz w:val="22"/>
                <w:lang w:eastAsia="en-GB"/>
              </w:rPr>
              <w:t>13</w:t>
            </w:r>
            <w:r w:rsidR="00506D91">
              <w:rPr>
                <w:rFonts w:asciiTheme="minorHAnsi" w:hAnsiTheme="minorHAnsi" w:cs="Calibri"/>
                <w:color w:val="000000"/>
                <w:sz w:val="22"/>
                <w:lang w:eastAsia="en-GB"/>
              </w:rPr>
              <w:t xml:space="preserve"> </w:t>
            </w:r>
            <w:r w:rsidRPr="00B73D7E">
              <w:rPr>
                <w:rFonts w:asciiTheme="minorHAnsi" w:hAnsiTheme="minorHAnsi" w:cs="Calibri"/>
                <w:color w:val="000000"/>
                <w:sz w:val="22"/>
                <w:lang w:eastAsia="en-GB"/>
              </w:rPr>
              <w:t>285</w:t>
            </w:r>
            <w:r w:rsidR="00506D91">
              <w:rPr>
                <w:rFonts w:asciiTheme="minorHAnsi" w:hAnsiTheme="minorHAnsi" w:cs="Calibri"/>
                <w:color w:val="000000"/>
                <w:sz w:val="22"/>
                <w:lang w:eastAsia="en-GB"/>
              </w:rPr>
              <w:t>,</w:t>
            </w:r>
            <w:r w:rsidRPr="00B73D7E">
              <w:rPr>
                <w:rFonts w:asciiTheme="minorHAnsi" w:hAnsiTheme="minorHAnsi" w:cs="Calibri"/>
                <w:color w:val="000000"/>
                <w:sz w:val="22"/>
                <w:lang w:eastAsia="en-GB"/>
              </w:rPr>
              <w:t>08</w:t>
            </w:r>
          </w:p>
        </w:tc>
        <w:tc>
          <w:tcPr>
            <w:tcW w:w="3181" w:type="dxa"/>
            <w:shd w:val="clear" w:color="auto" w:fill="auto"/>
            <w:hideMark/>
          </w:tcPr>
          <w:p w:rsidR="00124F24" w:rsidRPr="00B73D7E" w:rsidRDefault="00124F24" w:rsidP="00C93A11">
            <w:pPr>
              <w:spacing w:before="40" w:after="40"/>
              <w:jc w:val="right"/>
              <w:rPr>
                <w:rFonts w:asciiTheme="minorHAnsi" w:hAnsiTheme="minorHAnsi" w:cs="Calibri"/>
                <w:color w:val="000000"/>
                <w:sz w:val="22"/>
                <w:lang w:eastAsia="en-GB"/>
              </w:rPr>
            </w:pPr>
            <w:r w:rsidRPr="00B73D7E">
              <w:rPr>
                <w:rFonts w:asciiTheme="minorHAnsi" w:hAnsiTheme="minorHAnsi" w:cs="Calibri"/>
                <w:color w:val="000000"/>
                <w:sz w:val="22"/>
                <w:lang w:eastAsia="en-GB"/>
              </w:rPr>
              <w:t>1</w:t>
            </w:r>
            <w:r w:rsidR="00506D91">
              <w:rPr>
                <w:rFonts w:asciiTheme="minorHAnsi" w:hAnsiTheme="minorHAnsi" w:cs="Calibri"/>
                <w:color w:val="000000"/>
                <w:sz w:val="22"/>
                <w:lang w:eastAsia="en-GB"/>
              </w:rPr>
              <w:t>,</w:t>
            </w:r>
            <w:r w:rsidRPr="00B73D7E">
              <w:rPr>
                <w:rFonts w:asciiTheme="minorHAnsi" w:hAnsiTheme="minorHAnsi" w:cs="Calibri"/>
                <w:color w:val="000000"/>
                <w:sz w:val="22"/>
                <w:lang w:eastAsia="en-GB"/>
              </w:rPr>
              <w:t>87</w:t>
            </w:r>
          </w:p>
        </w:tc>
      </w:tr>
      <w:tr w:rsidR="00124F24" w:rsidRPr="00F8728A" w:rsidTr="00145598">
        <w:trPr>
          <w:trHeight w:val="315"/>
          <w:jc w:val="center"/>
        </w:trPr>
        <w:tc>
          <w:tcPr>
            <w:tcW w:w="3114" w:type="dxa"/>
            <w:shd w:val="clear" w:color="auto" w:fill="B8CCE4"/>
            <w:hideMark/>
          </w:tcPr>
          <w:p w:rsidR="00124F24" w:rsidRPr="00F8728A" w:rsidRDefault="00124F24" w:rsidP="00145598">
            <w:pPr>
              <w:spacing w:before="60" w:after="60"/>
              <w:rPr>
                <w:rFonts w:asciiTheme="minorHAnsi" w:hAnsiTheme="minorHAnsi"/>
                <w:b/>
                <w:sz w:val="22"/>
              </w:rPr>
            </w:pPr>
            <w:r w:rsidRPr="00F8728A">
              <w:rPr>
                <w:rFonts w:asciiTheme="minorHAnsi" w:hAnsiTheme="minorHAnsi"/>
                <w:b/>
                <w:sz w:val="22"/>
              </w:rPr>
              <w:t>Песимистичен сценарий +2°C</w:t>
            </w:r>
          </w:p>
        </w:tc>
        <w:tc>
          <w:tcPr>
            <w:tcW w:w="1530" w:type="dxa"/>
            <w:shd w:val="clear" w:color="auto" w:fill="auto"/>
            <w:hideMark/>
          </w:tcPr>
          <w:p w:rsidR="00124F24" w:rsidRPr="00B73D7E" w:rsidRDefault="00124F24" w:rsidP="00C93A11">
            <w:pPr>
              <w:spacing w:before="40" w:after="40"/>
              <w:jc w:val="right"/>
              <w:rPr>
                <w:rFonts w:asciiTheme="minorHAnsi" w:hAnsiTheme="minorHAnsi" w:cs="Calibri"/>
                <w:color w:val="000000"/>
                <w:sz w:val="22"/>
                <w:lang w:eastAsia="en-GB"/>
              </w:rPr>
            </w:pPr>
            <w:r w:rsidRPr="00B73D7E">
              <w:rPr>
                <w:rFonts w:asciiTheme="minorHAnsi" w:hAnsiTheme="minorHAnsi" w:cs="Calibri"/>
                <w:color w:val="000000"/>
                <w:sz w:val="22"/>
                <w:lang w:eastAsia="en-GB"/>
              </w:rPr>
              <w:t>4</w:t>
            </w:r>
            <w:r w:rsidR="00506D91">
              <w:rPr>
                <w:rFonts w:asciiTheme="minorHAnsi" w:hAnsiTheme="minorHAnsi" w:cs="Calibri"/>
                <w:color w:val="000000"/>
                <w:sz w:val="22"/>
                <w:lang w:eastAsia="en-GB"/>
              </w:rPr>
              <w:t xml:space="preserve"> </w:t>
            </w:r>
            <w:r w:rsidRPr="00B73D7E">
              <w:rPr>
                <w:rFonts w:asciiTheme="minorHAnsi" w:hAnsiTheme="minorHAnsi" w:cs="Calibri"/>
                <w:color w:val="000000"/>
                <w:sz w:val="22"/>
                <w:lang w:eastAsia="en-GB"/>
              </w:rPr>
              <w:t>287</w:t>
            </w:r>
            <w:r w:rsidR="00506D91">
              <w:rPr>
                <w:rFonts w:asciiTheme="minorHAnsi" w:hAnsiTheme="minorHAnsi" w:cs="Calibri"/>
                <w:color w:val="000000"/>
                <w:sz w:val="22"/>
                <w:lang w:eastAsia="en-GB"/>
              </w:rPr>
              <w:t>,</w:t>
            </w:r>
            <w:r w:rsidRPr="00B73D7E">
              <w:rPr>
                <w:rFonts w:asciiTheme="minorHAnsi" w:hAnsiTheme="minorHAnsi" w:cs="Calibri"/>
                <w:color w:val="000000"/>
                <w:sz w:val="22"/>
                <w:lang w:eastAsia="en-GB"/>
              </w:rPr>
              <w:t>14</w:t>
            </w:r>
          </w:p>
        </w:tc>
        <w:tc>
          <w:tcPr>
            <w:tcW w:w="3181" w:type="dxa"/>
            <w:shd w:val="clear" w:color="auto" w:fill="auto"/>
            <w:hideMark/>
          </w:tcPr>
          <w:p w:rsidR="00124F24" w:rsidRPr="00B73D7E" w:rsidRDefault="00124F24" w:rsidP="00C93A11">
            <w:pPr>
              <w:spacing w:before="40" w:after="40"/>
              <w:jc w:val="right"/>
              <w:rPr>
                <w:rFonts w:asciiTheme="minorHAnsi" w:hAnsiTheme="minorHAnsi" w:cs="Calibri"/>
                <w:color w:val="000000"/>
                <w:sz w:val="22"/>
                <w:lang w:eastAsia="en-GB"/>
              </w:rPr>
            </w:pPr>
            <w:r w:rsidRPr="00B73D7E">
              <w:rPr>
                <w:rFonts w:asciiTheme="minorHAnsi" w:hAnsiTheme="minorHAnsi" w:cs="Calibri"/>
                <w:color w:val="000000"/>
                <w:sz w:val="22"/>
                <w:lang w:eastAsia="en-GB"/>
              </w:rPr>
              <w:t>1</w:t>
            </w:r>
            <w:r w:rsidR="00506D91">
              <w:rPr>
                <w:rFonts w:asciiTheme="minorHAnsi" w:hAnsiTheme="minorHAnsi" w:cs="Calibri"/>
                <w:color w:val="000000"/>
                <w:sz w:val="22"/>
                <w:lang w:eastAsia="en-GB"/>
              </w:rPr>
              <w:t>,</w:t>
            </w:r>
            <w:r w:rsidRPr="00B73D7E">
              <w:rPr>
                <w:rFonts w:asciiTheme="minorHAnsi" w:hAnsiTheme="minorHAnsi" w:cs="Calibri"/>
                <w:color w:val="000000"/>
                <w:sz w:val="22"/>
                <w:lang w:eastAsia="en-GB"/>
              </w:rPr>
              <w:t>28</w:t>
            </w:r>
          </w:p>
        </w:tc>
      </w:tr>
      <w:tr w:rsidR="00124F24" w:rsidRPr="00F8728A" w:rsidTr="00145598">
        <w:trPr>
          <w:trHeight w:val="300"/>
          <w:jc w:val="center"/>
        </w:trPr>
        <w:tc>
          <w:tcPr>
            <w:tcW w:w="3114" w:type="dxa"/>
            <w:shd w:val="clear" w:color="auto" w:fill="B8CCE4"/>
            <w:hideMark/>
          </w:tcPr>
          <w:p w:rsidR="00124F24" w:rsidRPr="00F8728A" w:rsidRDefault="00124F24" w:rsidP="00145598">
            <w:pPr>
              <w:spacing w:before="60" w:after="60"/>
              <w:rPr>
                <w:rFonts w:asciiTheme="minorHAnsi" w:hAnsiTheme="minorHAnsi"/>
                <w:b/>
                <w:sz w:val="22"/>
              </w:rPr>
            </w:pPr>
            <w:r w:rsidRPr="00F8728A">
              <w:rPr>
                <w:rFonts w:asciiTheme="minorHAnsi" w:hAnsiTheme="minorHAnsi"/>
                <w:b/>
                <w:sz w:val="22"/>
              </w:rPr>
              <w:t>Реалистичен сценарий +4°C</w:t>
            </w:r>
          </w:p>
        </w:tc>
        <w:tc>
          <w:tcPr>
            <w:tcW w:w="1530" w:type="dxa"/>
            <w:shd w:val="clear" w:color="auto" w:fill="auto"/>
            <w:hideMark/>
          </w:tcPr>
          <w:p w:rsidR="00124F24" w:rsidRPr="00B73D7E" w:rsidRDefault="00124F24" w:rsidP="00C93A11">
            <w:pPr>
              <w:spacing w:before="40" w:after="40"/>
              <w:jc w:val="right"/>
              <w:rPr>
                <w:rFonts w:asciiTheme="minorHAnsi" w:hAnsiTheme="minorHAnsi" w:cs="Calibri"/>
                <w:color w:val="000000"/>
                <w:sz w:val="22"/>
                <w:lang w:eastAsia="en-GB"/>
              </w:rPr>
            </w:pPr>
            <w:r w:rsidRPr="00B73D7E">
              <w:rPr>
                <w:rFonts w:asciiTheme="minorHAnsi" w:hAnsiTheme="minorHAnsi" w:cs="Calibri"/>
                <w:color w:val="000000"/>
                <w:sz w:val="22"/>
                <w:lang w:eastAsia="en-GB"/>
              </w:rPr>
              <w:t>20</w:t>
            </w:r>
            <w:r w:rsidR="00506D91">
              <w:rPr>
                <w:rFonts w:asciiTheme="minorHAnsi" w:hAnsiTheme="minorHAnsi" w:cs="Calibri"/>
                <w:color w:val="000000"/>
                <w:sz w:val="22"/>
                <w:lang w:eastAsia="en-GB"/>
              </w:rPr>
              <w:t xml:space="preserve"> </w:t>
            </w:r>
            <w:r w:rsidRPr="00B73D7E">
              <w:rPr>
                <w:rFonts w:asciiTheme="minorHAnsi" w:hAnsiTheme="minorHAnsi" w:cs="Calibri"/>
                <w:color w:val="000000"/>
                <w:sz w:val="22"/>
                <w:lang w:eastAsia="en-GB"/>
              </w:rPr>
              <w:t>522</w:t>
            </w:r>
            <w:r w:rsidR="00506D91">
              <w:rPr>
                <w:rFonts w:asciiTheme="minorHAnsi" w:hAnsiTheme="minorHAnsi" w:cs="Calibri"/>
                <w:color w:val="000000"/>
                <w:sz w:val="22"/>
                <w:lang w:eastAsia="en-GB"/>
              </w:rPr>
              <w:t>,</w:t>
            </w:r>
            <w:r w:rsidRPr="00B73D7E">
              <w:rPr>
                <w:rFonts w:asciiTheme="minorHAnsi" w:hAnsiTheme="minorHAnsi" w:cs="Calibri"/>
                <w:color w:val="000000"/>
                <w:sz w:val="22"/>
                <w:lang w:eastAsia="en-GB"/>
              </w:rPr>
              <w:t>60</w:t>
            </w:r>
          </w:p>
        </w:tc>
        <w:tc>
          <w:tcPr>
            <w:tcW w:w="3181" w:type="dxa"/>
            <w:shd w:val="clear" w:color="auto" w:fill="auto"/>
            <w:hideMark/>
          </w:tcPr>
          <w:p w:rsidR="00124F24" w:rsidRPr="00B73D7E" w:rsidRDefault="00124F24" w:rsidP="00C93A11">
            <w:pPr>
              <w:spacing w:before="40" w:after="40"/>
              <w:jc w:val="right"/>
              <w:rPr>
                <w:rFonts w:asciiTheme="minorHAnsi" w:hAnsiTheme="minorHAnsi" w:cs="Calibri"/>
                <w:color w:val="000000"/>
                <w:sz w:val="22"/>
                <w:lang w:eastAsia="en-GB"/>
              </w:rPr>
            </w:pPr>
            <w:r w:rsidRPr="00B73D7E">
              <w:rPr>
                <w:rFonts w:asciiTheme="minorHAnsi" w:hAnsiTheme="minorHAnsi" w:cs="Calibri"/>
                <w:color w:val="000000"/>
                <w:sz w:val="22"/>
                <w:lang w:eastAsia="en-GB"/>
              </w:rPr>
              <w:t>2</w:t>
            </w:r>
            <w:r w:rsidR="00506D91">
              <w:rPr>
                <w:rFonts w:asciiTheme="minorHAnsi" w:hAnsiTheme="minorHAnsi" w:cs="Calibri"/>
                <w:color w:val="000000"/>
                <w:sz w:val="22"/>
                <w:lang w:eastAsia="en-GB"/>
              </w:rPr>
              <w:t>,</w:t>
            </w:r>
            <w:r w:rsidRPr="00B73D7E">
              <w:rPr>
                <w:rFonts w:asciiTheme="minorHAnsi" w:hAnsiTheme="minorHAnsi" w:cs="Calibri"/>
                <w:color w:val="000000"/>
                <w:sz w:val="22"/>
                <w:lang w:eastAsia="en-GB"/>
              </w:rPr>
              <w:t>34</w:t>
            </w:r>
          </w:p>
        </w:tc>
      </w:tr>
      <w:tr w:rsidR="00124F24" w:rsidRPr="00F8728A" w:rsidTr="00145598">
        <w:trPr>
          <w:trHeight w:val="300"/>
          <w:jc w:val="center"/>
        </w:trPr>
        <w:tc>
          <w:tcPr>
            <w:tcW w:w="3114" w:type="dxa"/>
            <w:shd w:val="clear" w:color="auto" w:fill="B8CCE4"/>
            <w:hideMark/>
          </w:tcPr>
          <w:p w:rsidR="00124F24" w:rsidRPr="00F8728A" w:rsidRDefault="00124F24" w:rsidP="00145598">
            <w:pPr>
              <w:spacing w:before="60" w:after="60"/>
              <w:rPr>
                <w:rFonts w:asciiTheme="minorHAnsi" w:hAnsiTheme="minorHAnsi"/>
                <w:b/>
                <w:sz w:val="22"/>
              </w:rPr>
            </w:pPr>
            <w:r w:rsidRPr="00F8728A">
              <w:rPr>
                <w:rFonts w:asciiTheme="minorHAnsi" w:hAnsiTheme="minorHAnsi"/>
                <w:b/>
                <w:sz w:val="22"/>
              </w:rPr>
              <w:t>Оптимистичен сценарий +4°C</w:t>
            </w:r>
          </w:p>
        </w:tc>
        <w:tc>
          <w:tcPr>
            <w:tcW w:w="1530" w:type="dxa"/>
            <w:shd w:val="clear" w:color="auto" w:fill="auto"/>
            <w:hideMark/>
          </w:tcPr>
          <w:p w:rsidR="00124F24" w:rsidRPr="00B73D7E" w:rsidRDefault="00124F24" w:rsidP="00C93A11">
            <w:pPr>
              <w:spacing w:before="40" w:after="40"/>
              <w:jc w:val="right"/>
              <w:rPr>
                <w:rFonts w:asciiTheme="minorHAnsi" w:hAnsiTheme="minorHAnsi" w:cs="Calibri"/>
                <w:color w:val="000000"/>
                <w:sz w:val="22"/>
                <w:lang w:eastAsia="en-GB"/>
              </w:rPr>
            </w:pPr>
            <w:r w:rsidRPr="00B73D7E">
              <w:rPr>
                <w:rFonts w:asciiTheme="minorHAnsi" w:hAnsiTheme="minorHAnsi" w:cs="Calibri"/>
                <w:color w:val="000000"/>
                <w:sz w:val="22"/>
                <w:lang w:eastAsia="en-GB"/>
              </w:rPr>
              <w:t>29</w:t>
            </w:r>
            <w:r w:rsidR="00506D91">
              <w:rPr>
                <w:rFonts w:asciiTheme="minorHAnsi" w:hAnsiTheme="minorHAnsi" w:cs="Calibri"/>
                <w:color w:val="000000"/>
                <w:sz w:val="22"/>
                <w:lang w:eastAsia="en-GB"/>
              </w:rPr>
              <w:t xml:space="preserve"> </w:t>
            </w:r>
            <w:r w:rsidRPr="00B73D7E">
              <w:rPr>
                <w:rFonts w:asciiTheme="minorHAnsi" w:hAnsiTheme="minorHAnsi" w:cs="Calibri"/>
                <w:color w:val="000000"/>
                <w:sz w:val="22"/>
                <w:lang w:eastAsia="en-GB"/>
              </w:rPr>
              <w:t>741</w:t>
            </w:r>
            <w:r w:rsidR="00506D91">
              <w:rPr>
                <w:rFonts w:asciiTheme="minorHAnsi" w:hAnsiTheme="minorHAnsi" w:cs="Calibri"/>
                <w:color w:val="000000"/>
                <w:sz w:val="22"/>
                <w:lang w:eastAsia="en-GB"/>
              </w:rPr>
              <w:t>,</w:t>
            </w:r>
            <w:r w:rsidRPr="00B73D7E">
              <w:rPr>
                <w:rFonts w:asciiTheme="minorHAnsi" w:hAnsiTheme="minorHAnsi" w:cs="Calibri"/>
                <w:color w:val="000000"/>
                <w:sz w:val="22"/>
                <w:lang w:eastAsia="en-GB"/>
              </w:rPr>
              <w:t>08</w:t>
            </w:r>
          </w:p>
        </w:tc>
        <w:tc>
          <w:tcPr>
            <w:tcW w:w="3181" w:type="dxa"/>
            <w:shd w:val="clear" w:color="auto" w:fill="auto"/>
            <w:hideMark/>
          </w:tcPr>
          <w:p w:rsidR="00124F24" w:rsidRPr="00B73D7E" w:rsidRDefault="00124F24" w:rsidP="00C93A11">
            <w:pPr>
              <w:spacing w:before="40" w:after="40"/>
              <w:jc w:val="right"/>
              <w:rPr>
                <w:rFonts w:asciiTheme="minorHAnsi" w:hAnsiTheme="minorHAnsi" w:cs="Calibri"/>
                <w:color w:val="000000"/>
                <w:sz w:val="22"/>
                <w:lang w:eastAsia="en-GB"/>
              </w:rPr>
            </w:pPr>
            <w:r w:rsidRPr="00B73D7E">
              <w:rPr>
                <w:rFonts w:asciiTheme="minorHAnsi" w:hAnsiTheme="minorHAnsi" w:cs="Calibri"/>
                <w:color w:val="000000"/>
                <w:sz w:val="22"/>
                <w:lang w:eastAsia="en-GB"/>
              </w:rPr>
              <w:t>2</w:t>
            </w:r>
            <w:r w:rsidR="00506D91">
              <w:rPr>
                <w:rFonts w:asciiTheme="minorHAnsi" w:hAnsiTheme="minorHAnsi" w:cs="Calibri"/>
                <w:color w:val="000000"/>
                <w:sz w:val="22"/>
                <w:lang w:eastAsia="en-GB"/>
              </w:rPr>
              <w:t>,</w:t>
            </w:r>
            <w:r w:rsidRPr="00B73D7E">
              <w:rPr>
                <w:rFonts w:asciiTheme="minorHAnsi" w:hAnsiTheme="minorHAnsi" w:cs="Calibri"/>
                <w:color w:val="000000"/>
                <w:sz w:val="22"/>
                <w:lang w:eastAsia="en-GB"/>
              </w:rPr>
              <w:t>94</w:t>
            </w:r>
          </w:p>
        </w:tc>
      </w:tr>
      <w:tr w:rsidR="00124F24" w:rsidRPr="00F8728A" w:rsidTr="00145598">
        <w:trPr>
          <w:trHeight w:val="315"/>
          <w:jc w:val="center"/>
        </w:trPr>
        <w:tc>
          <w:tcPr>
            <w:tcW w:w="3114" w:type="dxa"/>
            <w:shd w:val="clear" w:color="auto" w:fill="B8CCE4"/>
            <w:hideMark/>
          </w:tcPr>
          <w:p w:rsidR="00124F24" w:rsidRPr="00F8728A" w:rsidRDefault="00124F24" w:rsidP="00145598">
            <w:pPr>
              <w:spacing w:before="60" w:after="60"/>
              <w:rPr>
                <w:rFonts w:asciiTheme="minorHAnsi" w:hAnsiTheme="minorHAnsi"/>
                <w:b/>
                <w:sz w:val="22"/>
              </w:rPr>
            </w:pPr>
            <w:r w:rsidRPr="00F8728A">
              <w:rPr>
                <w:rFonts w:asciiTheme="minorHAnsi" w:hAnsiTheme="minorHAnsi"/>
                <w:b/>
                <w:sz w:val="22"/>
              </w:rPr>
              <w:t>Песимистичен сценарий +4°C</w:t>
            </w:r>
          </w:p>
        </w:tc>
        <w:tc>
          <w:tcPr>
            <w:tcW w:w="1530" w:type="dxa"/>
            <w:shd w:val="clear" w:color="auto" w:fill="auto"/>
            <w:hideMark/>
          </w:tcPr>
          <w:p w:rsidR="00124F24" w:rsidRPr="00B73D7E" w:rsidRDefault="00124F24" w:rsidP="00C93A11">
            <w:pPr>
              <w:spacing w:before="40" w:after="40"/>
              <w:jc w:val="right"/>
              <w:rPr>
                <w:rFonts w:asciiTheme="minorHAnsi" w:hAnsiTheme="minorHAnsi" w:cs="Calibri"/>
                <w:color w:val="000000"/>
                <w:sz w:val="22"/>
                <w:lang w:eastAsia="en-GB"/>
              </w:rPr>
            </w:pPr>
            <w:r w:rsidRPr="00B73D7E">
              <w:rPr>
                <w:rFonts w:asciiTheme="minorHAnsi" w:hAnsiTheme="minorHAnsi" w:cs="Calibri"/>
                <w:color w:val="000000"/>
                <w:sz w:val="22"/>
                <w:lang w:eastAsia="en-GB"/>
              </w:rPr>
              <w:t>11</w:t>
            </w:r>
            <w:r w:rsidR="00506D91">
              <w:rPr>
                <w:rFonts w:asciiTheme="minorHAnsi" w:hAnsiTheme="minorHAnsi" w:cs="Calibri"/>
                <w:color w:val="000000"/>
                <w:sz w:val="22"/>
                <w:lang w:eastAsia="en-GB"/>
              </w:rPr>
              <w:t xml:space="preserve"> </w:t>
            </w:r>
            <w:r w:rsidRPr="00B73D7E">
              <w:rPr>
                <w:rFonts w:asciiTheme="minorHAnsi" w:hAnsiTheme="minorHAnsi" w:cs="Calibri"/>
                <w:color w:val="000000"/>
                <w:sz w:val="22"/>
                <w:lang w:eastAsia="en-GB"/>
              </w:rPr>
              <w:t>304</w:t>
            </w:r>
            <w:r w:rsidR="00506D91">
              <w:rPr>
                <w:rFonts w:asciiTheme="minorHAnsi" w:hAnsiTheme="minorHAnsi" w:cs="Calibri"/>
                <w:color w:val="000000"/>
                <w:sz w:val="22"/>
                <w:lang w:eastAsia="en-GB"/>
              </w:rPr>
              <w:t>,</w:t>
            </w:r>
            <w:r w:rsidRPr="00B73D7E">
              <w:rPr>
                <w:rFonts w:asciiTheme="minorHAnsi" w:hAnsiTheme="minorHAnsi" w:cs="Calibri"/>
                <w:color w:val="000000"/>
                <w:sz w:val="22"/>
                <w:lang w:eastAsia="en-GB"/>
              </w:rPr>
              <w:t>11</w:t>
            </w:r>
          </w:p>
        </w:tc>
        <w:tc>
          <w:tcPr>
            <w:tcW w:w="3181" w:type="dxa"/>
            <w:shd w:val="clear" w:color="auto" w:fill="auto"/>
            <w:hideMark/>
          </w:tcPr>
          <w:p w:rsidR="00124F24" w:rsidRPr="00B73D7E" w:rsidRDefault="00124F24" w:rsidP="00C93A11">
            <w:pPr>
              <w:spacing w:before="40" w:after="40"/>
              <w:jc w:val="right"/>
              <w:rPr>
                <w:rFonts w:asciiTheme="minorHAnsi" w:hAnsiTheme="minorHAnsi" w:cs="Calibri"/>
                <w:color w:val="000000"/>
                <w:sz w:val="22"/>
                <w:lang w:eastAsia="en-GB"/>
              </w:rPr>
            </w:pPr>
            <w:r w:rsidRPr="00B73D7E">
              <w:rPr>
                <w:rFonts w:asciiTheme="minorHAnsi" w:hAnsiTheme="minorHAnsi" w:cs="Calibri"/>
                <w:color w:val="000000"/>
                <w:sz w:val="22"/>
                <w:lang w:eastAsia="en-GB"/>
              </w:rPr>
              <w:t>1</w:t>
            </w:r>
            <w:r w:rsidR="00506D91">
              <w:rPr>
                <w:rFonts w:asciiTheme="minorHAnsi" w:hAnsiTheme="minorHAnsi" w:cs="Calibri"/>
                <w:color w:val="000000"/>
                <w:sz w:val="22"/>
                <w:lang w:eastAsia="en-GB"/>
              </w:rPr>
              <w:t>,</w:t>
            </w:r>
            <w:r w:rsidRPr="00B73D7E">
              <w:rPr>
                <w:rFonts w:asciiTheme="minorHAnsi" w:hAnsiTheme="minorHAnsi" w:cs="Calibri"/>
                <w:color w:val="000000"/>
                <w:sz w:val="22"/>
                <w:lang w:eastAsia="en-GB"/>
              </w:rPr>
              <w:t>74</w:t>
            </w:r>
          </w:p>
        </w:tc>
      </w:tr>
    </w:tbl>
    <w:p w:rsidR="00D51B0B" w:rsidRPr="00F8728A" w:rsidRDefault="0079412B" w:rsidP="00D51B0B">
      <w:pPr>
        <w:spacing w:before="200" w:after="120" w:line="276" w:lineRule="auto"/>
        <w:jc w:val="both"/>
        <w:rPr>
          <w:rFonts w:ascii="Times New Roman" w:hAnsi="Times New Roman"/>
          <w:color w:val="000000"/>
          <w:sz w:val="24"/>
          <w:szCs w:val="24"/>
          <w:u w:color="000000"/>
          <w:bdr w:val="nil"/>
          <w:lang w:eastAsia="en-GB"/>
        </w:rPr>
      </w:pPr>
      <w:r w:rsidRPr="00F8728A">
        <w:rPr>
          <w:rFonts w:ascii="Times New Roman" w:hAnsi="Times New Roman"/>
          <w:color w:val="000000"/>
          <w:sz w:val="24"/>
          <w:szCs w:val="24"/>
          <w:u w:color="000000"/>
          <w:bdr w:val="nil"/>
          <w:lang w:eastAsia="en-GB"/>
        </w:rPr>
        <w:t xml:space="preserve">Прогнозата (вж. </w:t>
      </w:r>
      <w:r w:rsidR="00506D91">
        <w:rPr>
          <w:rFonts w:ascii="Times New Roman" w:hAnsi="Times New Roman"/>
          <w:b/>
          <w:i/>
          <w:color w:val="000000"/>
          <w:sz w:val="24"/>
          <w:szCs w:val="24"/>
          <w:u w:color="000000"/>
          <w:bdr w:val="nil"/>
          <w:lang w:eastAsia="en-GB"/>
        </w:rPr>
        <w:t>т</w:t>
      </w:r>
      <w:r w:rsidRPr="00F8728A">
        <w:rPr>
          <w:rFonts w:ascii="Times New Roman" w:hAnsi="Times New Roman"/>
          <w:b/>
          <w:i/>
          <w:color w:val="000000"/>
          <w:sz w:val="24"/>
          <w:szCs w:val="24"/>
          <w:u w:color="000000"/>
          <w:bdr w:val="nil"/>
          <w:lang w:eastAsia="en-GB"/>
        </w:rPr>
        <w:t>аблица 22</w:t>
      </w:r>
      <w:r w:rsidRPr="00F8728A">
        <w:rPr>
          <w:rFonts w:ascii="Times New Roman" w:hAnsi="Times New Roman"/>
          <w:color w:val="000000"/>
          <w:sz w:val="24"/>
          <w:szCs w:val="24"/>
          <w:u w:color="000000"/>
          <w:bdr w:val="nil"/>
          <w:lang w:eastAsia="en-GB"/>
        </w:rPr>
        <w:t xml:space="preserve">) показва, че средно, при реалистичния сценарий </w:t>
      </w:r>
      <w:r w:rsidR="00BF2BAB">
        <w:rPr>
          <w:rFonts w:ascii="Times New Roman" w:hAnsi="Times New Roman"/>
          <w:color w:val="000000"/>
          <w:sz w:val="24"/>
          <w:szCs w:val="24"/>
          <w:u w:color="000000"/>
          <w:bdr w:val="nil"/>
          <w:lang w:eastAsia="en-GB"/>
        </w:rPr>
        <w:t>при</w:t>
      </w:r>
      <w:r w:rsidR="00506D91">
        <w:rPr>
          <w:rFonts w:ascii="Times New Roman" w:hAnsi="Times New Roman"/>
          <w:color w:val="000000"/>
          <w:sz w:val="24"/>
          <w:szCs w:val="24"/>
          <w:u w:color="000000"/>
          <w:bdr w:val="nil"/>
          <w:lang w:eastAsia="en-GB"/>
        </w:rPr>
        <w:t xml:space="preserve"> </w:t>
      </w:r>
      <w:r w:rsidRPr="00F8728A">
        <w:rPr>
          <w:rFonts w:ascii="Times New Roman" w:hAnsi="Times New Roman"/>
          <w:color w:val="000000"/>
          <w:sz w:val="24"/>
          <w:szCs w:val="24"/>
          <w:u w:color="000000"/>
          <w:bdr w:val="nil"/>
          <w:lang w:eastAsia="en-GB"/>
        </w:rPr>
        <w:t>+2°</w:t>
      </w:r>
      <w:r w:rsidRPr="00B73D7E">
        <w:rPr>
          <w:rFonts w:ascii="Times New Roman" w:hAnsi="Times New Roman"/>
          <w:color w:val="000000"/>
          <w:sz w:val="24"/>
          <w:szCs w:val="24"/>
          <w:u w:color="000000"/>
          <w:bdr w:val="nil"/>
          <w:lang w:eastAsia="en-GB"/>
        </w:rPr>
        <w:t>C</w:t>
      </w:r>
      <w:r w:rsidRPr="00F8728A">
        <w:rPr>
          <w:rFonts w:ascii="Times New Roman" w:hAnsi="Times New Roman"/>
          <w:color w:val="000000"/>
          <w:sz w:val="24"/>
          <w:szCs w:val="24"/>
          <w:u w:color="000000"/>
          <w:bdr w:val="nil"/>
          <w:lang w:eastAsia="en-GB"/>
        </w:rPr>
        <w:t xml:space="preserve"> общият паричен поток в ННС е 8</w:t>
      </w:r>
      <w:r w:rsidR="00506D91">
        <w:rPr>
          <w:rFonts w:ascii="Times New Roman" w:hAnsi="Times New Roman"/>
          <w:color w:val="000000"/>
          <w:sz w:val="24"/>
          <w:szCs w:val="24"/>
          <w:u w:color="000000"/>
          <w:bdr w:val="nil"/>
          <w:lang w:eastAsia="en-GB"/>
        </w:rPr>
        <w:t>,</w:t>
      </w:r>
      <w:r w:rsidRPr="00F8728A">
        <w:rPr>
          <w:rFonts w:ascii="Times New Roman" w:hAnsi="Times New Roman"/>
          <w:color w:val="000000"/>
          <w:sz w:val="24"/>
          <w:szCs w:val="24"/>
          <w:u w:color="000000"/>
          <w:bdr w:val="nil"/>
          <w:lang w:eastAsia="en-GB"/>
        </w:rPr>
        <w:t>7 м</w:t>
      </w:r>
      <w:r w:rsidR="00506D91">
        <w:rPr>
          <w:rFonts w:ascii="Times New Roman" w:hAnsi="Times New Roman"/>
          <w:color w:val="000000"/>
          <w:sz w:val="24"/>
          <w:szCs w:val="24"/>
          <w:u w:color="000000"/>
          <w:bdr w:val="nil"/>
          <w:lang w:eastAsia="en-GB"/>
        </w:rPr>
        <w:t>лрд.</w:t>
      </w:r>
      <w:r w:rsidRPr="00F8728A">
        <w:rPr>
          <w:rFonts w:ascii="Times New Roman" w:hAnsi="Times New Roman"/>
          <w:color w:val="000000"/>
          <w:sz w:val="24"/>
          <w:szCs w:val="24"/>
          <w:u w:color="000000"/>
          <w:bdr w:val="nil"/>
          <w:lang w:eastAsia="en-GB"/>
        </w:rPr>
        <w:t xml:space="preserve"> евро и 20</w:t>
      </w:r>
      <w:r w:rsidR="00506D91">
        <w:rPr>
          <w:rFonts w:ascii="Times New Roman" w:hAnsi="Times New Roman"/>
          <w:color w:val="000000"/>
          <w:sz w:val="24"/>
          <w:szCs w:val="24"/>
          <w:u w:color="000000"/>
          <w:bdr w:val="nil"/>
          <w:lang w:eastAsia="en-GB"/>
        </w:rPr>
        <w:t>,</w:t>
      </w:r>
      <w:r w:rsidRPr="00F8728A">
        <w:rPr>
          <w:rFonts w:ascii="Times New Roman" w:hAnsi="Times New Roman"/>
          <w:color w:val="000000"/>
          <w:sz w:val="24"/>
          <w:szCs w:val="24"/>
          <w:u w:color="000000"/>
          <w:bdr w:val="nil"/>
          <w:lang w:eastAsia="en-GB"/>
        </w:rPr>
        <w:t xml:space="preserve">5 милиарда евро при реалистичния сценарий </w:t>
      </w:r>
      <w:r w:rsidR="00BF2BAB">
        <w:rPr>
          <w:rFonts w:ascii="Times New Roman" w:hAnsi="Times New Roman"/>
          <w:color w:val="000000"/>
          <w:sz w:val="24"/>
          <w:szCs w:val="24"/>
          <w:u w:color="000000"/>
          <w:bdr w:val="nil"/>
          <w:lang w:eastAsia="en-GB"/>
        </w:rPr>
        <w:t>при</w:t>
      </w:r>
      <w:r w:rsidRPr="00F8728A">
        <w:rPr>
          <w:rFonts w:ascii="Times New Roman" w:hAnsi="Times New Roman"/>
          <w:color w:val="000000"/>
          <w:sz w:val="24"/>
          <w:szCs w:val="24"/>
          <w:u w:color="000000"/>
          <w:bdr w:val="nil"/>
          <w:lang w:eastAsia="en-GB"/>
        </w:rPr>
        <w:t xml:space="preserve"> +4°С. При оптимистичния сценарий</w:t>
      </w:r>
      <w:r w:rsidR="00BF2BAB">
        <w:rPr>
          <w:rFonts w:ascii="Times New Roman" w:hAnsi="Times New Roman"/>
          <w:color w:val="000000"/>
          <w:sz w:val="24"/>
          <w:szCs w:val="24"/>
          <w:u w:color="000000"/>
          <w:bdr w:val="nil"/>
          <w:lang w:eastAsia="en-GB"/>
        </w:rPr>
        <w:t>,</w:t>
      </w:r>
      <w:r w:rsidRPr="00F8728A">
        <w:rPr>
          <w:rFonts w:ascii="Times New Roman" w:hAnsi="Times New Roman"/>
          <w:color w:val="000000"/>
          <w:sz w:val="24"/>
          <w:szCs w:val="24"/>
          <w:u w:color="000000"/>
          <w:bdr w:val="nil"/>
          <w:lang w:eastAsia="en-GB"/>
        </w:rPr>
        <w:t xml:space="preserve"> прогнозният паричен поток в ННС е 13</w:t>
      </w:r>
      <w:r w:rsidR="00506D91">
        <w:rPr>
          <w:rFonts w:ascii="Times New Roman" w:hAnsi="Times New Roman"/>
          <w:color w:val="000000"/>
          <w:sz w:val="24"/>
          <w:szCs w:val="24"/>
          <w:u w:color="000000"/>
          <w:bdr w:val="nil"/>
          <w:lang w:eastAsia="en-GB"/>
        </w:rPr>
        <w:t>,</w:t>
      </w:r>
      <w:r w:rsidRPr="00F8728A">
        <w:rPr>
          <w:rFonts w:ascii="Times New Roman" w:hAnsi="Times New Roman"/>
          <w:color w:val="000000"/>
          <w:sz w:val="24"/>
          <w:szCs w:val="24"/>
          <w:u w:color="000000"/>
          <w:bdr w:val="nil"/>
          <w:lang w:eastAsia="en-GB"/>
        </w:rPr>
        <w:t xml:space="preserve">2 млрд. </w:t>
      </w:r>
      <w:r w:rsidR="00506D91">
        <w:rPr>
          <w:rFonts w:ascii="Times New Roman" w:hAnsi="Times New Roman"/>
          <w:color w:val="000000"/>
          <w:sz w:val="24"/>
          <w:szCs w:val="24"/>
          <w:u w:color="000000"/>
          <w:bdr w:val="nil"/>
          <w:lang w:eastAsia="en-GB"/>
        </w:rPr>
        <w:t>е</w:t>
      </w:r>
      <w:r w:rsidRPr="00F8728A">
        <w:rPr>
          <w:rFonts w:ascii="Times New Roman" w:hAnsi="Times New Roman"/>
          <w:color w:val="000000"/>
          <w:sz w:val="24"/>
          <w:szCs w:val="24"/>
          <w:u w:color="000000"/>
          <w:bdr w:val="nil"/>
          <w:lang w:eastAsia="en-GB"/>
        </w:rPr>
        <w:t xml:space="preserve">вро при </w:t>
      </w:r>
      <w:r w:rsidR="00BF2BAB">
        <w:rPr>
          <w:rFonts w:ascii="Times New Roman" w:hAnsi="Times New Roman"/>
          <w:color w:val="000000"/>
          <w:sz w:val="24"/>
          <w:szCs w:val="24"/>
          <w:u w:color="000000"/>
          <w:bdr w:val="nil"/>
          <w:lang w:eastAsia="en-GB"/>
        </w:rPr>
        <w:t>сценарий за</w:t>
      </w:r>
      <w:r w:rsidRPr="00F8728A">
        <w:rPr>
          <w:rFonts w:ascii="Times New Roman" w:hAnsi="Times New Roman"/>
          <w:color w:val="000000"/>
          <w:sz w:val="24"/>
          <w:szCs w:val="24"/>
          <w:u w:color="000000"/>
          <w:bdr w:val="nil"/>
          <w:lang w:eastAsia="en-GB"/>
        </w:rPr>
        <w:t xml:space="preserve"> +2°</w:t>
      </w:r>
      <w:r w:rsidRPr="00B73D7E">
        <w:rPr>
          <w:rFonts w:ascii="Times New Roman" w:hAnsi="Times New Roman"/>
          <w:color w:val="000000"/>
          <w:sz w:val="24"/>
          <w:szCs w:val="24"/>
          <w:u w:color="000000"/>
          <w:bdr w:val="nil"/>
          <w:lang w:eastAsia="en-GB"/>
        </w:rPr>
        <w:t>C</w:t>
      </w:r>
      <w:r w:rsidRPr="00F8728A">
        <w:rPr>
          <w:rFonts w:ascii="Times New Roman" w:hAnsi="Times New Roman"/>
          <w:color w:val="000000"/>
          <w:sz w:val="24"/>
          <w:szCs w:val="24"/>
          <w:u w:color="000000"/>
          <w:bdr w:val="nil"/>
          <w:lang w:eastAsia="en-GB"/>
        </w:rPr>
        <w:t xml:space="preserve"> и 29,7 млрд. </w:t>
      </w:r>
      <w:r w:rsidR="00506D91">
        <w:rPr>
          <w:rFonts w:ascii="Times New Roman" w:hAnsi="Times New Roman"/>
          <w:color w:val="000000"/>
          <w:sz w:val="24"/>
          <w:szCs w:val="24"/>
          <w:u w:color="000000"/>
          <w:bdr w:val="nil"/>
          <w:lang w:eastAsia="en-GB"/>
        </w:rPr>
        <w:t>е</w:t>
      </w:r>
      <w:r w:rsidRPr="00F8728A">
        <w:rPr>
          <w:rFonts w:ascii="Times New Roman" w:hAnsi="Times New Roman"/>
          <w:color w:val="000000"/>
          <w:sz w:val="24"/>
          <w:szCs w:val="24"/>
          <w:u w:color="000000"/>
          <w:bdr w:val="nil"/>
          <w:lang w:eastAsia="en-GB"/>
        </w:rPr>
        <w:t xml:space="preserve">вро </w:t>
      </w:r>
      <w:r w:rsidR="00BF2BAB">
        <w:rPr>
          <w:rFonts w:ascii="Times New Roman" w:hAnsi="Times New Roman"/>
          <w:color w:val="000000"/>
          <w:sz w:val="24"/>
          <w:szCs w:val="24"/>
          <w:u w:color="000000"/>
          <w:bdr w:val="nil"/>
          <w:lang w:eastAsia="en-GB"/>
        </w:rPr>
        <w:t xml:space="preserve">- </w:t>
      </w:r>
      <w:r w:rsidRPr="00F8728A">
        <w:rPr>
          <w:rFonts w:ascii="Times New Roman" w:hAnsi="Times New Roman"/>
          <w:color w:val="000000"/>
          <w:sz w:val="24"/>
          <w:szCs w:val="24"/>
          <w:u w:color="000000"/>
          <w:bdr w:val="nil"/>
          <w:lang w:eastAsia="en-GB"/>
        </w:rPr>
        <w:t xml:space="preserve">при </w:t>
      </w:r>
      <w:r w:rsidR="00BF2BAB">
        <w:rPr>
          <w:rFonts w:ascii="Times New Roman" w:hAnsi="Times New Roman"/>
          <w:color w:val="000000"/>
          <w:sz w:val="24"/>
          <w:szCs w:val="24"/>
          <w:u w:color="000000"/>
          <w:bdr w:val="nil"/>
          <w:lang w:eastAsia="en-GB"/>
        </w:rPr>
        <w:t>+</w:t>
      </w:r>
      <w:r w:rsidRPr="00F8728A">
        <w:rPr>
          <w:rFonts w:ascii="Times New Roman" w:hAnsi="Times New Roman"/>
          <w:color w:val="000000"/>
          <w:sz w:val="24"/>
          <w:szCs w:val="24"/>
          <w:u w:color="000000"/>
          <w:bdr w:val="nil"/>
          <w:lang w:eastAsia="en-GB"/>
        </w:rPr>
        <w:t>4°</w:t>
      </w:r>
      <w:r w:rsidRPr="00B73D7E">
        <w:rPr>
          <w:rFonts w:ascii="Times New Roman" w:hAnsi="Times New Roman"/>
          <w:color w:val="000000"/>
          <w:sz w:val="24"/>
          <w:szCs w:val="24"/>
          <w:u w:color="000000"/>
          <w:bdr w:val="nil"/>
          <w:lang w:eastAsia="en-GB"/>
        </w:rPr>
        <w:t>C</w:t>
      </w:r>
      <w:r w:rsidRPr="00F8728A">
        <w:rPr>
          <w:rFonts w:ascii="Times New Roman" w:hAnsi="Times New Roman"/>
          <w:color w:val="000000"/>
          <w:sz w:val="24"/>
          <w:szCs w:val="24"/>
          <w:u w:color="000000"/>
          <w:bdr w:val="nil"/>
          <w:lang w:eastAsia="en-GB"/>
        </w:rPr>
        <w:t>. Дори в песимистичния сценарий бъдещият паричен поток в ННС се очаква да възлезе на 4</w:t>
      </w:r>
      <w:r w:rsidR="00BF2BAB">
        <w:rPr>
          <w:rFonts w:ascii="Times New Roman" w:hAnsi="Times New Roman"/>
          <w:color w:val="000000"/>
          <w:sz w:val="24"/>
          <w:szCs w:val="24"/>
          <w:u w:color="000000"/>
          <w:bdr w:val="nil"/>
          <w:lang w:eastAsia="en-GB"/>
        </w:rPr>
        <w:t>,</w:t>
      </w:r>
      <w:r w:rsidRPr="00F8728A">
        <w:rPr>
          <w:rFonts w:ascii="Times New Roman" w:hAnsi="Times New Roman"/>
          <w:color w:val="000000"/>
          <w:sz w:val="24"/>
          <w:szCs w:val="24"/>
          <w:u w:color="000000"/>
          <w:bdr w:val="nil"/>
          <w:lang w:eastAsia="en-GB"/>
        </w:rPr>
        <w:t xml:space="preserve">2 млрд. </w:t>
      </w:r>
      <w:r w:rsidR="00506D91">
        <w:rPr>
          <w:rFonts w:ascii="Times New Roman" w:hAnsi="Times New Roman"/>
          <w:color w:val="000000"/>
          <w:sz w:val="24"/>
          <w:szCs w:val="24"/>
          <w:u w:color="000000"/>
          <w:bdr w:val="nil"/>
          <w:lang w:eastAsia="en-GB"/>
        </w:rPr>
        <w:t>е</w:t>
      </w:r>
      <w:r w:rsidRPr="00F8728A">
        <w:rPr>
          <w:rFonts w:ascii="Times New Roman" w:hAnsi="Times New Roman"/>
          <w:color w:val="000000"/>
          <w:sz w:val="24"/>
          <w:szCs w:val="24"/>
          <w:u w:color="000000"/>
          <w:bdr w:val="nil"/>
          <w:lang w:eastAsia="en-GB"/>
        </w:rPr>
        <w:t>вро при +2°</w:t>
      </w:r>
      <w:r w:rsidRPr="00B73D7E">
        <w:rPr>
          <w:rFonts w:ascii="Times New Roman" w:hAnsi="Times New Roman"/>
          <w:color w:val="000000"/>
          <w:sz w:val="24"/>
          <w:szCs w:val="24"/>
          <w:u w:color="000000"/>
          <w:bdr w:val="nil"/>
          <w:lang w:eastAsia="en-GB"/>
        </w:rPr>
        <w:t>C</w:t>
      </w:r>
      <w:r w:rsidRPr="00F8728A">
        <w:rPr>
          <w:rFonts w:ascii="Times New Roman" w:hAnsi="Times New Roman"/>
          <w:color w:val="000000"/>
          <w:sz w:val="24"/>
          <w:szCs w:val="24"/>
          <w:u w:color="000000"/>
          <w:bdr w:val="nil"/>
          <w:lang w:eastAsia="en-GB"/>
        </w:rPr>
        <w:t xml:space="preserve"> и 11</w:t>
      </w:r>
      <w:r w:rsidR="00BF2BAB">
        <w:rPr>
          <w:rFonts w:ascii="Times New Roman" w:hAnsi="Times New Roman"/>
          <w:color w:val="000000"/>
          <w:sz w:val="24"/>
          <w:szCs w:val="24"/>
          <w:u w:color="000000"/>
          <w:bdr w:val="nil"/>
          <w:lang w:eastAsia="en-GB"/>
        </w:rPr>
        <w:t>,</w:t>
      </w:r>
      <w:r w:rsidRPr="00F8728A">
        <w:rPr>
          <w:rFonts w:ascii="Times New Roman" w:hAnsi="Times New Roman"/>
          <w:color w:val="000000"/>
          <w:sz w:val="24"/>
          <w:szCs w:val="24"/>
          <w:u w:color="000000"/>
          <w:bdr w:val="nil"/>
          <w:lang w:eastAsia="en-GB"/>
        </w:rPr>
        <w:t xml:space="preserve">3 млрд. </w:t>
      </w:r>
      <w:r w:rsidR="00BF2BAB">
        <w:rPr>
          <w:rFonts w:ascii="Times New Roman" w:hAnsi="Times New Roman"/>
          <w:color w:val="000000"/>
          <w:sz w:val="24"/>
          <w:szCs w:val="24"/>
          <w:u w:color="000000"/>
          <w:bdr w:val="nil"/>
          <w:lang w:eastAsia="en-GB"/>
        </w:rPr>
        <w:t>е</w:t>
      </w:r>
      <w:r w:rsidRPr="00F8728A">
        <w:rPr>
          <w:rFonts w:ascii="Times New Roman" w:hAnsi="Times New Roman"/>
          <w:color w:val="000000"/>
          <w:sz w:val="24"/>
          <w:szCs w:val="24"/>
          <w:u w:color="000000"/>
          <w:bdr w:val="nil"/>
          <w:lang w:eastAsia="en-GB"/>
        </w:rPr>
        <w:t>вро при +4°</w:t>
      </w:r>
      <w:r w:rsidRPr="00B73D7E">
        <w:rPr>
          <w:rFonts w:ascii="Times New Roman" w:hAnsi="Times New Roman"/>
          <w:color w:val="000000"/>
          <w:sz w:val="24"/>
          <w:szCs w:val="24"/>
          <w:u w:color="000000"/>
          <w:bdr w:val="nil"/>
          <w:lang w:eastAsia="en-GB"/>
        </w:rPr>
        <w:t>C</w:t>
      </w:r>
      <w:r w:rsidRPr="00F8728A">
        <w:rPr>
          <w:rFonts w:ascii="Times New Roman" w:hAnsi="Times New Roman"/>
          <w:color w:val="000000"/>
          <w:sz w:val="24"/>
          <w:szCs w:val="24"/>
          <w:u w:color="000000"/>
          <w:bdr w:val="nil"/>
          <w:lang w:eastAsia="en-GB"/>
        </w:rPr>
        <w:t>.</w:t>
      </w:r>
    </w:p>
    <w:p w:rsidR="00D51B0B" w:rsidRPr="00F8728A" w:rsidRDefault="0079412B" w:rsidP="00D51B0B">
      <w:pPr>
        <w:spacing w:after="120" w:line="276" w:lineRule="auto"/>
        <w:jc w:val="both"/>
        <w:rPr>
          <w:rFonts w:ascii="Times New Roman" w:hAnsi="Times New Roman"/>
          <w:color w:val="000000"/>
          <w:sz w:val="24"/>
          <w:szCs w:val="24"/>
          <w:u w:color="000000"/>
          <w:bdr w:val="nil"/>
          <w:lang w:eastAsia="en-GB"/>
        </w:rPr>
      </w:pPr>
      <w:r w:rsidRPr="00F8728A">
        <w:rPr>
          <w:rFonts w:ascii="Times New Roman" w:hAnsi="Times New Roman"/>
          <w:color w:val="000000"/>
          <w:sz w:val="24"/>
          <w:szCs w:val="24"/>
          <w:u w:color="000000"/>
          <w:bdr w:val="nil"/>
          <w:lang w:eastAsia="en-GB"/>
        </w:rPr>
        <w:t>В рамките на настоящия анализ, ефективността на разходите на мерките за адаптиране се използва за количествено определяне на ефекта от инвестициите при всеки сценарий. При реалистичния сценарий с +2°</w:t>
      </w:r>
      <w:r w:rsidRPr="00B73D7E">
        <w:rPr>
          <w:rFonts w:ascii="Times New Roman" w:hAnsi="Times New Roman"/>
          <w:color w:val="000000"/>
          <w:sz w:val="24"/>
          <w:szCs w:val="24"/>
          <w:u w:color="000000"/>
          <w:bdr w:val="nil"/>
          <w:lang w:eastAsia="en-GB"/>
        </w:rPr>
        <w:t>C</w:t>
      </w:r>
      <w:r w:rsidRPr="00F8728A">
        <w:rPr>
          <w:rFonts w:ascii="Times New Roman" w:hAnsi="Times New Roman"/>
          <w:color w:val="000000"/>
          <w:sz w:val="24"/>
          <w:szCs w:val="24"/>
          <w:u w:color="000000"/>
          <w:bdr w:val="nil"/>
          <w:lang w:eastAsia="en-GB"/>
        </w:rPr>
        <w:t xml:space="preserve"> съотношението ползи/разходи е 1</w:t>
      </w:r>
      <w:r w:rsidR="00BF2BAB">
        <w:rPr>
          <w:rFonts w:ascii="Times New Roman" w:hAnsi="Times New Roman"/>
          <w:color w:val="000000"/>
          <w:sz w:val="24"/>
          <w:szCs w:val="24"/>
          <w:u w:color="000000"/>
          <w:bdr w:val="nil"/>
          <w:lang w:eastAsia="en-GB"/>
        </w:rPr>
        <w:t>,</w:t>
      </w:r>
      <w:r w:rsidRPr="00F8728A">
        <w:rPr>
          <w:rFonts w:ascii="Times New Roman" w:hAnsi="Times New Roman"/>
          <w:color w:val="000000"/>
          <w:sz w:val="24"/>
          <w:szCs w:val="24"/>
          <w:u w:color="000000"/>
          <w:bdr w:val="nil"/>
          <w:lang w:eastAsia="en-GB"/>
        </w:rPr>
        <w:t xml:space="preserve">57 </w:t>
      </w:r>
      <w:r w:rsidR="00BF2BAB">
        <w:rPr>
          <w:rFonts w:ascii="Times New Roman" w:hAnsi="Times New Roman"/>
          <w:color w:val="000000"/>
          <w:sz w:val="24"/>
          <w:szCs w:val="24"/>
          <w:u w:color="000000"/>
          <w:bdr w:val="nil"/>
          <w:lang w:eastAsia="en-GB"/>
        </w:rPr>
        <w:t>евро</w:t>
      </w:r>
      <w:r w:rsidRPr="00F8728A">
        <w:rPr>
          <w:rFonts w:ascii="Times New Roman" w:hAnsi="Times New Roman"/>
          <w:color w:val="000000"/>
          <w:sz w:val="24"/>
          <w:szCs w:val="24"/>
          <w:u w:color="000000"/>
          <w:bdr w:val="nil"/>
          <w:lang w:eastAsia="en-GB"/>
        </w:rPr>
        <w:t xml:space="preserve"> (т.е. ползите, постигнати за </w:t>
      </w:r>
      <w:r w:rsidR="00BF2BAB">
        <w:rPr>
          <w:rFonts w:ascii="Times New Roman" w:hAnsi="Times New Roman"/>
          <w:color w:val="000000"/>
          <w:sz w:val="24"/>
          <w:szCs w:val="24"/>
          <w:u w:color="000000"/>
          <w:bdr w:val="nil"/>
          <w:lang w:eastAsia="en-GB"/>
        </w:rPr>
        <w:t xml:space="preserve">всяко </w:t>
      </w:r>
      <w:r w:rsidRPr="00F8728A">
        <w:rPr>
          <w:rFonts w:ascii="Times New Roman" w:hAnsi="Times New Roman"/>
          <w:color w:val="000000"/>
          <w:sz w:val="24"/>
          <w:szCs w:val="24"/>
          <w:u w:color="000000"/>
          <w:bdr w:val="nil"/>
          <w:lang w:eastAsia="en-GB"/>
        </w:rPr>
        <w:t>изразходвано евро) и 2</w:t>
      </w:r>
      <w:r w:rsidR="00BF2BAB">
        <w:rPr>
          <w:rFonts w:ascii="Times New Roman" w:hAnsi="Times New Roman"/>
          <w:color w:val="000000"/>
          <w:sz w:val="24"/>
          <w:szCs w:val="24"/>
          <w:u w:color="000000"/>
          <w:bdr w:val="nil"/>
          <w:lang w:eastAsia="en-GB"/>
        </w:rPr>
        <w:t>,</w:t>
      </w:r>
      <w:r w:rsidRPr="00F8728A">
        <w:rPr>
          <w:rFonts w:ascii="Times New Roman" w:hAnsi="Times New Roman"/>
          <w:color w:val="000000"/>
          <w:sz w:val="24"/>
          <w:szCs w:val="24"/>
          <w:u w:color="000000"/>
          <w:bdr w:val="nil"/>
          <w:lang w:eastAsia="en-GB"/>
        </w:rPr>
        <w:t xml:space="preserve">34 </w:t>
      </w:r>
      <w:r w:rsidR="00BF2BAB">
        <w:rPr>
          <w:rFonts w:ascii="Times New Roman" w:hAnsi="Times New Roman"/>
          <w:color w:val="000000"/>
          <w:sz w:val="24"/>
          <w:szCs w:val="24"/>
          <w:u w:color="000000"/>
          <w:bdr w:val="nil"/>
          <w:lang w:eastAsia="en-GB"/>
        </w:rPr>
        <w:t>евро</w:t>
      </w:r>
      <w:r w:rsidRPr="00F8728A">
        <w:rPr>
          <w:rFonts w:ascii="Times New Roman" w:hAnsi="Times New Roman"/>
          <w:color w:val="000000"/>
          <w:sz w:val="24"/>
          <w:szCs w:val="24"/>
          <w:u w:color="000000"/>
          <w:bdr w:val="nil"/>
          <w:lang w:eastAsia="en-GB"/>
        </w:rPr>
        <w:t xml:space="preserve"> при реалистичния сценарий +4°</w:t>
      </w:r>
      <w:r w:rsidRPr="00B73D7E">
        <w:rPr>
          <w:rFonts w:ascii="Times New Roman" w:hAnsi="Times New Roman"/>
          <w:color w:val="000000"/>
          <w:sz w:val="24"/>
          <w:szCs w:val="24"/>
          <w:u w:color="000000"/>
          <w:bdr w:val="nil"/>
          <w:lang w:eastAsia="en-GB"/>
        </w:rPr>
        <w:t>C</w:t>
      </w:r>
      <w:r w:rsidRPr="00F8728A">
        <w:rPr>
          <w:rFonts w:ascii="Times New Roman" w:hAnsi="Times New Roman"/>
          <w:color w:val="000000"/>
          <w:sz w:val="24"/>
          <w:szCs w:val="24"/>
          <w:u w:color="000000"/>
          <w:bdr w:val="nil"/>
          <w:lang w:eastAsia="en-GB"/>
        </w:rPr>
        <w:t>. Ползата е по-висока при повишаване на температурата с 4°</w:t>
      </w:r>
      <w:r w:rsidRPr="00B73D7E">
        <w:rPr>
          <w:rFonts w:ascii="Times New Roman" w:hAnsi="Times New Roman"/>
          <w:color w:val="000000"/>
          <w:sz w:val="24"/>
          <w:szCs w:val="24"/>
          <w:u w:color="000000"/>
          <w:bdr w:val="nil"/>
          <w:lang w:eastAsia="en-GB"/>
        </w:rPr>
        <w:t>C</w:t>
      </w:r>
      <w:r w:rsidRPr="00F8728A">
        <w:rPr>
          <w:rFonts w:ascii="Times New Roman" w:hAnsi="Times New Roman"/>
          <w:color w:val="000000"/>
          <w:sz w:val="24"/>
          <w:szCs w:val="24"/>
          <w:u w:color="000000"/>
          <w:bdr w:val="nil"/>
          <w:lang w:eastAsia="en-GB"/>
        </w:rPr>
        <w:t xml:space="preserve">. В този случай ползата е 2,94 </w:t>
      </w:r>
      <w:r w:rsidR="00BF2BAB">
        <w:rPr>
          <w:rFonts w:ascii="Times New Roman" w:hAnsi="Times New Roman"/>
          <w:color w:val="000000"/>
          <w:sz w:val="24"/>
          <w:szCs w:val="24"/>
          <w:u w:color="000000"/>
          <w:bdr w:val="nil"/>
          <w:lang w:eastAsia="en-GB"/>
        </w:rPr>
        <w:t xml:space="preserve">евро за всяко </w:t>
      </w:r>
      <w:r w:rsidRPr="00F8728A">
        <w:rPr>
          <w:rFonts w:ascii="Times New Roman" w:hAnsi="Times New Roman"/>
          <w:color w:val="000000"/>
          <w:sz w:val="24"/>
          <w:szCs w:val="24"/>
          <w:u w:color="000000"/>
          <w:bdr w:val="nil"/>
          <w:lang w:eastAsia="en-GB"/>
        </w:rPr>
        <w:t>евро инвестиция при оптимистичния сценарий и 1</w:t>
      </w:r>
      <w:r w:rsidR="00BF2BAB">
        <w:rPr>
          <w:rFonts w:ascii="Times New Roman" w:hAnsi="Times New Roman"/>
          <w:color w:val="000000"/>
          <w:sz w:val="24"/>
          <w:szCs w:val="24"/>
          <w:u w:color="000000"/>
          <w:bdr w:val="nil"/>
          <w:lang w:eastAsia="en-GB"/>
        </w:rPr>
        <w:t>,</w:t>
      </w:r>
      <w:r w:rsidRPr="00F8728A">
        <w:rPr>
          <w:rFonts w:ascii="Times New Roman" w:hAnsi="Times New Roman"/>
          <w:color w:val="000000"/>
          <w:sz w:val="24"/>
          <w:szCs w:val="24"/>
          <w:u w:color="000000"/>
          <w:bdr w:val="nil"/>
          <w:lang w:eastAsia="en-GB"/>
        </w:rPr>
        <w:t xml:space="preserve">74 </w:t>
      </w:r>
      <w:r w:rsidR="00BF2BAB">
        <w:rPr>
          <w:rFonts w:ascii="Times New Roman" w:hAnsi="Times New Roman"/>
          <w:color w:val="000000"/>
          <w:sz w:val="24"/>
          <w:szCs w:val="24"/>
          <w:u w:color="000000"/>
          <w:bdr w:val="nil"/>
          <w:lang w:eastAsia="en-GB"/>
        </w:rPr>
        <w:t xml:space="preserve">евро </w:t>
      </w:r>
      <w:r w:rsidRPr="00F8728A">
        <w:rPr>
          <w:rFonts w:ascii="Times New Roman" w:hAnsi="Times New Roman"/>
          <w:color w:val="000000"/>
          <w:sz w:val="24"/>
          <w:szCs w:val="24"/>
          <w:u w:color="000000"/>
          <w:bdr w:val="nil"/>
          <w:lang w:eastAsia="en-GB"/>
        </w:rPr>
        <w:t xml:space="preserve">за </w:t>
      </w:r>
      <w:r w:rsidR="00BF2BAB">
        <w:rPr>
          <w:rFonts w:ascii="Times New Roman" w:hAnsi="Times New Roman"/>
          <w:color w:val="000000"/>
          <w:sz w:val="24"/>
          <w:szCs w:val="24"/>
          <w:u w:color="000000"/>
          <w:bdr w:val="nil"/>
          <w:lang w:eastAsia="en-GB"/>
        </w:rPr>
        <w:t>всяко</w:t>
      </w:r>
      <w:r w:rsidR="00BF2BAB" w:rsidRPr="00F8728A">
        <w:rPr>
          <w:rFonts w:ascii="Times New Roman" w:hAnsi="Times New Roman"/>
          <w:color w:val="000000"/>
          <w:sz w:val="24"/>
          <w:szCs w:val="24"/>
          <w:u w:color="000000"/>
          <w:bdr w:val="nil"/>
          <w:lang w:eastAsia="en-GB"/>
        </w:rPr>
        <w:t xml:space="preserve"> </w:t>
      </w:r>
      <w:r w:rsidRPr="00F8728A">
        <w:rPr>
          <w:rFonts w:ascii="Times New Roman" w:hAnsi="Times New Roman"/>
          <w:color w:val="000000"/>
          <w:sz w:val="24"/>
          <w:szCs w:val="24"/>
          <w:u w:color="000000"/>
          <w:bdr w:val="nil"/>
          <w:lang w:eastAsia="en-GB"/>
        </w:rPr>
        <w:t>евро инвестиция при песимистичния сценарий. По-висок ефект от инвестициите се наблюдава при сценария +4°</w:t>
      </w:r>
      <w:r w:rsidRPr="00B73D7E">
        <w:rPr>
          <w:rFonts w:ascii="Times New Roman" w:hAnsi="Times New Roman"/>
          <w:color w:val="000000"/>
          <w:sz w:val="24"/>
          <w:szCs w:val="24"/>
          <w:u w:color="000000"/>
          <w:bdr w:val="nil"/>
          <w:lang w:eastAsia="en-GB"/>
        </w:rPr>
        <w:t>C</w:t>
      </w:r>
      <w:r w:rsidRPr="00F8728A">
        <w:rPr>
          <w:rFonts w:ascii="Times New Roman" w:hAnsi="Times New Roman"/>
          <w:color w:val="000000"/>
          <w:sz w:val="24"/>
          <w:szCs w:val="24"/>
          <w:u w:color="000000"/>
          <w:bdr w:val="nil"/>
          <w:lang w:eastAsia="en-GB"/>
        </w:rPr>
        <w:t>, тъй като средната температура на въздуха през периода 1991-2015 г. вече се е увеличила с + 1.6 °</w:t>
      </w:r>
      <w:r w:rsidRPr="00B73D7E">
        <w:rPr>
          <w:rFonts w:ascii="Times New Roman" w:hAnsi="Times New Roman"/>
          <w:color w:val="000000"/>
          <w:sz w:val="24"/>
          <w:szCs w:val="24"/>
          <w:u w:color="000000"/>
          <w:bdr w:val="nil"/>
          <w:lang w:eastAsia="en-GB"/>
        </w:rPr>
        <w:t>C</w:t>
      </w:r>
      <w:r w:rsidRPr="00F8728A">
        <w:rPr>
          <w:rFonts w:ascii="Times New Roman" w:hAnsi="Times New Roman"/>
          <w:color w:val="000000"/>
          <w:sz w:val="24"/>
          <w:szCs w:val="24"/>
          <w:u w:color="000000"/>
          <w:bdr w:val="nil"/>
          <w:lang w:eastAsia="en-GB"/>
        </w:rPr>
        <w:t>. Така</w:t>
      </w:r>
      <w:r w:rsidR="00423B4E" w:rsidRPr="00F8728A">
        <w:rPr>
          <w:rFonts w:ascii="Times New Roman" w:hAnsi="Times New Roman"/>
          <w:color w:val="000000"/>
          <w:sz w:val="24"/>
          <w:szCs w:val="24"/>
          <w:u w:color="000000"/>
          <w:bdr w:val="nil"/>
          <w:lang w:eastAsia="en-GB"/>
        </w:rPr>
        <w:t xml:space="preserve"> че</w:t>
      </w:r>
      <w:r w:rsidRPr="00F8728A">
        <w:rPr>
          <w:rFonts w:ascii="Times New Roman" w:hAnsi="Times New Roman"/>
          <w:color w:val="000000"/>
          <w:sz w:val="24"/>
          <w:szCs w:val="24"/>
          <w:u w:color="000000"/>
          <w:bdr w:val="nil"/>
          <w:lang w:eastAsia="en-GB"/>
        </w:rPr>
        <w:t xml:space="preserve"> досега нивото на сценария +2°</w:t>
      </w:r>
      <w:r w:rsidRPr="00B73D7E">
        <w:rPr>
          <w:rFonts w:ascii="Times New Roman" w:hAnsi="Times New Roman"/>
          <w:color w:val="000000"/>
          <w:sz w:val="24"/>
          <w:szCs w:val="24"/>
          <w:u w:color="000000"/>
          <w:bdr w:val="nil"/>
          <w:lang w:eastAsia="en-GB"/>
        </w:rPr>
        <w:t>C</w:t>
      </w:r>
      <w:r w:rsidRPr="00F8728A">
        <w:rPr>
          <w:rFonts w:ascii="Times New Roman" w:hAnsi="Times New Roman"/>
          <w:color w:val="000000"/>
          <w:sz w:val="24"/>
          <w:szCs w:val="24"/>
          <w:u w:color="000000"/>
          <w:bdr w:val="nil"/>
          <w:lang w:eastAsia="en-GB"/>
        </w:rPr>
        <w:t xml:space="preserve"> вече е почти достигнато</w:t>
      </w:r>
      <w:r w:rsidR="00D51B0B" w:rsidRPr="00F8728A">
        <w:rPr>
          <w:rFonts w:ascii="Times New Roman" w:hAnsi="Times New Roman"/>
          <w:color w:val="000000"/>
          <w:sz w:val="24"/>
          <w:szCs w:val="24"/>
          <w:u w:color="000000"/>
          <w:bdr w:val="nil"/>
          <w:lang w:eastAsia="en-GB"/>
        </w:rPr>
        <w:t>.</w:t>
      </w:r>
    </w:p>
    <w:p w:rsidR="00D51B0B" w:rsidRPr="00B73D7E" w:rsidRDefault="00D51B0B">
      <w:pPr>
        <w:pStyle w:val="Heading3"/>
        <w:numPr>
          <w:ilvl w:val="0"/>
          <w:numId w:val="0"/>
        </w:numPr>
        <w:spacing w:before="160"/>
        <w:rPr>
          <w:b w:val="0"/>
          <w:lang w:val="bg-BG"/>
        </w:rPr>
      </w:pPr>
      <w:bookmarkStart w:id="800" w:name="_Toc517709445"/>
      <w:bookmarkStart w:id="801" w:name="_Toc522030611"/>
      <w:bookmarkStart w:id="802" w:name="_Toc529285596"/>
      <w:r w:rsidRPr="00B73D7E">
        <w:rPr>
          <w:lang w:val="bg-BG"/>
        </w:rPr>
        <w:t xml:space="preserve">3.1. </w:t>
      </w:r>
      <w:r w:rsidR="00423B4E" w:rsidRPr="00B73D7E">
        <w:rPr>
          <w:lang w:val="bg-BG"/>
        </w:rPr>
        <w:t>Приоритизиране на мерките за адаптиране съгласно анализа на разходи и ползи</w:t>
      </w:r>
      <w:bookmarkEnd w:id="800"/>
      <w:bookmarkEnd w:id="801"/>
      <w:bookmarkEnd w:id="802"/>
    </w:p>
    <w:p w:rsidR="00D51B0B" w:rsidRPr="00B73D7E" w:rsidRDefault="00423B4E" w:rsidP="00D51B0B">
      <w:pPr>
        <w:spacing w:after="200" w:line="276" w:lineRule="auto"/>
        <w:jc w:val="both"/>
        <w:rPr>
          <w:rFonts w:ascii="Calibri" w:hAnsi="Calibri" w:cs="Calibri"/>
          <w:b/>
          <w:i/>
          <w:iCs/>
          <w:color w:val="000000"/>
          <w:sz w:val="22"/>
          <w:lang w:eastAsia="en-GB"/>
        </w:rPr>
      </w:pPr>
      <w:bookmarkStart w:id="803" w:name="_Hlk517281605"/>
      <w:r w:rsidRPr="00B73D7E">
        <w:rPr>
          <w:rFonts w:ascii="Times New Roman" w:eastAsia="Cambria" w:hAnsi="Times New Roman"/>
          <w:sz w:val="24"/>
          <w:szCs w:val="24"/>
        </w:rPr>
        <w:t xml:space="preserve">АРП може да се използва за вземане на решения като инструмент за определяне на мерки, които ефективно използват финансови ресурси. </w:t>
      </w:r>
      <w:r w:rsidRPr="00F8728A">
        <w:rPr>
          <w:rFonts w:ascii="Times New Roman" w:eastAsia="Cambria" w:hAnsi="Times New Roman"/>
          <w:sz w:val="24"/>
          <w:szCs w:val="24"/>
        </w:rPr>
        <w:t>АРП</w:t>
      </w:r>
      <w:r w:rsidRPr="00B73D7E">
        <w:rPr>
          <w:rFonts w:ascii="Times New Roman" w:eastAsia="Cambria" w:hAnsi="Times New Roman"/>
          <w:sz w:val="24"/>
          <w:szCs w:val="24"/>
        </w:rPr>
        <w:t xml:space="preserve"> идентифицира икономически</w:t>
      </w:r>
      <w:r w:rsidRPr="00F8728A">
        <w:rPr>
          <w:rFonts w:ascii="Times New Roman" w:eastAsia="Cambria" w:hAnsi="Times New Roman"/>
          <w:sz w:val="24"/>
          <w:szCs w:val="24"/>
        </w:rPr>
        <w:t xml:space="preserve"> най-изгодните </w:t>
      </w:r>
      <w:r w:rsidRPr="00B73D7E">
        <w:rPr>
          <w:rFonts w:ascii="Times New Roman" w:eastAsia="Cambria" w:hAnsi="Times New Roman"/>
          <w:sz w:val="24"/>
          <w:szCs w:val="24"/>
        </w:rPr>
        <w:t>действия за адаптиране и позволява класи</w:t>
      </w:r>
      <w:r w:rsidRPr="00F8728A">
        <w:rPr>
          <w:rFonts w:ascii="Times New Roman" w:eastAsia="Cambria" w:hAnsi="Times New Roman"/>
          <w:sz w:val="24"/>
          <w:szCs w:val="24"/>
        </w:rPr>
        <w:t xml:space="preserve">фицирането </w:t>
      </w:r>
      <w:r w:rsidRPr="00B73D7E">
        <w:rPr>
          <w:rFonts w:ascii="Times New Roman" w:eastAsia="Cambria" w:hAnsi="Times New Roman"/>
          <w:sz w:val="24"/>
          <w:szCs w:val="24"/>
        </w:rPr>
        <w:t xml:space="preserve">им въз основа на икономическа ефективност. Мерките за адаптиране, за които </w:t>
      </w:r>
      <w:r w:rsidRPr="00F8728A">
        <w:rPr>
          <w:rFonts w:ascii="Times New Roman" w:eastAsia="Cambria" w:hAnsi="Times New Roman"/>
          <w:sz w:val="24"/>
          <w:szCs w:val="24"/>
        </w:rPr>
        <w:t xml:space="preserve">ползите </w:t>
      </w:r>
      <w:r w:rsidRPr="00B73D7E">
        <w:rPr>
          <w:rFonts w:ascii="Times New Roman" w:eastAsia="Cambria" w:hAnsi="Times New Roman"/>
          <w:sz w:val="24"/>
          <w:szCs w:val="24"/>
        </w:rPr>
        <w:t>надвишават разходите, могат да бъдат класи</w:t>
      </w:r>
      <w:r w:rsidRPr="00F8728A">
        <w:rPr>
          <w:rFonts w:ascii="Times New Roman" w:eastAsia="Cambria" w:hAnsi="Times New Roman"/>
          <w:sz w:val="24"/>
          <w:szCs w:val="24"/>
        </w:rPr>
        <w:t xml:space="preserve">фицирани </w:t>
      </w:r>
      <w:r w:rsidRPr="00B73D7E">
        <w:rPr>
          <w:rFonts w:ascii="Times New Roman" w:eastAsia="Cambria" w:hAnsi="Times New Roman"/>
          <w:sz w:val="24"/>
          <w:szCs w:val="24"/>
        </w:rPr>
        <w:t xml:space="preserve">както следва: </w:t>
      </w:r>
      <w:r w:rsidRPr="00F8728A">
        <w:rPr>
          <w:rFonts w:ascii="Times New Roman" w:eastAsia="Cambria" w:hAnsi="Times New Roman"/>
          <w:sz w:val="24"/>
          <w:szCs w:val="24"/>
        </w:rPr>
        <w:t>ЕЕ саниране н</w:t>
      </w:r>
      <w:r w:rsidRPr="00B73D7E">
        <w:rPr>
          <w:rFonts w:ascii="Times New Roman" w:eastAsia="Cambria" w:hAnsi="Times New Roman"/>
          <w:sz w:val="24"/>
          <w:szCs w:val="24"/>
        </w:rPr>
        <w:t>а жилищни сгради, осигуряване на средства за</w:t>
      </w:r>
      <w:r w:rsidRPr="00F8728A">
        <w:rPr>
          <w:rFonts w:ascii="Times New Roman" w:eastAsia="Cambria" w:hAnsi="Times New Roman"/>
          <w:sz w:val="24"/>
          <w:szCs w:val="24"/>
        </w:rPr>
        <w:t xml:space="preserve"> АИК и</w:t>
      </w:r>
      <w:r w:rsidRPr="00B73D7E">
        <w:rPr>
          <w:rFonts w:ascii="Times New Roman" w:eastAsia="Cambria" w:hAnsi="Times New Roman"/>
          <w:sz w:val="24"/>
          <w:szCs w:val="24"/>
        </w:rPr>
        <w:t>зследван</w:t>
      </w:r>
      <w:r w:rsidRPr="00F8728A">
        <w:rPr>
          <w:rFonts w:ascii="Times New Roman" w:eastAsia="Cambria" w:hAnsi="Times New Roman"/>
          <w:sz w:val="24"/>
          <w:szCs w:val="24"/>
        </w:rPr>
        <w:t>ия</w:t>
      </w:r>
      <w:r w:rsidRPr="00B73D7E">
        <w:rPr>
          <w:rFonts w:ascii="Times New Roman" w:eastAsia="Cambria" w:hAnsi="Times New Roman"/>
          <w:sz w:val="24"/>
          <w:szCs w:val="24"/>
        </w:rPr>
        <w:t xml:space="preserve"> и прилагане на </w:t>
      </w:r>
      <w:r w:rsidRPr="00F8728A">
        <w:rPr>
          <w:rFonts w:ascii="Times New Roman" w:eastAsia="Cambria" w:hAnsi="Times New Roman"/>
          <w:sz w:val="24"/>
          <w:szCs w:val="24"/>
        </w:rPr>
        <w:t>АИК</w:t>
      </w:r>
      <w:r w:rsidRPr="00B73D7E">
        <w:rPr>
          <w:rFonts w:ascii="Times New Roman" w:eastAsia="Cambria" w:hAnsi="Times New Roman"/>
          <w:sz w:val="24"/>
          <w:szCs w:val="24"/>
        </w:rPr>
        <w:t>); определя</w:t>
      </w:r>
      <w:r w:rsidRPr="00F8728A">
        <w:rPr>
          <w:rFonts w:ascii="Times New Roman" w:eastAsia="Cambria" w:hAnsi="Times New Roman"/>
          <w:sz w:val="24"/>
          <w:szCs w:val="24"/>
        </w:rPr>
        <w:t xml:space="preserve">не на </w:t>
      </w:r>
      <w:r w:rsidRPr="00B73D7E">
        <w:rPr>
          <w:rFonts w:ascii="Times New Roman" w:eastAsia="Cambria" w:hAnsi="Times New Roman"/>
          <w:sz w:val="24"/>
          <w:szCs w:val="24"/>
        </w:rPr>
        <w:t xml:space="preserve">приоритетни научни теми; Включване на </w:t>
      </w:r>
      <w:r w:rsidRPr="00F8728A">
        <w:rPr>
          <w:rFonts w:ascii="Times New Roman" w:eastAsia="Cambria" w:hAnsi="Times New Roman"/>
          <w:sz w:val="24"/>
          <w:szCs w:val="24"/>
        </w:rPr>
        <w:t>АИК</w:t>
      </w:r>
      <w:r w:rsidRPr="00B73D7E">
        <w:rPr>
          <w:rFonts w:ascii="Times New Roman" w:eastAsia="Cambria" w:hAnsi="Times New Roman"/>
          <w:sz w:val="24"/>
          <w:szCs w:val="24"/>
        </w:rPr>
        <w:t xml:space="preserve"> в политиките за регионално и градско развитие, насърчаване на партньорството, изграждане на мрежи и сътрудничество и др</w:t>
      </w:r>
      <w:r w:rsidR="00D51B0B" w:rsidRPr="00B73D7E">
        <w:rPr>
          <w:rFonts w:ascii="Times New Roman" w:hAnsi="Times New Roman"/>
          <w:color w:val="000000"/>
          <w:sz w:val="24"/>
          <w:szCs w:val="24"/>
          <w:lang w:eastAsia="en-GB"/>
        </w:rPr>
        <w:t>.</w:t>
      </w:r>
    </w:p>
    <w:p w:rsidR="00D51B0B" w:rsidRPr="00B73D7E" w:rsidRDefault="00124F24" w:rsidP="00B73D7E">
      <w:pPr>
        <w:pStyle w:val="FiguresTablesCaption"/>
        <w:rPr>
          <w:b w:val="0"/>
          <w:i w:val="0"/>
          <w:iCs w:val="0"/>
        </w:rPr>
      </w:pPr>
      <w:bookmarkStart w:id="804" w:name="_Hlk517265855"/>
      <w:bookmarkStart w:id="805" w:name="_Toc517709480"/>
      <w:bookmarkStart w:id="806" w:name="_Toc529286495"/>
      <w:bookmarkStart w:id="807" w:name="_Toc529286570"/>
      <w:bookmarkEnd w:id="803"/>
      <w:r w:rsidRPr="008E7DAC">
        <w:t xml:space="preserve">Фигура  </w:t>
      </w:r>
      <w:r w:rsidR="00D51B0B" w:rsidRPr="00B73D7E">
        <w:fldChar w:fldCharType="begin"/>
      </w:r>
      <w:r w:rsidR="00D51B0B" w:rsidRPr="00B73D7E">
        <w:instrText xml:space="preserve"> SEQ Figure \* ARABIC </w:instrText>
      </w:r>
      <w:r w:rsidR="00D51B0B" w:rsidRPr="00B73D7E">
        <w:fldChar w:fldCharType="separate"/>
      </w:r>
      <w:r w:rsidR="00D51B0B" w:rsidRPr="00B73D7E">
        <w:t>20</w:t>
      </w:r>
      <w:r w:rsidR="00D51B0B" w:rsidRPr="00B73D7E">
        <w:fldChar w:fldCharType="end"/>
      </w:r>
      <w:r w:rsidR="00D51B0B" w:rsidRPr="00B73D7E">
        <w:t xml:space="preserve">. </w:t>
      </w:r>
      <w:bookmarkEnd w:id="804"/>
      <w:bookmarkEnd w:id="805"/>
      <w:r w:rsidR="000C56F2" w:rsidRPr="008E7DAC">
        <w:t xml:space="preserve">Приоритизиране на мерките за адаптиране </w:t>
      </w:r>
      <w:r w:rsidR="00BF2BAB" w:rsidRPr="008E7DAC">
        <w:t xml:space="preserve">в сектор „Градска среда“ </w:t>
      </w:r>
      <w:r w:rsidR="00BF2BAB" w:rsidRPr="008E7DAC">
        <w:br/>
      </w:r>
      <w:r w:rsidR="000C56F2" w:rsidRPr="008E7DAC">
        <w:t xml:space="preserve">(Общ ННС ефект в </w:t>
      </w:r>
      <w:r w:rsidR="00BF2BAB" w:rsidRPr="008E7DAC">
        <w:t>млн. е</w:t>
      </w:r>
      <w:r w:rsidR="000C56F2" w:rsidRPr="008E7DAC">
        <w:t>вро)</w:t>
      </w:r>
      <w:bookmarkEnd w:id="806"/>
      <w:bookmarkEnd w:id="807"/>
      <w:r w:rsidR="000C56F2" w:rsidRPr="008E7DAC">
        <w:t xml:space="preserve"> </w:t>
      </w:r>
    </w:p>
    <w:p w:rsidR="00FD0FBE" w:rsidRPr="00F8728A" w:rsidRDefault="00145598" w:rsidP="00FF27EC">
      <w:pPr>
        <w:widowControl w:val="0"/>
        <w:spacing w:after="0"/>
        <w:rPr>
          <w:rFonts w:ascii="Times New Roman" w:hAnsi="Times New Roman"/>
          <w:b/>
          <w:color w:val="244061"/>
          <w:sz w:val="24"/>
          <w:szCs w:val="24"/>
        </w:rPr>
      </w:pPr>
      <w:r w:rsidRPr="00B73D7E">
        <w:rPr>
          <w:noProof/>
          <w:lang w:val="en-US"/>
        </w:rPr>
        <w:drawing>
          <wp:inline distT="0" distB="0" distL="0" distR="0" wp14:anchorId="059C24D5" wp14:editId="523DA7EA">
            <wp:extent cx="5752465" cy="2673985"/>
            <wp:effectExtent l="19050" t="19050" r="19685" b="12065"/>
            <wp:docPr id="202" name="Picture 202" descr="C:\Users\WB507560\AppData\Local\Microsoft\Windows\INetCache\Content.Word\урбан дон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WB507560\AppData\Local\Microsoft\Windows\INetCache\Content.Word\урбан доне.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2465" cy="2673985"/>
                    </a:xfrm>
                    <a:prstGeom prst="rect">
                      <a:avLst/>
                    </a:prstGeom>
                    <a:noFill/>
                    <a:ln w="6350">
                      <a:solidFill>
                        <a:srgbClr val="5B9BD5"/>
                      </a:solidFill>
                    </a:ln>
                  </pic:spPr>
                </pic:pic>
              </a:graphicData>
            </a:graphic>
          </wp:inline>
        </w:drawing>
      </w:r>
    </w:p>
    <w:p w:rsidR="00E34879" w:rsidRPr="00B73D7E" w:rsidRDefault="00E34879" w:rsidP="000614A3">
      <w:pPr>
        <w:pStyle w:val="Heading2"/>
        <w:numPr>
          <w:ilvl w:val="0"/>
          <w:numId w:val="0"/>
        </w:numPr>
        <w:spacing w:line="240" w:lineRule="auto"/>
        <w:rPr>
          <w:rFonts w:eastAsia="Times New Roman"/>
          <w:b w:val="0"/>
          <w:lang w:val="bg-BG"/>
        </w:rPr>
      </w:pPr>
      <w:bookmarkStart w:id="808" w:name="_Toc517709446"/>
      <w:bookmarkStart w:id="809" w:name="_Toc522030612"/>
      <w:bookmarkStart w:id="810" w:name="_Toc529285597"/>
      <w:r w:rsidRPr="00B73D7E">
        <w:rPr>
          <w:rFonts w:eastAsia="Times New Roman"/>
          <w:lang w:val="bg-BG"/>
        </w:rPr>
        <w:t xml:space="preserve">4. </w:t>
      </w:r>
      <w:bookmarkEnd w:id="808"/>
      <w:r w:rsidR="00124F24" w:rsidRPr="00B73D7E">
        <w:rPr>
          <w:lang w:val="bg-BG"/>
        </w:rPr>
        <w:t>Заключения</w:t>
      </w:r>
      <w:bookmarkEnd w:id="809"/>
      <w:bookmarkEnd w:id="810"/>
    </w:p>
    <w:p w:rsidR="00E34879" w:rsidRPr="00F8728A" w:rsidRDefault="00124F24" w:rsidP="003B5B71">
      <w:pPr>
        <w:spacing w:after="200" w:line="276" w:lineRule="auto"/>
        <w:ind w:right="-132"/>
        <w:jc w:val="both"/>
        <w:rPr>
          <w:rFonts w:ascii="Times New Roman" w:hAnsi="Times New Roman"/>
          <w:sz w:val="24"/>
          <w:szCs w:val="24"/>
        </w:rPr>
        <w:sectPr w:rsidR="00E34879" w:rsidRPr="00F8728A" w:rsidSect="00C93A11">
          <w:pgSz w:w="11906" w:h="16838" w:code="9"/>
          <w:pgMar w:top="1412" w:right="1412" w:bottom="1412" w:left="1412" w:header="709" w:footer="709" w:gutter="0"/>
          <w:cols w:space="708"/>
          <w:docGrid w:linePitch="360"/>
        </w:sectPr>
      </w:pPr>
      <w:bookmarkStart w:id="811" w:name="_Hlk517281506"/>
      <w:r w:rsidRPr="00F8728A">
        <w:rPr>
          <w:rFonts w:ascii="Times New Roman" w:eastAsia="Cambria" w:hAnsi="Times New Roman"/>
          <w:sz w:val="24"/>
          <w:szCs w:val="24"/>
          <w:bdr w:val="nil"/>
        </w:rPr>
        <w:t xml:space="preserve">Ефектът от повишената температура е положителен и води до икономия на енергия и намаляване на потреблението на топлинна енергия в домакинствата. </w:t>
      </w:r>
      <w:r w:rsidR="0079412B" w:rsidRPr="00F8728A">
        <w:rPr>
          <w:rFonts w:ascii="Times New Roman" w:eastAsia="Cambria" w:hAnsi="Times New Roman"/>
          <w:sz w:val="24"/>
          <w:szCs w:val="24"/>
          <w:bdr w:val="nil"/>
        </w:rPr>
        <w:t>Ум</w:t>
      </w:r>
      <w:r w:rsidRPr="00F8728A">
        <w:rPr>
          <w:rFonts w:ascii="Times New Roman" w:eastAsia="Cambria" w:hAnsi="Times New Roman"/>
          <w:sz w:val="24"/>
          <w:szCs w:val="24"/>
          <w:bdr w:val="nil"/>
        </w:rPr>
        <w:t>нож</w:t>
      </w:r>
      <w:r w:rsidR="0079412B" w:rsidRPr="00F8728A">
        <w:rPr>
          <w:rFonts w:ascii="Times New Roman" w:eastAsia="Cambria" w:hAnsi="Times New Roman"/>
          <w:sz w:val="24"/>
          <w:szCs w:val="24"/>
          <w:bdr w:val="nil"/>
        </w:rPr>
        <w:t xml:space="preserve">аващият </w:t>
      </w:r>
      <w:r w:rsidRPr="00F8728A">
        <w:rPr>
          <w:rFonts w:ascii="Times New Roman" w:eastAsia="Cambria" w:hAnsi="Times New Roman"/>
          <w:sz w:val="24"/>
          <w:szCs w:val="24"/>
          <w:bdr w:val="nil"/>
        </w:rPr>
        <w:t>ефект, след прилагане на меки мерки за адаптация, показва положителна възвръщаемост на инвестициите. Изчисленията за ННС показват, че инвестициите в мерки за адаптиране към изменението на климата в сектор градска среда са икономически ефективни. Паричната стойност на разходите на домакинствата за потребление на енергия има тенденция за леко понижаване поради промяна в потреблението на топлинна и електрическа енергия в резултат на мерки за адаптиране. По-високата стойност на полз</w:t>
      </w:r>
      <w:r w:rsidR="0079412B" w:rsidRPr="00F8728A">
        <w:rPr>
          <w:rFonts w:ascii="Times New Roman" w:eastAsia="Cambria" w:hAnsi="Times New Roman"/>
          <w:sz w:val="24"/>
          <w:szCs w:val="24"/>
          <w:bdr w:val="nil"/>
        </w:rPr>
        <w:t xml:space="preserve">ите </w:t>
      </w:r>
      <w:r w:rsidRPr="00F8728A">
        <w:rPr>
          <w:rFonts w:ascii="Times New Roman" w:eastAsia="Cambria" w:hAnsi="Times New Roman"/>
          <w:sz w:val="24"/>
          <w:szCs w:val="24"/>
          <w:bdr w:val="nil"/>
        </w:rPr>
        <w:t>доказва финансовия аргумент за иницииране на мерки за</w:t>
      </w:r>
      <w:r w:rsidR="0079412B" w:rsidRPr="00F8728A">
        <w:rPr>
          <w:rFonts w:ascii="Times New Roman" w:eastAsia="Cambria" w:hAnsi="Times New Roman"/>
          <w:sz w:val="24"/>
          <w:szCs w:val="24"/>
          <w:bdr w:val="nil"/>
        </w:rPr>
        <w:t xml:space="preserve"> </w:t>
      </w:r>
      <w:r w:rsidRPr="00F8728A">
        <w:rPr>
          <w:rFonts w:ascii="Times New Roman" w:eastAsia="Cambria" w:hAnsi="Times New Roman"/>
          <w:sz w:val="24"/>
          <w:szCs w:val="24"/>
          <w:bdr w:val="nil"/>
        </w:rPr>
        <w:t>адаптиране</w:t>
      </w:r>
      <w:r w:rsidR="00E34879" w:rsidRPr="00F8728A">
        <w:rPr>
          <w:rFonts w:ascii="Times New Roman" w:hAnsi="Times New Roman"/>
          <w:sz w:val="24"/>
          <w:szCs w:val="24"/>
        </w:rPr>
        <w:t>.</w:t>
      </w:r>
    </w:p>
    <w:p w:rsidR="00AA4661" w:rsidRPr="00B73D7E" w:rsidRDefault="00AA4661" w:rsidP="00B73D7E">
      <w:pPr>
        <w:pStyle w:val="Heading1"/>
        <w:spacing w:before="0" w:after="120"/>
        <w:jc w:val="both"/>
        <w:rPr>
          <w:rFonts w:eastAsia="Times New Roman"/>
          <w:bCs w:val="0"/>
          <w:color w:val="2F5496"/>
          <w:sz w:val="32"/>
          <w:szCs w:val="32"/>
          <w:lang w:val="bg-BG" w:eastAsia="en-US"/>
        </w:rPr>
      </w:pPr>
      <w:bookmarkStart w:id="812" w:name="_Toc522030613"/>
      <w:bookmarkStart w:id="813" w:name="_Toc529285598"/>
      <w:bookmarkEnd w:id="811"/>
      <w:r w:rsidRPr="00B73D7E">
        <w:rPr>
          <w:rFonts w:eastAsia="Times New Roman"/>
          <w:bCs w:val="0"/>
          <w:color w:val="2F5496"/>
          <w:sz w:val="32"/>
          <w:szCs w:val="32"/>
          <w:lang w:val="bg-BG" w:eastAsia="en-US"/>
        </w:rPr>
        <w:t xml:space="preserve">Приложение </w:t>
      </w:r>
      <w:r w:rsidR="00D41CAA" w:rsidRPr="00B73D7E">
        <w:rPr>
          <w:rFonts w:eastAsia="Times New Roman"/>
          <w:bCs w:val="0"/>
          <w:color w:val="2F5496"/>
          <w:sz w:val="32"/>
          <w:szCs w:val="32"/>
          <w:lang w:val="bg-BG" w:eastAsia="en-US"/>
        </w:rPr>
        <w:t>4</w:t>
      </w:r>
      <w:r w:rsidRPr="00B73D7E">
        <w:rPr>
          <w:rFonts w:eastAsia="Times New Roman"/>
          <w:bCs w:val="0"/>
          <w:color w:val="2F5496"/>
          <w:sz w:val="32"/>
          <w:szCs w:val="32"/>
          <w:lang w:val="bg-BG" w:eastAsia="en-US"/>
        </w:rPr>
        <w:t>. Местоположение на спешните служби</w:t>
      </w:r>
      <w:bookmarkEnd w:id="812"/>
      <w:bookmarkEnd w:id="813"/>
    </w:p>
    <w:p w:rsidR="00AA4661" w:rsidRPr="008E7DAC" w:rsidRDefault="00145598" w:rsidP="00B73D7E">
      <w:pPr>
        <w:pStyle w:val="FiguresTablesCaption"/>
      </w:pPr>
      <w:bookmarkStart w:id="814" w:name="_Toc506143771"/>
      <w:bookmarkStart w:id="815" w:name="_Toc529286496"/>
      <w:bookmarkStart w:id="816" w:name="_Toc529286571"/>
      <w:r w:rsidRPr="00F8728A">
        <w:t xml:space="preserve">Фигура </w:t>
      </w:r>
      <w:r w:rsidRPr="008E7DAC">
        <w:fldChar w:fldCharType="begin"/>
      </w:r>
      <w:r w:rsidRPr="00F8728A">
        <w:instrText xml:space="preserve"> </w:instrText>
      </w:r>
      <w:r w:rsidRPr="00B73D7E">
        <w:instrText>SEQ</w:instrText>
      </w:r>
      <w:r w:rsidRPr="00F8728A">
        <w:instrText xml:space="preserve"> </w:instrText>
      </w:r>
      <w:r w:rsidRPr="00B73D7E">
        <w:instrText>Figure</w:instrText>
      </w:r>
      <w:r w:rsidRPr="00F8728A">
        <w:instrText xml:space="preserve"> \* </w:instrText>
      </w:r>
      <w:r w:rsidRPr="00B73D7E">
        <w:instrText>ARABIC</w:instrText>
      </w:r>
      <w:r w:rsidRPr="00F8728A">
        <w:instrText xml:space="preserve"> </w:instrText>
      </w:r>
      <w:r w:rsidRPr="008E7DAC">
        <w:fldChar w:fldCharType="separate"/>
      </w:r>
      <w:r w:rsidRPr="00B73D7E">
        <w:t>21</w:t>
      </w:r>
      <w:r w:rsidRPr="008E7DAC">
        <w:fldChar w:fldCharType="end"/>
      </w:r>
      <w:r w:rsidRPr="00F8728A">
        <w:t xml:space="preserve">. </w:t>
      </w:r>
      <w:r w:rsidR="00AA4661" w:rsidRPr="008E7DAC">
        <w:t>Местоположение на градове, групирани по големина</w:t>
      </w:r>
      <w:bookmarkEnd w:id="814"/>
      <w:bookmarkEnd w:id="815"/>
      <w:bookmarkEnd w:id="816"/>
    </w:p>
    <w:p w:rsidR="00AA4661" w:rsidRPr="00F8728A" w:rsidRDefault="00084198" w:rsidP="00DE6347">
      <w:pPr>
        <w:spacing w:after="0"/>
        <w:jc w:val="center"/>
      </w:pPr>
      <w:r w:rsidRPr="00B73D7E">
        <w:rPr>
          <w:noProof/>
          <w:bdr w:val="single" w:sz="4" w:space="0" w:color="5B9BD5"/>
          <w:lang w:val="en-US"/>
        </w:rPr>
        <w:drawing>
          <wp:inline distT="0" distB="0" distL="0" distR="0" wp14:anchorId="54DD07AB" wp14:editId="3E7C1DD6">
            <wp:extent cx="6956425" cy="4884420"/>
            <wp:effectExtent l="0" t="0" r="0" b="0"/>
            <wp:docPr id="22"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25">
                      <a:extLst>
                        <a:ext uri="{28A0092B-C50C-407E-A947-70E740481C1C}">
                          <a14:useLocalDpi xmlns:a14="http://schemas.microsoft.com/office/drawing/2010/main" val="0"/>
                        </a:ext>
                      </a:extLst>
                    </a:blip>
                    <a:srcRect l="1042" t="1472" r="1067" b="1259"/>
                    <a:stretch>
                      <a:fillRect/>
                    </a:stretch>
                  </pic:blipFill>
                  <pic:spPr bwMode="auto">
                    <a:xfrm>
                      <a:off x="0" y="0"/>
                      <a:ext cx="6956425" cy="4884420"/>
                    </a:xfrm>
                    <a:prstGeom prst="rect">
                      <a:avLst/>
                    </a:prstGeom>
                    <a:noFill/>
                    <a:ln>
                      <a:noFill/>
                    </a:ln>
                  </pic:spPr>
                </pic:pic>
              </a:graphicData>
            </a:graphic>
          </wp:inline>
        </w:drawing>
      </w:r>
    </w:p>
    <w:p w:rsidR="00AA4661" w:rsidRPr="00F8728A" w:rsidRDefault="00AA4661" w:rsidP="009E43E3">
      <w:pPr>
        <w:pStyle w:val="Source"/>
        <w:jc w:val="center"/>
        <w:sectPr w:rsidR="00AA4661" w:rsidRPr="00F8728A" w:rsidSect="003B7DC4">
          <w:pgSz w:w="16838" w:h="11906" w:orient="landscape"/>
          <w:pgMar w:top="1417" w:right="1417" w:bottom="1417" w:left="1417" w:header="708" w:footer="708" w:gutter="0"/>
          <w:cols w:space="708"/>
          <w:docGrid w:linePitch="360"/>
        </w:sectPr>
      </w:pPr>
      <w:r w:rsidRPr="00F8728A">
        <w:t>Източник: НСИ (население, 2016 г.), НЦТР (обработка на данни и карта, 2017 г.).</w:t>
      </w:r>
    </w:p>
    <w:p w:rsidR="00AA4661" w:rsidRPr="008E7DAC" w:rsidRDefault="00145598" w:rsidP="00B73D7E">
      <w:pPr>
        <w:pStyle w:val="FiguresTablesCaption"/>
      </w:pPr>
      <w:bookmarkStart w:id="817" w:name="_Toc486246240"/>
      <w:bookmarkStart w:id="818" w:name="_Toc486942223"/>
      <w:bookmarkStart w:id="819" w:name="_Toc501454900"/>
      <w:bookmarkStart w:id="820" w:name="_Toc506143772"/>
      <w:bookmarkStart w:id="821" w:name="_Toc529286497"/>
      <w:bookmarkStart w:id="822" w:name="_Toc529286572"/>
      <w:bookmarkStart w:id="823" w:name="_Toc486246239"/>
      <w:bookmarkStart w:id="824" w:name="_Toc486942222"/>
      <w:bookmarkStart w:id="825" w:name="_Toc501454899"/>
      <w:r w:rsidRPr="008E7DAC">
        <w:t xml:space="preserve">Фигура </w:t>
      </w:r>
      <w:r w:rsidRPr="00B73D7E">
        <w:fldChar w:fldCharType="begin"/>
      </w:r>
      <w:r w:rsidRPr="008E7DAC">
        <w:instrText xml:space="preserve"> </w:instrText>
      </w:r>
      <w:r w:rsidRPr="00B73D7E">
        <w:instrText>SEQ</w:instrText>
      </w:r>
      <w:r w:rsidRPr="008E7DAC">
        <w:instrText xml:space="preserve"> </w:instrText>
      </w:r>
      <w:r w:rsidRPr="00B73D7E">
        <w:instrText>Figure</w:instrText>
      </w:r>
      <w:r w:rsidRPr="008E7DAC">
        <w:instrText xml:space="preserve"> \* </w:instrText>
      </w:r>
      <w:r w:rsidRPr="00B73D7E">
        <w:instrText>ARABIC</w:instrText>
      </w:r>
      <w:r w:rsidRPr="008E7DAC">
        <w:instrText xml:space="preserve"> </w:instrText>
      </w:r>
      <w:r w:rsidRPr="00B73D7E">
        <w:fldChar w:fldCharType="separate"/>
      </w:r>
      <w:r w:rsidRPr="00B73D7E">
        <w:t>22</w:t>
      </w:r>
      <w:r w:rsidRPr="00B73D7E">
        <w:fldChar w:fldCharType="end"/>
      </w:r>
      <w:r w:rsidRPr="008E7DAC">
        <w:t xml:space="preserve">. </w:t>
      </w:r>
      <w:r w:rsidR="00AA4661" w:rsidRPr="008E7DAC">
        <w:t>Местоположение на болници. Райони на обслужване</w:t>
      </w:r>
      <w:bookmarkEnd w:id="817"/>
      <w:bookmarkEnd w:id="818"/>
      <w:bookmarkEnd w:id="819"/>
      <w:bookmarkEnd w:id="820"/>
      <w:bookmarkEnd w:id="821"/>
      <w:bookmarkEnd w:id="822"/>
    </w:p>
    <w:p w:rsidR="00AA4661" w:rsidRPr="00F8728A" w:rsidRDefault="00084198" w:rsidP="009E43E3">
      <w:pPr>
        <w:spacing w:after="0"/>
        <w:jc w:val="center"/>
        <w:rPr>
          <w:rStyle w:val="Strong"/>
          <w:bCs/>
        </w:rPr>
      </w:pPr>
      <w:r w:rsidRPr="00B73D7E">
        <w:rPr>
          <w:rFonts w:cs="Arial"/>
          <w:noProof/>
          <w:szCs w:val="20"/>
          <w:lang w:val="en-US"/>
        </w:rPr>
        <w:drawing>
          <wp:inline distT="0" distB="0" distL="0" distR="0" wp14:anchorId="3843057B" wp14:editId="7E361639">
            <wp:extent cx="7477125" cy="5208905"/>
            <wp:effectExtent l="19050" t="19050" r="9525" b="0"/>
            <wp:docPr id="23"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26">
                      <a:extLst>
                        <a:ext uri="{28A0092B-C50C-407E-A947-70E740481C1C}">
                          <a14:useLocalDpi xmlns:a14="http://schemas.microsoft.com/office/drawing/2010/main" val="0"/>
                        </a:ext>
                      </a:extLst>
                    </a:blip>
                    <a:srcRect l="462" t="987" r="638" b="1367"/>
                    <a:stretch>
                      <a:fillRect/>
                    </a:stretch>
                  </pic:blipFill>
                  <pic:spPr bwMode="auto">
                    <a:xfrm>
                      <a:off x="0" y="0"/>
                      <a:ext cx="7477125" cy="5208905"/>
                    </a:xfrm>
                    <a:prstGeom prst="rect">
                      <a:avLst/>
                    </a:prstGeom>
                    <a:noFill/>
                    <a:ln w="6350" cmpd="sng" algn="ctr">
                      <a:solidFill>
                        <a:srgbClr val="5B9BD5"/>
                      </a:solidFill>
                      <a:miter lim="800000"/>
                      <a:headEnd/>
                      <a:tailEnd/>
                    </a:ln>
                    <a:effectLst/>
                  </pic:spPr>
                </pic:pic>
              </a:graphicData>
            </a:graphic>
          </wp:inline>
        </w:drawing>
      </w:r>
      <w:bookmarkStart w:id="826" w:name="_Toc486246241"/>
      <w:bookmarkStart w:id="827" w:name="_Toc486942224"/>
      <w:bookmarkStart w:id="828" w:name="_Toc501454901"/>
    </w:p>
    <w:p w:rsidR="00AA4661" w:rsidRPr="00F8728A" w:rsidRDefault="00AA4661" w:rsidP="00DE6347">
      <w:pPr>
        <w:pStyle w:val="Source"/>
        <w:spacing w:after="0"/>
        <w:ind w:left="708" w:firstLine="708"/>
        <w:rPr>
          <w:bCs/>
          <w:iCs/>
          <w:color w:val="44546A"/>
          <w:szCs w:val="18"/>
          <w:lang w:eastAsia="bg-BG"/>
        </w:rPr>
      </w:pPr>
      <w:r w:rsidRPr="00F8728A">
        <w:t>Източник: Министерство на здравеопазването (МБАЛ и зони на обслужване), НЦТР (Обработка на данни и карта), 2017 г.</w:t>
      </w:r>
    </w:p>
    <w:p w:rsidR="00AA4661" w:rsidRPr="008E7DAC" w:rsidRDefault="00145598" w:rsidP="00B73D7E">
      <w:pPr>
        <w:pStyle w:val="FiguresTablesCaption"/>
      </w:pPr>
      <w:bookmarkStart w:id="829" w:name="_Toc506143773"/>
      <w:bookmarkStart w:id="830" w:name="_Toc529286498"/>
      <w:bookmarkStart w:id="831" w:name="_Toc529286573"/>
      <w:r w:rsidRPr="008E7DAC">
        <w:t xml:space="preserve">Фигура </w:t>
      </w:r>
      <w:r w:rsidRPr="00B73D7E">
        <w:fldChar w:fldCharType="begin"/>
      </w:r>
      <w:r w:rsidRPr="008E7DAC">
        <w:instrText xml:space="preserve"> </w:instrText>
      </w:r>
      <w:r w:rsidRPr="00B73D7E">
        <w:instrText>SEQ</w:instrText>
      </w:r>
      <w:r w:rsidRPr="008E7DAC">
        <w:instrText xml:space="preserve"> </w:instrText>
      </w:r>
      <w:r w:rsidRPr="00B73D7E">
        <w:instrText>Figure</w:instrText>
      </w:r>
      <w:r w:rsidRPr="008E7DAC">
        <w:instrText xml:space="preserve"> \* </w:instrText>
      </w:r>
      <w:r w:rsidRPr="00B73D7E">
        <w:instrText>ARABIC</w:instrText>
      </w:r>
      <w:r w:rsidRPr="008E7DAC">
        <w:instrText xml:space="preserve"> </w:instrText>
      </w:r>
      <w:r w:rsidRPr="00B73D7E">
        <w:fldChar w:fldCharType="separate"/>
      </w:r>
      <w:r w:rsidRPr="00B73D7E">
        <w:t>23</w:t>
      </w:r>
      <w:r w:rsidRPr="00B73D7E">
        <w:fldChar w:fldCharType="end"/>
      </w:r>
      <w:r w:rsidRPr="008E7DAC">
        <w:t xml:space="preserve">. </w:t>
      </w:r>
      <w:r w:rsidR="00AA4661" w:rsidRPr="008E7DAC">
        <w:t>Местоположение на центрове за спешна медицинска помощ. Райони на обслужване</w:t>
      </w:r>
      <w:bookmarkEnd w:id="826"/>
      <w:bookmarkEnd w:id="827"/>
      <w:bookmarkEnd w:id="829"/>
      <w:bookmarkEnd w:id="830"/>
      <w:bookmarkEnd w:id="831"/>
    </w:p>
    <w:p w:rsidR="00AA4661" w:rsidRPr="00F8728A" w:rsidRDefault="00084198" w:rsidP="009E43E3">
      <w:pPr>
        <w:spacing w:after="60"/>
        <w:jc w:val="center"/>
        <w:rPr>
          <w:rFonts w:ascii="Calibri" w:eastAsia="MS Mincho" w:hAnsi="Calibri"/>
          <w:b/>
          <w:i/>
          <w:iCs/>
          <w:color w:val="44546A"/>
          <w:sz w:val="22"/>
          <w:szCs w:val="18"/>
          <w:lang w:eastAsia="bg-BG"/>
        </w:rPr>
      </w:pPr>
      <w:r w:rsidRPr="00B73D7E">
        <w:rPr>
          <w:noProof/>
          <w:lang w:val="en-US"/>
        </w:rPr>
        <w:drawing>
          <wp:inline distT="0" distB="0" distL="0" distR="0" wp14:anchorId="7BFF810A" wp14:editId="1406520C">
            <wp:extent cx="7488555" cy="5208905"/>
            <wp:effectExtent l="19050" t="19050" r="0" b="0"/>
            <wp:docPr id="24"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27">
                      <a:extLst>
                        <a:ext uri="{28A0092B-C50C-407E-A947-70E740481C1C}">
                          <a14:useLocalDpi xmlns:a14="http://schemas.microsoft.com/office/drawing/2010/main" val="0"/>
                        </a:ext>
                      </a:extLst>
                    </a:blip>
                    <a:srcRect l="453" t="1189" r="571" b="1176"/>
                    <a:stretch>
                      <a:fillRect/>
                    </a:stretch>
                  </pic:blipFill>
                  <pic:spPr bwMode="auto">
                    <a:xfrm>
                      <a:off x="0" y="0"/>
                      <a:ext cx="7488555" cy="5208905"/>
                    </a:xfrm>
                    <a:prstGeom prst="rect">
                      <a:avLst/>
                    </a:prstGeom>
                    <a:noFill/>
                    <a:ln w="6350" cmpd="sng" algn="ctr">
                      <a:solidFill>
                        <a:srgbClr val="5B9BD5"/>
                      </a:solidFill>
                      <a:miter lim="800000"/>
                      <a:headEnd/>
                      <a:tailEnd/>
                    </a:ln>
                    <a:effectLst/>
                  </pic:spPr>
                </pic:pic>
              </a:graphicData>
            </a:graphic>
          </wp:inline>
        </w:drawing>
      </w:r>
      <w:bookmarkEnd w:id="828"/>
    </w:p>
    <w:p w:rsidR="00AA4661" w:rsidRPr="00F8728A" w:rsidRDefault="00AA4661" w:rsidP="009E43E3">
      <w:pPr>
        <w:pStyle w:val="Source"/>
        <w:jc w:val="center"/>
      </w:pPr>
      <w:bookmarkStart w:id="832" w:name="_Toc486246242"/>
      <w:bookmarkStart w:id="833" w:name="_Toc486942225"/>
      <w:bookmarkStart w:id="834" w:name="_Toc501454902"/>
      <w:r w:rsidRPr="00F8728A">
        <w:t>Източник: Министерство на здравеопазването (ФСМП и зони на обслужване), НЦТР (Обработка на данни и карта), 2017 г.</w:t>
      </w:r>
    </w:p>
    <w:p w:rsidR="00AA4661" w:rsidRPr="008E7DAC" w:rsidRDefault="00145598" w:rsidP="00B73D7E">
      <w:pPr>
        <w:pStyle w:val="FiguresTablesCaption"/>
      </w:pPr>
      <w:bookmarkStart w:id="835" w:name="_Toc506143774"/>
      <w:bookmarkStart w:id="836" w:name="_Toc529286499"/>
      <w:bookmarkStart w:id="837" w:name="_Toc529286574"/>
      <w:r w:rsidRPr="008E7DAC">
        <w:t xml:space="preserve">Фигура </w:t>
      </w:r>
      <w:r w:rsidRPr="00B73D7E">
        <w:fldChar w:fldCharType="begin"/>
      </w:r>
      <w:r w:rsidRPr="008E7DAC">
        <w:instrText xml:space="preserve"> </w:instrText>
      </w:r>
      <w:r w:rsidRPr="00B73D7E">
        <w:instrText>SEQ</w:instrText>
      </w:r>
      <w:r w:rsidRPr="008E7DAC">
        <w:instrText xml:space="preserve"> </w:instrText>
      </w:r>
      <w:r w:rsidRPr="00B73D7E">
        <w:instrText>Figure</w:instrText>
      </w:r>
      <w:r w:rsidRPr="008E7DAC">
        <w:instrText xml:space="preserve"> \* </w:instrText>
      </w:r>
      <w:r w:rsidRPr="00B73D7E">
        <w:instrText>ARABIC</w:instrText>
      </w:r>
      <w:r w:rsidRPr="008E7DAC">
        <w:instrText xml:space="preserve"> </w:instrText>
      </w:r>
      <w:r w:rsidRPr="00B73D7E">
        <w:fldChar w:fldCharType="separate"/>
      </w:r>
      <w:r w:rsidRPr="00B73D7E">
        <w:t>24</w:t>
      </w:r>
      <w:r w:rsidRPr="00B73D7E">
        <w:fldChar w:fldCharType="end"/>
      </w:r>
      <w:r w:rsidRPr="008E7DAC">
        <w:t xml:space="preserve">. </w:t>
      </w:r>
      <w:r w:rsidR="00AA4661" w:rsidRPr="008E7DAC">
        <w:t>Местоположение на полицейски управления. Райони на обслужване</w:t>
      </w:r>
      <w:bookmarkEnd w:id="832"/>
      <w:bookmarkEnd w:id="833"/>
      <w:bookmarkEnd w:id="834"/>
      <w:bookmarkEnd w:id="835"/>
      <w:bookmarkEnd w:id="836"/>
      <w:bookmarkEnd w:id="837"/>
    </w:p>
    <w:p w:rsidR="00AA4661" w:rsidRPr="00F8728A" w:rsidRDefault="00084198" w:rsidP="009E43E3">
      <w:pPr>
        <w:widowControl w:val="0"/>
        <w:spacing w:after="60"/>
        <w:jc w:val="center"/>
        <w:rPr>
          <w:rFonts w:ascii="Times New Roman" w:hAnsi="Times New Roman"/>
          <w:sz w:val="24"/>
          <w:szCs w:val="24"/>
        </w:rPr>
      </w:pPr>
      <w:r w:rsidRPr="00B73D7E">
        <w:rPr>
          <w:rFonts w:ascii="Times New Roman" w:hAnsi="Times New Roman"/>
          <w:noProof/>
          <w:sz w:val="24"/>
          <w:szCs w:val="24"/>
          <w:lang w:val="en-US"/>
        </w:rPr>
        <w:drawing>
          <wp:inline distT="0" distB="0" distL="0" distR="0" wp14:anchorId="5186621C" wp14:editId="2B6EBE84">
            <wp:extent cx="7465695" cy="5254625"/>
            <wp:effectExtent l="19050" t="19050" r="1905" b="3175"/>
            <wp:docPr id="25"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28">
                      <a:extLst>
                        <a:ext uri="{28A0092B-C50C-407E-A947-70E740481C1C}">
                          <a14:useLocalDpi xmlns:a14="http://schemas.microsoft.com/office/drawing/2010/main" val="0"/>
                        </a:ext>
                      </a:extLst>
                    </a:blip>
                    <a:srcRect l="587" t="1189" r="739" b="1404"/>
                    <a:stretch>
                      <a:fillRect/>
                    </a:stretch>
                  </pic:blipFill>
                  <pic:spPr bwMode="auto">
                    <a:xfrm>
                      <a:off x="0" y="0"/>
                      <a:ext cx="7465695" cy="5254625"/>
                    </a:xfrm>
                    <a:prstGeom prst="rect">
                      <a:avLst/>
                    </a:prstGeom>
                    <a:noFill/>
                    <a:ln w="6350" cmpd="sng">
                      <a:solidFill>
                        <a:srgbClr val="5B9BD5"/>
                      </a:solidFill>
                      <a:miter lim="800000"/>
                      <a:headEnd/>
                      <a:tailEnd/>
                    </a:ln>
                    <a:effectLst/>
                  </pic:spPr>
                </pic:pic>
              </a:graphicData>
            </a:graphic>
          </wp:inline>
        </w:drawing>
      </w:r>
    </w:p>
    <w:p w:rsidR="00AA4661" w:rsidRPr="00F8728A" w:rsidRDefault="00AA4661" w:rsidP="004F13EC">
      <w:pPr>
        <w:pStyle w:val="Source"/>
        <w:jc w:val="center"/>
        <w:rPr>
          <w:rFonts w:ascii="Times New Roman" w:hAnsi="Times New Roman"/>
          <w:sz w:val="24"/>
          <w:szCs w:val="24"/>
        </w:rPr>
      </w:pPr>
      <w:r w:rsidRPr="00F8728A">
        <w:t>Източник: Министерство на вътрешните работи (РПУ и зони на обслужване), НЦТР (Обработка на данни и карта), 2017 г.</w:t>
      </w:r>
    </w:p>
    <w:p w:rsidR="00AA4661" w:rsidRPr="008E7DAC" w:rsidRDefault="00145598" w:rsidP="00B73D7E">
      <w:pPr>
        <w:pStyle w:val="FiguresTablesCaption"/>
      </w:pPr>
      <w:bookmarkStart w:id="838" w:name="_Toc486246243"/>
      <w:bookmarkStart w:id="839" w:name="_Toc486942226"/>
      <w:bookmarkStart w:id="840" w:name="_Toc501454903"/>
      <w:bookmarkStart w:id="841" w:name="_Toc506143775"/>
      <w:bookmarkStart w:id="842" w:name="_Toc529286500"/>
      <w:bookmarkStart w:id="843" w:name="_Toc529286575"/>
      <w:r w:rsidRPr="008E7DAC">
        <w:t xml:space="preserve">Фигура </w:t>
      </w:r>
      <w:r w:rsidRPr="00B73D7E">
        <w:fldChar w:fldCharType="begin"/>
      </w:r>
      <w:r w:rsidRPr="008E7DAC">
        <w:instrText xml:space="preserve"> </w:instrText>
      </w:r>
      <w:r w:rsidRPr="00B73D7E">
        <w:instrText>SEQ</w:instrText>
      </w:r>
      <w:r w:rsidRPr="008E7DAC">
        <w:instrText xml:space="preserve"> </w:instrText>
      </w:r>
      <w:r w:rsidRPr="00B73D7E">
        <w:instrText>Figure</w:instrText>
      </w:r>
      <w:r w:rsidRPr="008E7DAC">
        <w:instrText xml:space="preserve"> \* </w:instrText>
      </w:r>
      <w:r w:rsidRPr="00B73D7E">
        <w:instrText>ARABIC</w:instrText>
      </w:r>
      <w:r w:rsidRPr="008E7DAC">
        <w:instrText xml:space="preserve"> </w:instrText>
      </w:r>
      <w:r w:rsidRPr="00B73D7E">
        <w:fldChar w:fldCharType="separate"/>
      </w:r>
      <w:r w:rsidRPr="00B73D7E">
        <w:t>25</w:t>
      </w:r>
      <w:r w:rsidRPr="00B73D7E">
        <w:fldChar w:fldCharType="end"/>
      </w:r>
      <w:r w:rsidRPr="008E7DAC">
        <w:t xml:space="preserve">. </w:t>
      </w:r>
      <w:r w:rsidR="00AA4661" w:rsidRPr="008E7DAC">
        <w:t>Местоположение на пожарни. Райони на обслужване</w:t>
      </w:r>
      <w:bookmarkEnd w:id="838"/>
      <w:bookmarkEnd w:id="839"/>
      <w:bookmarkEnd w:id="840"/>
      <w:bookmarkEnd w:id="841"/>
      <w:bookmarkEnd w:id="842"/>
      <w:bookmarkEnd w:id="843"/>
    </w:p>
    <w:p w:rsidR="00AA4661" w:rsidRPr="00F8728A" w:rsidRDefault="00084198" w:rsidP="00FA5865">
      <w:pPr>
        <w:widowControl w:val="0"/>
        <w:spacing w:after="0"/>
        <w:jc w:val="center"/>
        <w:rPr>
          <w:rFonts w:ascii="Times New Roman" w:hAnsi="Times New Roman"/>
          <w:sz w:val="24"/>
          <w:szCs w:val="24"/>
        </w:rPr>
      </w:pPr>
      <w:r w:rsidRPr="00B73D7E">
        <w:rPr>
          <w:rFonts w:ascii="Times New Roman" w:hAnsi="Times New Roman"/>
          <w:noProof/>
          <w:sz w:val="24"/>
          <w:szCs w:val="24"/>
          <w:lang w:val="en-US"/>
        </w:rPr>
        <w:drawing>
          <wp:inline distT="0" distB="0" distL="0" distR="0" wp14:anchorId="528F8879" wp14:editId="67735E79">
            <wp:extent cx="7488555" cy="5254625"/>
            <wp:effectExtent l="19050" t="19050" r="0" b="3175"/>
            <wp:docPr id="26"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29">
                      <a:extLst>
                        <a:ext uri="{28A0092B-C50C-407E-A947-70E740481C1C}">
                          <a14:useLocalDpi xmlns:a14="http://schemas.microsoft.com/office/drawing/2010/main" val="0"/>
                        </a:ext>
                      </a:extLst>
                    </a:blip>
                    <a:srcRect l="412" t="1248" r="587" b="1367"/>
                    <a:stretch>
                      <a:fillRect/>
                    </a:stretch>
                  </pic:blipFill>
                  <pic:spPr bwMode="auto">
                    <a:xfrm>
                      <a:off x="0" y="0"/>
                      <a:ext cx="7488555" cy="5254625"/>
                    </a:xfrm>
                    <a:prstGeom prst="rect">
                      <a:avLst/>
                    </a:prstGeom>
                    <a:noFill/>
                    <a:ln w="6350" cmpd="sng" algn="ctr">
                      <a:solidFill>
                        <a:srgbClr val="5B9BD5"/>
                      </a:solidFill>
                      <a:miter lim="800000"/>
                      <a:headEnd/>
                      <a:tailEnd/>
                    </a:ln>
                    <a:effectLst/>
                  </pic:spPr>
                </pic:pic>
              </a:graphicData>
            </a:graphic>
          </wp:inline>
        </w:drawing>
      </w:r>
    </w:p>
    <w:p w:rsidR="00AA4661" w:rsidRPr="00F8728A" w:rsidRDefault="00AA4661" w:rsidP="009E43E3">
      <w:pPr>
        <w:pStyle w:val="Source"/>
        <w:jc w:val="center"/>
        <w:rPr>
          <w:rFonts w:ascii="Times New Roman" w:hAnsi="Times New Roman"/>
          <w:sz w:val="24"/>
          <w:szCs w:val="24"/>
        </w:rPr>
      </w:pPr>
      <w:r w:rsidRPr="00F8728A">
        <w:t>Източник: МВР (служби „Пожарна безопасност и защита на населението при бедствия и аварии), НЦТР (Обработка на данни и карта), 2017 г.</w:t>
      </w:r>
    </w:p>
    <w:p w:rsidR="00AA4661" w:rsidRPr="00F8728A" w:rsidRDefault="00AA4661" w:rsidP="00AA4661">
      <w:pPr>
        <w:widowControl w:val="0"/>
        <w:spacing w:beforeLines="60" w:before="144" w:after="0"/>
        <w:jc w:val="center"/>
        <w:rPr>
          <w:rFonts w:ascii="Times New Roman" w:hAnsi="Times New Roman"/>
          <w:sz w:val="24"/>
          <w:szCs w:val="24"/>
        </w:rPr>
        <w:sectPr w:rsidR="00AA4661" w:rsidRPr="00F8728A" w:rsidSect="003B7DC4">
          <w:pgSz w:w="16838" w:h="11906" w:orient="landscape"/>
          <w:pgMar w:top="1417" w:right="1417" w:bottom="1417" w:left="1417" w:header="708" w:footer="708" w:gutter="0"/>
          <w:cols w:space="708"/>
          <w:docGrid w:linePitch="360"/>
        </w:sectPr>
      </w:pPr>
    </w:p>
    <w:p w:rsidR="00AA4661" w:rsidRPr="008E7DAC" w:rsidRDefault="00AA4661" w:rsidP="00B73D7E">
      <w:pPr>
        <w:pStyle w:val="FiguresTablesCaption"/>
      </w:pPr>
      <w:bookmarkStart w:id="844" w:name="_Toc529286650"/>
      <w:bookmarkEnd w:id="823"/>
      <w:bookmarkEnd w:id="824"/>
      <w:bookmarkEnd w:id="825"/>
      <w:r w:rsidRPr="008E7DAC">
        <w:t xml:space="preserve">Таблица </w:t>
      </w:r>
      <w:r w:rsidRPr="008E7DAC">
        <w:fldChar w:fldCharType="begin"/>
      </w:r>
      <w:r w:rsidRPr="008E7DAC">
        <w:instrText xml:space="preserve"> SEQ Table \* ARABIC </w:instrText>
      </w:r>
      <w:r w:rsidRPr="008E7DAC">
        <w:fldChar w:fldCharType="separate"/>
      </w:r>
      <w:r w:rsidR="00145598" w:rsidRPr="00B73D7E">
        <w:t>23</w:t>
      </w:r>
      <w:r w:rsidRPr="008E7DAC">
        <w:fldChar w:fldCharType="end"/>
      </w:r>
      <w:r w:rsidRPr="008E7DAC">
        <w:t>. Местоположения на служби и услуги по градове</w:t>
      </w:r>
      <w:bookmarkEnd w:id="844"/>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0" w:type="dxa"/>
          <w:right w:w="70" w:type="dxa"/>
        </w:tblCellMar>
        <w:tblLook w:val="00A0" w:firstRow="1" w:lastRow="0" w:firstColumn="1" w:lastColumn="0" w:noHBand="0" w:noVBand="0"/>
      </w:tblPr>
      <w:tblGrid>
        <w:gridCol w:w="1543"/>
        <w:gridCol w:w="815"/>
        <w:gridCol w:w="1064"/>
        <w:gridCol w:w="876"/>
        <w:gridCol w:w="1093"/>
        <w:gridCol w:w="1075"/>
        <w:gridCol w:w="1036"/>
        <w:gridCol w:w="1498"/>
      </w:tblGrid>
      <w:tr w:rsidR="00AA4661" w:rsidRPr="00F8728A" w:rsidTr="00930E4C">
        <w:trPr>
          <w:cantSplit/>
          <w:tblHeader/>
          <w:jc w:val="center"/>
        </w:trPr>
        <w:tc>
          <w:tcPr>
            <w:tcW w:w="1543" w:type="dxa"/>
            <w:shd w:val="clear" w:color="auto" w:fill="365F91"/>
            <w:vAlign w:val="center"/>
          </w:tcPr>
          <w:p w:rsidR="00AA4661" w:rsidRPr="00F8728A" w:rsidRDefault="00AA4661" w:rsidP="00045F19">
            <w:pPr>
              <w:spacing w:after="0"/>
              <w:jc w:val="center"/>
              <w:rPr>
                <w:rFonts w:ascii="Calibri" w:hAnsi="Calibri" w:cs="Calibri"/>
                <w:b/>
                <w:color w:val="FFFFFF"/>
                <w:sz w:val="18"/>
                <w:szCs w:val="20"/>
              </w:rPr>
            </w:pPr>
            <w:r w:rsidRPr="00F8728A">
              <w:rPr>
                <w:rFonts w:ascii="Calibri" w:hAnsi="Calibri" w:cs="Calibri"/>
                <w:b/>
                <w:color w:val="FFFFFF"/>
                <w:sz w:val="18"/>
                <w:szCs w:val="20"/>
              </w:rPr>
              <w:t>Име</w:t>
            </w:r>
          </w:p>
        </w:tc>
        <w:tc>
          <w:tcPr>
            <w:tcW w:w="815" w:type="dxa"/>
            <w:shd w:val="clear" w:color="auto" w:fill="365F91"/>
            <w:vAlign w:val="center"/>
          </w:tcPr>
          <w:p w:rsidR="00AA4661" w:rsidRPr="00F8728A" w:rsidRDefault="00AA4661" w:rsidP="00045F19">
            <w:pPr>
              <w:spacing w:after="0"/>
              <w:jc w:val="center"/>
              <w:rPr>
                <w:rFonts w:ascii="Calibri" w:hAnsi="Calibri" w:cs="Calibri"/>
                <w:b/>
                <w:color w:val="FFFFFF"/>
                <w:sz w:val="18"/>
                <w:szCs w:val="20"/>
              </w:rPr>
            </w:pPr>
            <w:r w:rsidRPr="00F8728A">
              <w:rPr>
                <w:rFonts w:ascii="Calibri" w:hAnsi="Calibri" w:cs="Calibri"/>
                <w:b/>
                <w:color w:val="FFFFFF"/>
                <w:sz w:val="18"/>
                <w:szCs w:val="20"/>
              </w:rPr>
              <w:t>Градове  по размер</w:t>
            </w:r>
          </w:p>
        </w:tc>
        <w:tc>
          <w:tcPr>
            <w:tcW w:w="1064" w:type="dxa"/>
            <w:shd w:val="clear" w:color="auto" w:fill="365F91"/>
            <w:vAlign w:val="center"/>
          </w:tcPr>
          <w:p w:rsidR="00AA4661" w:rsidRPr="00F8728A" w:rsidRDefault="00AA4661" w:rsidP="00045F19">
            <w:pPr>
              <w:spacing w:after="0"/>
              <w:jc w:val="center"/>
              <w:rPr>
                <w:rFonts w:ascii="Calibri" w:hAnsi="Calibri" w:cs="Calibri"/>
                <w:b/>
                <w:color w:val="FFFFFF"/>
                <w:sz w:val="18"/>
                <w:szCs w:val="20"/>
              </w:rPr>
            </w:pPr>
            <w:r w:rsidRPr="00F8728A">
              <w:rPr>
                <w:rFonts w:ascii="Calibri" w:hAnsi="Calibri" w:cs="Calibri"/>
                <w:b/>
                <w:color w:val="FFFFFF"/>
                <w:sz w:val="18"/>
                <w:szCs w:val="20"/>
              </w:rPr>
              <w:t>Население, 31.12.2016 г.</w:t>
            </w:r>
          </w:p>
        </w:tc>
        <w:tc>
          <w:tcPr>
            <w:tcW w:w="876" w:type="dxa"/>
            <w:shd w:val="clear" w:color="auto" w:fill="365F91"/>
            <w:vAlign w:val="center"/>
          </w:tcPr>
          <w:p w:rsidR="00AA4661" w:rsidRPr="00F8728A" w:rsidRDefault="00AA4661" w:rsidP="00045F19">
            <w:pPr>
              <w:spacing w:after="0"/>
              <w:jc w:val="center"/>
              <w:rPr>
                <w:rFonts w:ascii="Calibri" w:hAnsi="Calibri" w:cs="Calibri"/>
                <w:b/>
                <w:color w:val="FFFFFF"/>
                <w:sz w:val="18"/>
                <w:szCs w:val="20"/>
              </w:rPr>
            </w:pPr>
            <w:r w:rsidRPr="00F8728A">
              <w:rPr>
                <w:rFonts w:ascii="Calibri" w:hAnsi="Calibri" w:cs="Calibri"/>
                <w:b/>
                <w:color w:val="FFFFFF"/>
                <w:sz w:val="18"/>
                <w:szCs w:val="20"/>
              </w:rPr>
              <w:t>Наличие на болница</w:t>
            </w:r>
          </w:p>
        </w:tc>
        <w:tc>
          <w:tcPr>
            <w:tcW w:w="1093" w:type="dxa"/>
            <w:shd w:val="clear" w:color="auto" w:fill="365F91"/>
            <w:vAlign w:val="center"/>
          </w:tcPr>
          <w:p w:rsidR="00AA4661" w:rsidRPr="00F8728A" w:rsidRDefault="00AA4661" w:rsidP="00045F19">
            <w:pPr>
              <w:spacing w:after="0"/>
              <w:jc w:val="center"/>
              <w:rPr>
                <w:rFonts w:ascii="Calibri" w:hAnsi="Calibri" w:cs="Calibri"/>
                <w:b/>
                <w:color w:val="FFFFFF"/>
                <w:sz w:val="18"/>
                <w:szCs w:val="20"/>
              </w:rPr>
            </w:pPr>
            <w:r w:rsidRPr="00F8728A">
              <w:rPr>
                <w:rFonts w:ascii="Calibri" w:hAnsi="Calibri" w:cs="Calibri"/>
                <w:b/>
                <w:color w:val="FFFFFF"/>
                <w:sz w:val="18"/>
                <w:szCs w:val="20"/>
              </w:rPr>
              <w:t>Наличие на център за неотложна помощ</w:t>
            </w:r>
          </w:p>
        </w:tc>
        <w:tc>
          <w:tcPr>
            <w:tcW w:w="1075" w:type="dxa"/>
            <w:shd w:val="clear" w:color="auto" w:fill="365F91"/>
            <w:vAlign w:val="center"/>
          </w:tcPr>
          <w:p w:rsidR="00AA4661" w:rsidRPr="00F8728A" w:rsidRDefault="00AA4661" w:rsidP="00045F19">
            <w:pPr>
              <w:spacing w:after="0"/>
              <w:jc w:val="center"/>
              <w:rPr>
                <w:rFonts w:ascii="Calibri" w:hAnsi="Calibri" w:cs="Calibri"/>
                <w:b/>
                <w:color w:val="FFFFFF"/>
                <w:sz w:val="18"/>
                <w:szCs w:val="20"/>
              </w:rPr>
            </w:pPr>
            <w:r w:rsidRPr="00F8728A">
              <w:rPr>
                <w:rFonts w:ascii="Calibri" w:hAnsi="Calibri" w:cs="Calibri"/>
                <w:b/>
                <w:color w:val="FFFFFF"/>
                <w:sz w:val="18"/>
                <w:szCs w:val="20"/>
              </w:rPr>
              <w:t>Наличие на полицейска служба</w:t>
            </w:r>
          </w:p>
        </w:tc>
        <w:tc>
          <w:tcPr>
            <w:tcW w:w="1036" w:type="dxa"/>
            <w:shd w:val="clear" w:color="auto" w:fill="365F91"/>
            <w:vAlign w:val="center"/>
          </w:tcPr>
          <w:p w:rsidR="00AA4661" w:rsidRPr="00F8728A" w:rsidRDefault="00AA4661" w:rsidP="00045F19">
            <w:pPr>
              <w:spacing w:after="0"/>
              <w:jc w:val="center"/>
              <w:rPr>
                <w:rFonts w:ascii="Calibri" w:hAnsi="Calibri" w:cs="Calibri"/>
                <w:b/>
                <w:color w:val="FFFFFF"/>
                <w:sz w:val="18"/>
                <w:szCs w:val="20"/>
              </w:rPr>
            </w:pPr>
            <w:r w:rsidRPr="00F8728A">
              <w:rPr>
                <w:rFonts w:ascii="Calibri" w:hAnsi="Calibri" w:cs="Calibri"/>
                <w:b/>
                <w:color w:val="FFFFFF"/>
                <w:sz w:val="18"/>
                <w:szCs w:val="20"/>
              </w:rPr>
              <w:t>Наличие на пожарна/и</w:t>
            </w:r>
          </w:p>
        </w:tc>
        <w:tc>
          <w:tcPr>
            <w:tcW w:w="1498" w:type="dxa"/>
            <w:shd w:val="clear" w:color="auto" w:fill="365F91"/>
            <w:vAlign w:val="center"/>
          </w:tcPr>
          <w:p w:rsidR="00AA4661" w:rsidRPr="00F8728A" w:rsidRDefault="00AA4661" w:rsidP="00045F19">
            <w:pPr>
              <w:spacing w:after="0"/>
              <w:jc w:val="center"/>
              <w:rPr>
                <w:rFonts w:ascii="Calibri" w:hAnsi="Calibri" w:cs="Calibri"/>
                <w:b/>
                <w:color w:val="FFFFFF"/>
                <w:sz w:val="18"/>
                <w:szCs w:val="20"/>
              </w:rPr>
            </w:pPr>
            <w:r w:rsidRPr="00F8728A">
              <w:rPr>
                <w:rFonts w:ascii="Calibri" w:hAnsi="Calibri" w:cs="Calibri"/>
                <w:b/>
                <w:color w:val="FFFFFF"/>
                <w:sz w:val="18"/>
                <w:szCs w:val="20"/>
              </w:rPr>
              <w:t>Тип по местоположение</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София</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Голям</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236</w:t>
            </w:r>
            <w:r w:rsidR="00BF2BAB">
              <w:rPr>
                <w:rFonts w:ascii="Calibri" w:hAnsi="Calibri" w:cs="Calibri"/>
              </w:rPr>
              <w:t xml:space="preserve"> </w:t>
            </w:r>
            <w:r w:rsidRPr="00F8728A">
              <w:rPr>
                <w:rFonts w:ascii="Calibri" w:hAnsi="Calibri" w:cs="Calibri"/>
              </w:rPr>
              <w:t>047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Пловдив</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Голям</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343</w:t>
            </w:r>
            <w:r w:rsidR="00BF2BAB">
              <w:rPr>
                <w:rFonts w:ascii="Calibri" w:hAnsi="Calibri" w:cs="Calibri"/>
              </w:rPr>
              <w:t xml:space="preserve"> </w:t>
            </w:r>
            <w:r w:rsidRPr="00F8728A">
              <w:rPr>
                <w:rFonts w:ascii="Calibri" w:hAnsi="Calibri" w:cs="Calibri"/>
              </w:rPr>
              <w:t>424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Варна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Голям</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335</w:t>
            </w:r>
            <w:r w:rsidR="00BF2BAB">
              <w:rPr>
                <w:rFonts w:ascii="Calibri" w:hAnsi="Calibri" w:cs="Calibri"/>
              </w:rPr>
              <w:t xml:space="preserve"> </w:t>
            </w:r>
            <w:r w:rsidRPr="00F8728A">
              <w:rPr>
                <w:rFonts w:ascii="Calibri" w:hAnsi="Calibri" w:cs="Calibri"/>
              </w:rPr>
              <w:t>177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1B1023">
            <w:pPr>
              <w:spacing w:after="0"/>
              <w:jc w:val="both"/>
              <w:rPr>
                <w:rFonts w:ascii="Calibri" w:hAnsi="Calibri" w:cs="Calibri"/>
                <w:i/>
                <w:szCs w:val="20"/>
              </w:rPr>
            </w:pPr>
            <w:r w:rsidRPr="00F8728A">
              <w:rPr>
                <w:rFonts w:ascii="Calibri" w:hAnsi="Calibri" w:cs="Calibri"/>
                <w:i/>
                <w:szCs w:val="20"/>
              </w:rPr>
              <w:t>Черноморски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Бургас</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Голям</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202</w:t>
            </w:r>
            <w:r w:rsidR="00BF2BAB">
              <w:rPr>
                <w:rFonts w:ascii="Calibri" w:hAnsi="Calibri" w:cs="Calibri"/>
              </w:rPr>
              <w:t xml:space="preserve"> </w:t>
            </w:r>
            <w:r w:rsidRPr="00F8728A">
              <w:rPr>
                <w:rFonts w:ascii="Calibri" w:hAnsi="Calibri" w:cs="Calibri"/>
              </w:rPr>
              <w:t>766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1B1023">
            <w:pPr>
              <w:spacing w:after="0"/>
              <w:jc w:val="both"/>
              <w:rPr>
                <w:rFonts w:ascii="Calibri" w:hAnsi="Calibri" w:cs="Calibri"/>
                <w:i/>
                <w:szCs w:val="20"/>
              </w:rPr>
            </w:pPr>
            <w:r w:rsidRPr="00F8728A">
              <w:rPr>
                <w:rFonts w:ascii="Calibri" w:hAnsi="Calibri" w:cs="Calibri"/>
                <w:i/>
                <w:szCs w:val="20"/>
              </w:rPr>
              <w:t>Черноморски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Русе</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Голям</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144</w:t>
            </w:r>
            <w:r w:rsidR="00BF2BAB">
              <w:rPr>
                <w:rFonts w:ascii="Calibri" w:hAnsi="Calibri" w:cs="Calibri"/>
              </w:rPr>
              <w:t xml:space="preserve"> </w:t>
            </w:r>
            <w:r w:rsidRPr="00F8728A">
              <w:rPr>
                <w:rFonts w:ascii="Calibri" w:hAnsi="Calibri" w:cs="Calibri"/>
              </w:rPr>
              <w:t>936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Дунавски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Стара Загора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Голям</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136</w:t>
            </w:r>
            <w:r w:rsidR="00BF2BAB">
              <w:rPr>
                <w:rFonts w:ascii="Calibri" w:hAnsi="Calibri" w:cs="Calibri"/>
              </w:rPr>
              <w:t xml:space="preserve"> </w:t>
            </w:r>
            <w:r w:rsidRPr="00F8728A">
              <w:rPr>
                <w:rFonts w:ascii="Calibri" w:hAnsi="Calibri" w:cs="Calibri"/>
              </w:rPr>
              <w:t>781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Плевен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98</w:t>
            </w:r>
            <w:r w:rsidR="00BF2BAB">
              <w:rPr>
                <w:rFonts w:ascii="Calibri" w:hAnsi="Calibri" w:cs="Calibri"/>
              </w:rPr>
              <w:t xml:space="preserve"> </w:t>
            </w:r>
            <w:r w:rsidRPr="00F8728A">
              <w:rPr>
                <w:rFonts w:ascii="Calibri" w:hAnsi="Calibri" w:cs="Calibri"/>
              </w:rPr>
              <w:t>467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Сливен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87</w:t>
            </w:r>
            <w:r w:rsidR="00BF2BAB">
              <w:rPr>
                <w:rFonts w:ascii="Calibri" w:hAnsi="Calibri" w:cs="Calibri"/>
              </w:rPr>
              <w:t xml:space="preserve"> </w:t>
            </w:r>
            <w:r w:rsidRPr="00F8728A">
              <w:rPr>
                <w:rFonts w:ascii="Calibri" w:hAnsi="Calibri" w:cs="Calibri"/>
              </w:rPr>
              <w:t>322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Добрич</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85</w:t>
            </w:r>
            <w:r w:rsidR="00BF2BAB">
              <w:rPr>
                <w:rFonts w:ascii="Calibri" w:hAnsi="Calibri" w:cs="Calibri"/>
              </w:rPr>
              <w:t xml:space="preserve"> </w:t>
            </w:r>
            <w:r w:rsidRPr="00F8728A">
              <w:rPr>
                <w:rFonts w:ascii="Calibri" w:hAnsi="Calibri" w:cs="Calibri"/>
              </w:rPr>
              <w:t>402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Шумен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76</w:t>
            </w:r>
            <w:r w:rsidR="00BF2BAB">
              <w:rPr>
                <w:rFonts w:ascii="Calibri" w:hAnsi="Calibri" w:cs="Calibri"/>
              </w:rPr>
              <w:t xml:space="preserve"> </w:t>
            </w:r>
            <w:r w:rsidRPr="00F8728A">
              <w:rPr>
                <w:rFonts w:ascii="Calibri" w:hAnsi="Calibri" w:cs="Calibri"/>
              </w:rPr>
              <w:t>967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Перник</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74</w:t>
            </w:r>
            <w:r w:rsidR="00BF2BAB">
              <w:rPr>
                <w:rFonts w:ascii="Calibri" w:hAnsi="Calibri" w:cs="Calibri"/>
              </w:rPr>
              <w:t xml:space="preserve"> </w:t>
            </w:r>
            <w:r w:rsidRPr="00F8728A">
              <w:rPr>
                <w:rFonts w:ascii="Calibri" w:hAnsi="Calibri" w:cs="Calibri"/>
              </w:rPr>
              <w:t>110</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Хасково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71</w:t>
            </w:r>
            <w:r w:rsidR="00BF2BAB">
              <w:rPr>
                <w:rFonts w:ascii="Calibri" w:hAnsi="Calibri" w:cs="Calibri"/>
              </w:rPr>
              <w:t xml:space="preserve"> </w:t>
            </w:r>
            <w:r w:rsidRPr="00F8728A">
              <w:rPr>
                <w:rFonts w:ascii="Calibri" w:hAnsi="Calibri" w:cs="Calibri"/>
              </w:rPr>
              <w:t>686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Благоевград</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69</w:t>
            </w:r>
            <w:r w:rsidR="00BF2BAB">
              <w:rPr>
                <w:rFonts w:ascii="Calibri" w:hAnsi="Calibri" w:cs="Calibri"/>
              </w:rPr>
              <w:t xml:space="preserve"> </w:t>
            </w:r>
            <w:r w:rsidRPr="00F8728A">
              <w:rPr>
                <w:rFonts w:ascii="Calibri" w:hAnsi="Calibri" w:cs="Calibri"/>
              </w:rPr>
              <w:t>567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Ямбол</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69</w:t>
            </w:r>
            <w:r w:rsidR="00BF2BAB">
              <w:rPr>
                <w:rFonts w:ascii="Calibri" w:hAnsi="Calibri" w:cs="Calibri"/>
              </w:rPr>
              <w:t xml:space="preserve"> </w:t>
            </w:r>
            <w:r w:rsidRPr="00F8728A">
              <w:rPr>
                <w:rFonts w:ascii="Calibri" w:hAnsi="Calibri" w:cs="Calibri"/>
              </w:rPr>
              <w:t>542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Пазарджик</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68</w:t>
            </w:r>
            <w:r w:rsidR="00BF2BAB">
              <w:rPr>
                <w:rFonts w:ascii="Calibri" w:hAnsi="Calibri" w:cs="Calibri"/>
              </w:rPr>
              <w:t xml:space="preserve"> </w:t>
            </w:r>
            <w:r w:rsidRPr="00F8728A">
              <w:rPr>
                <w:rFonts w:ascii="Calibri" w:hAnsi="Calibri" w:cs="Calibri"/>
              </w:rPr>
              <w:t xml:space="preserve"> 963</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Велико Търново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68</w:t>
            </w:r>
            <w:r w:rsidR="00BF2BAB">
              <w:rPr>
                <w:rFonts w:ascii="Calibri" w:hAnsi="Calibri" w:cs="Calibri"/>
              </w:rPr>
              <w:t xml:space="preserve"> </w:t>
            </w:r>
            <w:r w:rsidRPr="00F8728A">
              <w:rPr>
                <w:rFonts w:ascii="Calibri" w:hAnsi="Calibri" w:cs="Calibri"/>
              </w:rPr>
              <w:t>478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Габрово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54</w:t>
            </w:r>
            <w:r w:rsidR="00BF2BAB">
              <w:rPr>
                <w:rFonts w:ascii="Calibri" w:hAnsi="Calibri" w:cs="Calibri"/>
              </w:rPr>
              <w:t xml:space="preserve"> </w:t>
            </w:r>
            <w:r w:rsidRPr="00F8728A">
              <w:rPr>
                <w:rFonts w:ascii="Calibri" w:hAnsi="Calibri" w:cs="Calibri"/>
              </w:rPr>
              <w:t>004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Враца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53</w:t>
            </w:r>
            <w:r w:rsidR="00BF2BAB">
              <w:rPr>
                <w:rFonts w:ascii="Calibri" w:hAnsi="Calibri" w:cs="Calibri"/>
              </w:rPr>
              <w:t xml:space="preserve"> </w:t>
            </w:r>
            <w:r w:rsidRPr="00F8728A">
              <w:rPr>
                <w:rFonts w:ascii="Calibri" w:hAnsi="Calibri" w:cs="Calibri"/>
              </w:rPr>
              <w:t>570</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Асеновград</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49</w:t>
            </w:r>
            <w:r w:rsidR="00BF2BAB">
              <w:rPr>
                <w:rFonts w:ascii="Calibri" w:hAnsi="Calibri" w:cs="Calibri"/>
              </w:rPr>
              <w:t xml:space="preserve"> </w:t>
            </w:r>
            <w:r w:rsidRPr="00F8728A">
              <w:rPr>
                <w:rFonts w:ascii="Calibri" w:hAnsi="Calibri" w:cs="Calibri"/>
              </w:rPr>
              <w:t>250</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Казанлък</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45</w:t>
            </w:r>
            <w:r w:rsidR="00BF2BAB">
              <w:rPr>
                <w:rFonts w:ascii="Calibri" w:hAnsi="Calibri" w:cs="Calibri"/>
              </w:rPr>
              <w:t xml:space="preserve"> </w:t>
            </w:r>
            <w:r w:rsidRPr="00F8728A">
              <w:rPr>
                <w:rFonts w:ascii="Calibri" w:hAnsi="Calibri" w:cs="Calibri"/>
              </w:rPr>
              <w:t>076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Кърджали</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43</w:t>
            </w:r>
            <w:r w:rsidR="00BF2BAB">
              <w:rPr>
                <w:rFonts w:ascii="Calibri" w:hAnsi="Calibri" w:cs="Calibri"/>
              </w:rPr>
              <w:t xml:space="preserve"> </w:t>
            </w:r>
            <w:r w:rsidRPr="00F8728A">
              <w:rPr>
                <w:rFonts w:ascii="Calibri" w:hAnsi="Calibri" w:cs="Calibri"/>
              </w:rPr>
              <w:t>022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Видин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42</w:t>
            </w:r>
            <w:r w:rsidR="00BF2BAB">
              <w:rPr>
                <w:rFonts w:ascii="Calibri" w:hAnsi="Calibri" w:cs="Calibri"/>
              </w:rPr>
              <w:t xml:space="preserve"> </w:t>
            </w:r>
            <w:r w:rsidRPr="00F8728A">
              <w:rPr>
                <w:rFonts w:ascii="Calibri" w:hAnsi="Calibri" w:cs="Calibri"/>
              </w:rPr>
              <w:t>801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Дунавски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Кюстендил</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40</w:t>
            </w:r>
            <w:r w:rsidR="00BF2BAB">
              <w:rPr>
                <w:rFonts w:ascii="Calibri" w:hAnsi="Calibri" w:cs="Calibri"/>
              </w:rPr>
              <w:t xml:space="preserve"> </w:t>
            </w:r>
            <w:r w:rsidRPr="00F8728A">
              <w:rPr>
                <w:rFonts w:ascii="Calibri" w:hAnsi="Calibri" w:cs="Calibri"/>
              </w:rPr>
              <w:t>682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Монтана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39</w:t>
            </w:r>
            <w:r w:rsidR="00BF2BAB">
              <w:rPr>
                <w:rFonts w:ascii="Calibri" w:hAnsi="Calibri" w:cs="Calibri"/>
              </w:rPr>
              <w:t xml:space="preserve"> </w:t>
            </w:r>
            <w:r w:rsidRPr="00F8728A">
              <w:rPr>
                <w:rFonts w:ascii="Calibri" w:hAnsi="Calibri" w:cs="Calibri"/>
              </w:rPr>
              <w:t>838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Търговище</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35</w:t>
            </w:r>
            <w:r w:rsidR="00BF2BAB">
              <w:rPr>
                <w:rFonts w:ascii="Calibri" w:hAnsi="Calibri" w:cs="Calibri"/>
              </w:rPr>
              <w:t xml:space="preserve"> </w:t>
            </w:r>
            <w:r w:rsidRPr="00F8728A">
              <w:rPr>
                <w:rFonts w:ascii="Calibri" w:hAnsi="Calibri" w:cs="Calibri"/>
              </w:rPr>
              <w:t>536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Димитровград</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35</w:t>
            </w:r>
            <w:r w:rsidR="00BF2BAB">
              <w:rPr>
                <w:rFonts w:ascii="Calibri" w:hAnsi="Calibri" w:cs="Calibri"/>
              </w:rPr>
              <w:t xml:space="preserve"> </w:t>
            </w:r>
            <w:r w:rsidRPr="00F8728A">
              <w:rPr>
                <w:rFonts w:ascii="Calibri" w:hAnsi="Calibri" w:cs="Calibri"/>
              </w:rPr>
              <w:t xml:space="preserve"> 074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Ловеч</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33</w:t>
            </w:r>
            <w:r w:rsidR="00BF2BAB">
              <w:rPr>
                <w:rFonts w:ascii="Calibri" w:hAnsi="Calibri" w:cs="Calibri"/>
              </w:rPr>
              <w:t xml:space="preserve"> </w:t>
            </w:r>
            <w:r w:rsidRPr="00F8728A">
              <w:rPr>
                <w:rFonts w:ascii="Calibri" w:hAnsi="Calibri" w:cs="Calibri"/>
              </w:rPr>
              <w:t>426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Силистра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32</w:t>
            </w:r>
            <w:r w:rsidR="00BF2BAB">
              <w:rPr>
                <w:rFonts w:ascii="Calibri" w:hAnsi="Calibri" w:cs="Calibri"/>
              </w:rPr>
              <w:t xml:space="preserve"> </w:t>
            </w:r>
            <w:r w:rsidRPr="00F8728A">
              <w:rPr>
                <w:rFonts w:ascii="Calibri" w:hAnsi="Calibri" w:cs="Calibri"/>
              </w:rPr>
              <w:t>400</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Дунавски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Разград</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31</w:t>
            </w:r>
            <w:r w:rsidR="00BF2BAB">
              <w:rPr>
                <w:rFonts w:ascii="Calibri" w:hAnsi="Calibri" w:cs="Calibri"/>
              </w:rPr>
              <w:t xml:space="preserve"> </w:t>
            </w:r>
            <w:r w:rsidRPr="00F8728A">
              <w:rPr>
                <w:rFonts w:ascii="Calibri" w:hAnsi="Calibri" w:cs="Calibri"/>
              </w:rPr>
              <w:t>301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Дупница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30</w:t>
            </w:r>
            <w:r w:rsidR="00BF2BAB">
              <w:rPr>
                <w:rFonts w:ascii="Calibri" w:hAnsi="Calibri" w:cs="Calibri"/>
              </w:rPr>
              <w:t xml:space="preserve"> </w:t>
            </w:r>
            <w:r w:rsidRPr="00F8728A">
              <w:rPr>
                <w:rFonts w:ascii="Calibri" w:hAnsi="Calibri" w:cs="Calibri"/>
              </w:rPr>
              <w:t>627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Горна Оряховица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29</w:t>
            </w:r>
            <w:r w:rsidR="00BF2BAB">
              <w:rPr>
                <w:rFonts w:ascii="Calibri" w:hAnsi="Calibri" w:cs="Calibri"/>
              </w:rPr>
              <w:t xml:space="preserve"> </w:t>
            </w:r>
            <w:r w:rsidRPr="00F8728A">
              <w:rPr>
                <w:rFonts w:ascii="Calibri" w:hAnsi="Calibri" w:cs="Calibri"/>
              </w:rPr>
              <w:t>478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Смолян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28</w:t>
            </w:r>
            <w:r w:rsidR="00BF2BAB">
              <w:rPr>
                <w:rFonts w:ascii="Calibri" w:hAnsi="Calibri" w:cs="Calibri"/>
              </w:rPr>
              <w:t xml:space="preserve"> </w:t>
            </w:r>
            <w:r w:rsidRPr="00F8728A">
              <w:rPr>
                <w:rFonts w:ascii="Calibri" w:hAnsi="Calibri" w:cs="Calibri"/>
              </w:rPr>
              <w:t>160</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Петрич</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27</w:t>
            </w:r>
            <w:r w:rsidR="00BF2BAB">
              <w:rPr>
                <w:rFonts w:ascii="Calibri" w:hAnsi="Calibri" w:cs="Calibri"/>
              </w:rPr>
              <w:t xml:space="preserve"> </w:t>
            </w:r>
            <w:r w:rsidRPr="00F8728A">
              <w:rPr>
                <w:rFonts w:ascii="Calibri" w:hAnsi="Calibri" w:cs="Calibri"/>
              </w:rPr>
              <w:t>587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Свищов</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26</w:t>
            </w:r>
            <w:r w:rsidR="00BF2BAB">
              <w:rPr>
                <w:rFonts w:ascii="Calibri" w:hAnsi="Calibri" w:cs="Calibri"/>
              </w:rPr>
              <w:t xml:space="preserve"> </w:t>
            </w:r>
            <w:r w:rsidRPr="00F8728A">
              <w:rPr>
                <w:rFonts w:ascii="Calibri" w:hAnsi="Calibri" w:cs="Calibri"/>
              </w:rPr>
              <w:t>869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Дунавски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Самоков</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25</w:t>
            </w:r>
            <w:r w:rsidR="00BF2BAB">
              <w:rPr>
                <w:rFonts w:ascii="Calibri" w:hAnsi="Calibri" w:cs="Calibri"/>
              </w:rPr>
              <w:t xml:space="preserve"> </w:t>
            </w:r>
            <w:r w:rsidRPr="00F8728A">
              <w:rPr>
                <w:rFonts w:ascii="Calibri" w:hAnsi="Calibri" w:cs="Calibri"/>
              </w:rPr>
              <w:t>382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Сандански</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25</w:t>
            </w:r>
            <w:r w:rsidR="00BF2BAB">
              <w:rPr>
                <w:rFonts w:ascii="Calibri" w:hAnsi="Calibri" w:cs="Calibri"/>
              </w:rPr>
              <w:t xml:space="preserve"> </w:t>
            </w:r>
            <w:r w:rsidRPr="00F8728A">
              <w:rPr>
                <w:rFonts w:ascii="Calibri" w:hAnsi="Calibri" w:cs="Calibri"/>
              </w:rPr>
              <w:t>054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Карлово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21</w:t>
            </w:r>
            <w:r w:rsidR="00BF2BAB">
              <w:rPr>
                <w:rFonts w:ascii="Calibri" w:hAnsi="Calibri" w:cs="Calibri"/>
              </w:rPr>
              <w:t xml:space="preserve"> </w:t>
            </w:r>
            <w:r w:rsidRPr="00F8728A">
              <w:rPr>
                <w:rFonts w:ascii="Calibri" w:hAnsi="Calibri" w:cs="Calibri"/>
              </w:rPr>
              <w:t>612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Велинград</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21</w:t>
            </w:r>
            <w:r w:rsidR="00BF2BAB">
              <w:rPr>
                <w:rFonts w:ascii="Calibri" w:hAnsi="Calibri" w:cs="Calibri"/>
              </w:rPr>
              <w:t xml:space="preserve"> </w:t>
            </w:r>
            <w:r w:rsidRPr="00F8728A">
              <w:rPr>
                <w:rFonts w:ascii="Calibri" w:hAnsi="Calibri" w:cs="Calibri"/>
              </w:rPr>
              <w:t>558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Нова Загора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21</w:t>
            </w:r>
            <w:r w:rsidR="00BF2BAB">
              <w:rPr>
                <w:rFonts w:ascii="Calibri" w:hAnsi="Calibri" w:cs="Calibri"/>
              </w:rPr>
              <w:t xml:space="preserve"> </w:t>
            </w:r>
            <w:r w:rsidRPr="00F8728A">
              <w:rPr>
                <w:rFonts w:ascii="Calibri" w:hAnsi="Calibri" w:cs="Calibri"/>
              </w:rPr>
              <w:t>270</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Севлиево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20</w:t>
            </w:r>
            <w:r w:rsidR="00BF2BAB">
              <w:rPr>
                <w:rFonts w:ascii="Calibri" w:hAnsi="Calibri" w:cs="Calibri"/>
              </w:rPr>
              <w:t xml:space="preserve"> </w:t>
            </w:r>
            <w:r w:rsidRPr="00F8728A">
              <w:rPr>
                <w:rFonts w:ascii="Calibri" w:hAnsi="Calibri" w:cs="Calibri"/>
              </w:rPr>
              <w:t>898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Лом</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20</w:t>
            </w:r>
            <w:r w:rsidR="00BF2BAB">
              <w:rPr>
                <w:rFonts w:ascii="Calibri" w:hAnsi="Calibri" w:cs="Calibri"/>
              </w:rPr>
              <w:t xml:space="preserve"> </w:t>
            </w:r>
            <w:r w:rsidRPr="00F8728A">
              <w:rPr>
                <w:rFonts w:ascii="Calibri" w:hAnsi="Calibri" w:cs="Calibri"/>
              </w:rPr>
              <w:t>508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Дунавски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Харманли</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20</w:t>
            </w:r>
            <w:r w:rsidR="00BF2BAB">
              <w:rPr>
                <w:rFonts w:ascii="Calibri" w:hAnsi="Calibri" w:cs="Calibri"/>
              </w:rPr>
              <w:t xml:space="preserve"> </w:t>
            </w:r>
            <w:r w:rsidRPr="00F8728A">
              <w:rPr>
                <w:rFonts w:ascii="Calibri" w:hAnsi="Calibri" w:cs="Calibri"/>
              </w:rPr>
              <w:t>216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Троян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19</w:t>
            </w:r>
            <w:r w:rsidR="00BF2BAB">
              <w:rPr>
                <w:rFonts w:ascii="Calibri" w:hAnsi="Calibri" w:cs="Calibri"/>
              </w:rPr>
              <w:t xml:space="preserve"> </w:t>
            </w:r>
            <w:r w:rsidRPr="00F8728A">
              <w:rPr>
                <w:rFonts w:ascii="Calibri" w:hAnsi="Calibri" w:cs="Calibri"/>
              </w:rPr>
              <w:t>785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Айтос</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19</w:t>
            </w:r>
            <w:r w:rsidR="00BF2BAB">
              <w:rPr>
                <w:rFonts w:ascii="Calibri" w:hAnsi="Calibri" w:cs="Calibri"/>
              </w:rPr>
              <w:t xml:space="preserve"> </w:t>
            </w:r>
            <w:r w:rsidRPr="00F8728A">
              <w:rPr>
                <w:rFonts w:ascii="Calibri" w:hAnsi="Calibri" w:cs="Calibri"/>
              </w:rPr>
              <w:t>490</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Ботевград</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19</w:t>
            </w:r>
            <w:r w:rsidR="00BF2BAB">
              <w:rPr>
                <w:rFonts w:ascii="Calibri" w:hAnsi="Calibri" w:cs="Calibri"/>
              </w:rPr>
              <w:t xml:space="preserve"> </w:t>
            </w:r>
            <w:r w:rsidRPr="00F8728A">
              <w:rPr>
                <w:rFonts w:ascii="Calibri" w:hAnsi="Calibri" w:cs="Calibri"/>
              </w:rPr>
              <w:t>456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Гоце Делчев</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18</w:t>
            </w:r>
            <w:r w:rsidR="00BF2BAB">
              <w:rPr>
                <w:rFonts w:ascii="Calibri" w:hAnsi="Calibri" w:cs="Calibri"/>
              </w:rPr>
              <w:t xml:space="preserve"> </w:t>
            </w:r>
            <w:r w:rsidRPr="00F8728A">
              <w:rPr>
                <w:rFonts w:ascii="Calibri" w:hAnsi="Calibri" w:cs="Calibri"/>
              </w:rPr>
              <w:t>552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Свиленград</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17</w:t>
            </w:r>
            <w:r w:rsidR="00BF2BAB">
              <w:rPr>
                <w:rFonts w:ascii="Calibri" w:hAnsi="Calibri" w:cs="Calibri"/>
              </w:rPr>
              <w:t xml:space="preserve"> </w:t>
            </w:r>
            <w:r w:rsidRPr="00F8728A">
              <w:rPr>
                <w:rFonts w:ascii="Calibri" w:hAnsi="Calibri" w:cs="Calibri"/>
              </w:rPr>
              <w:t>754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Карнобат</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17</w:t>
            </w:r>
            <w:r w:rsidR="00BF2BAB">
              <w:rPr>
                <w:rFonts w:ascii="Calibri" w:hAnsi="Calibri" w:cs="Calibri"/>
              </w:rPr>
              <w:t xml:space="preserve"> </w:t>
            </w:r>
            <w:r w:rsidRPr="00F8728A">
              <w:rPr>
                <w:rFonts w:ascii="Calibri" w:hAnsi="Calibri" w:cs="Calibri"/>
              </w:rPr>
              <w:t>472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Панагюрище</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16</w:t>
            </w:r>
            <w:r w:rsidR="00BF2BAB">
              <w:rPr>
                <w:rFonts w:ascii="Calibri" w:hAnsi="Calibri" w:cs="Calibri"/>
              </w:rPr>
              <w:t xml:space="preserve"> </w:t>
            </w:r>
            <w:r w:rsidRPr="00F8728A">
              <w:rPr>
                <w:rFonts w:ascii="Calibri" w:hAnsi="Calibri" w:cs="Calibri"/>
              </w:rPr>
              <w:t>359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Пещера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16</w:t>
            </w:r>
            <w:r w:rsidR="00BF2BAB">
              <w:rPr>
                <w:rFonts w:ascii="Calibri" w:hAnsi="Calibri" w:cs="Calibri"/>
              </w:rPr>
              <w:t xml:space="preserve"> </w:t>
            </w:r>
            <w:r w:rsidRPr="00F8728A">
              <w:rPr>
                <w:rFonts w:ascii="Calibri" w:hAnsi="Calibri" w:cs="Calibri"/>
              </w:rPr>
              <w:t>189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Раковски</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14</w:t>
            </w:r>
            <w:r w:rsidR="00BF2BAB">
              <w:rPr>
                <w:rFonts w:ascii="Calibri" w:hAnsi="Calibri" w:cs="Calibri"/>
              </w:rPr>
              <w:t xml:space="preserve"> </w:t>
            </w:r>
            <w:r w:rsidRPr="00F8728A">
              <w:rPr>
                <w:rFonts w:ascii="Calibri" w:hAnsi="Calibri" w:cs="Calibri"/>
              </w:rPr>
              <w:t>799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Попово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14</w:t>
            </w:r>
            <w:r w:rsidR="00BF2BAB">
              <w:rPr>
                <w:rFonts w:ascii="Calibri" w:hAnsi="Calibri" w:cs="Calibri"/>
              </w:rPr>
              <w:t xml:space="preserve"> </w:t>
            </w:r>
            <w:r w:rsidRPr="00F8728A">
              <w:rPr>
                <w:rFonts w:ascii="Calibri" w:hAnsi="Calibri" w:cs="Calibri"/>
              </w:rPr>
              <w:t>411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Чирпан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14</w:t>
            </w:r>
            <w:r w:rsidR="00BF2BAB">
              <w:rPr>
                <w:rFonts w:ascii="Calibri" w:hAnsi="Calibri" w:cs="Calibri"/>
              </w:rPr>
              <w:t xml:space="preserve"> </w:t>
            </w:r>
            <w:r w:rsidRPr="00F8728A">
              <w:rPr>
                <w:rFonts w:ascii="Calibri" w:hAnsi="Calibri" w:cs="Calibri"/>
              </w:rPr>
              <w:t>377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Нови Искър</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14</w:t>
            </w:r>
            <w:r w:rsidR="00BF2BAB">
              <w:rPr>
                <w:rFonts w:ascii="Calibri" w:hAnsi="Calibri" w:cs="Calibri"/>
              </w:rPr>
              <w:t xml:space="preserve"> </w:t>
            </w:r>
            <w:r w:rsidRPr="00F8728A">
              <w:rPr>
                <w:rFonts w:ascii="Calibri" w:hAnsi="Calibri" w:cs="Calibri"/>
              </w:rPr>
              <w:t>159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Поморие</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13</w:t>
            </w:r>
            <w:r w:rsidR="00BF2BAB">
              <w:rPr>
                <w:rFonts w:ascii="Calibri" w:hAnsi="Calibri" w:cs="Calibri"/>
              </w:rPr>
              <w:t xml:space="preserve"> </w:t>
            </w:r>
            <w:r w:rsidRPr="00F8728A">
              <w:rPr>
                <w:rFonts w:ascii="Calibri" w:hAnsi="Calibri" w:cs="Calibri"/>
              </w:rPr>
              <w:t>607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На Черноморието</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Радомир</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13</w:t>
            </w:r>
            <w:r w:rsidR="00BF2BAB">
              <w:rPr>
                <w:rFonts w:ascii="Calibri" w:hAnsi="Calibri" w:cs="Calibri"/>
              </w:rPr>
              <w:t xml:space="preserve"> </w:t>
            </w:r>
            <w:r w:rsidRPr="00F8728A">
              <w:rPr>
                <w:rFonts w:ascii="Calibri" w:hAnsi="Calibri" w:cs="Calibri"/>
              </w:rPr>
              <w:t>279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Ихтиман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12</w:t>
            </w:r>
            <w:r w:rsidR="00BF2BAB">
              <w:rPr>
                <w:rFonts w:ascii="Calibri" w:hAnsi="Calibri" w:cs="Calibri"/>
              </w:rPr>
              <w:t xml:space="preserve"> </w:t>
            </w:r>
            <w:r w:rsidRPr="00F8728A">
              <w:rPr>
                <w:rFonts w:ascii="Calibri" w:hAnsi="Calibri" w:cs="Calibri"/>
              </w:rPr>
              <w:t>723</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Несебър</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12</w:t>
            </w:r>
            <w:r w:rsidR="00BF2BAB">
              <w:rPr>
                <w:rFonts w:ascii="Calibri" w:hAnsi="Calibri" w:cs="Calibri"/>
              </w:rPr>
              <w:t xml:space="preserve"> </w:t>
            </w:r>
            <w:r w:rsidRPr="00F8728A">
              <w:rPr>
                <w:rFonts w:ascii="Calibri" w:hAnsi="Calibri" w:cs="Calibri"/>
              </w:rPr>
              <w:t>548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На Черноморието</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Първомай</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12</w:t>
            </w:r>
            <w:r w:rsidR="00BF2BAB">
              <w:rPr>
                <w:rFonts w:ascii="Calibri" w:hAnsi="Calibri" w:cs="Calibri"/>
              </w:rPr>
              <w:t xml:space="preserve"> </w:t>
            </w:r>
            <w:r w:rsidRPr="00F8728A">
              <w:rPr>
                <w:rFonts w:ascii="Calibri" w:hAnsi="Calibri" w:cs="Calibri"/>
              </w:rPr>
              <w:t>371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Берковица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12</w:t>
            </w:r>
            <w:r w:rsidR="00BF2BAB">
              <w:rPr>
                <w:rFonts w:ascii="Calibri" w:hAnsi="Calibri" w:cs="Calibri"/>
              </w:rPr>
              <w:t xml:space="preserve"> </w:t>
            </w:r>
            <w:r w:rsidRPr="00F8728A">
              <w:rPr>
                <w:rFonts w:ascii="Calibri" w:hAnsi="Calibri" w:cs="Calibri"/>
              </w:rPr>
              <w:t>360</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Козлодуй</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12</w:t>
            </w:r>
            <w:r w:rsidR="00BF2BAB">
              <w:rPr>
                <w:rFonts w:ascii="Calibri" w:hAnsi="Calibri" w:cs="Calibri"/>
              </w:rPr>
              <w:t xml:space="preserve"> </w:t>
            </w:r>
            <w:r w:rsidRPr="00F8728A">
              <w:rPr>
                <w:rFonts w:ascii="Calibri" w:hAnsi="Calibri" w:cs="Calibri"/>
              </w:rPr>
              <w:t>235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Дунавски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Провадия</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12</w:t>
            </w:r>
            <w:r w:rsidR="00BF2BAB">
              <w:rPr>
                <w:rFonts w:ascii="Calibri" w:hAnsi="Calibri" w:cs="Calibri"/>
              </w:rPr>
              <w:t xml:space="preserve"> </w:t>
            </w:r>
            <w:r w:rsidRPr="00F8728A">
              <w:rPr>
                <w:rFonts w:ascii="Calibri" w:hAnsi="Calibri" w:cs="Calibri"/>
              </w:rPr>
              <w:t>151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Раднево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11</w:t>
            </w:r>
            <w:r w:rsidR="00BF2BAB">
              <w:rPr>
                <w:rFonts w:ascii="Calibri" w:hAnsi="Calibri" w:cs="Calibri"/>
              </w:rPr>
              <w:t xml:space="preserve"> </w:t>
            </w:r>
            <w:r w:rsidRPr="00F8728A">
              <w:rPr>
                <w:rFonts w:ascii="Calibri" w:hAnsi="Calibri" w:cs="Calibri"/>
              </w:rPr>
              <w:t>847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Червен бряг</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11</w:t>
            </w:r>
            <w:r w:rsidR="00BF2BAB">
              <w:rPr>
                <w:rFonts w:ascii="Calibri" w:hAnsi="Calibri" w:cs="Calibri"/>
              </w:rPr>
              <w:t xml:space="preserve"> </w:t>
            </w:r>
            <w:r w:rsidRPr="00F8728A">
              <w:rPr>
                <w:rFonts w:ascii="Calibri" w:hAnsi="Calibri" w:cs="Calibri"/>
              </w:rPr>
              <w:t>618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Разлог</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11</w:t>
            </w:r>
            <w:r w:rsidR="00BF2BAB">
              <w:rPr>
                <w:rFonts w:ascii="Calibri" w:hAnsi="Calibri" w:cs="Calibri"/>
              </w:rPr>
              <w:t xml:space="preserve"> </w:t>
            </w:r>
            <w:r w:rsidRPr="00F8728A">
              <w:rPr>
                <w:rFonts w:ascii="Calibri" w:hAnsi="Calibri" w:cs="Calibri"/>
              </w:rPr>
              <w:t>590</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Костинброд</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11</w:t>
            </w:r>
            <w:r w:rsidR="00BF2BAB">
              <w:rPr>
                <w:rFonts w:ascii="Calibri" w:hAnsi="Calibri" w:cs="Calibri"/>
              </w:rPr>
              <w:t xml:space="preserve"> </w:t>
            </w:r>
            <w:r w:rsidRPr="00F8728A">
              <w:rPr>
                <w:rFonts w:ascii="Calibri" w:hAnsi="Calibri" w:cs="Calibri"/>
              </w:rPr>
              <w:t>546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Нови пазар</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11</w:t>
            </w:r>
            <w:r w:rsidR="00BF2BAB">
              <w:rPr>
                <w:rFonts w:ascii="Calibri" w:hAnsi="Calibri" w:cs="Calibri"/>
              </w:rPr>
              <w:t xml:space="preserve"> </w:t>
            </w:r>
            <w:r w:rsidRPr="00F8728A">
              <w:rPr>
                <w:rFonts w:ascii="Calibri" w:hAnsi="Calibri" w:cs="Calibri"/>
              </w:rPr>
              <w:t>520</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Балчик</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11</w:t>
            </w:r>
            <w:r w:rsidR="00BF2BAB">
              <w:rPr>
                <w:rFonts w:ascii="Calibri" w:hAnsi="Calibri" w:cs="Calibri"/>
              </w:rPr>
              <w:t xml:space="preserve"> </w:t>
            </w:r>
            <w:r w:rsidRPr="00F8728A">
              <w:rPr>
                <w:rFonts w:ascii="Calibri" w:hAnsi="Calibri" w:cs="Calibri"/>
              </w:rPr>
              <w:t>328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D95EE3">
            <w:pPr>
              <w:spacing w:after="0"/>
              <w:jc w:val="both"/>
              <w:rPr>
                <w:rFonts w:ascii="Calibri" w:hAnsi="Calibri" w:cs="Calibri"/>
                <w:i/>
                <w:szCs w:val="20"/>
              </w:rPr>
            </w:pPr>
            <w:r w:rsidRPr="00F8728A">
              <w:rPr>
                <w:rFonts w:ascii="Calibri" w:hAnsi="Calibri" w:cs="Calibri"/>
                <w:i/>
                <w:szCs w:val="20"/>
              </w:rPr>
              <w:t>Черноморски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Банкя</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11</w:t>
            </w:r>
            <w:r w:rsidR="00BF2BAB">
              <w:rPr>
                <w:rFonts w:ascii="Calibri" w:hAnsi="Calibri" w:cs="Calibri"/>
              </w:rPr>
              <w:t xml:space="preserve"> </w:t>
            </w:r>
            <w:r w:rsidRPr="00F8728A">
              <w:rPr>
                <w:rFonts w:ascii="Calibri" w:hAnsi="Calibri" w:cs="Calibri"/>
              </w:rPr>
              <w:t>234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Стамболийски</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10</w:t>
            </w:r>
            <w:r w:rsidR="00BF2BAB">
              <w:rPr>
                <w:rFonts w:ascii="Calibri" w:hAnsi="Calibri" w:cs="Calibri"/>
              </w:rPr>
              <w:t xml:space="preserve"> </w:t>
            </w:r>
            <w:r w:rsidRPr="00F8728A">
              <w:rPr>
                <w:rFonts w:ascii="Calibri" w:hAnsi="Calibri" w:cs="Calibri"/>
              </w:rPr>
              <w:t>994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Каварна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10</w:t>
            </w:r>
            <w:r w:rsidR="00BF2BAB">
              <w:rPr>
                <w:rFonts w:ascii="Calibri" w:hAnsi="Calibri" w:cs="Calibri"/>
              </w:rPr>
              <w:t xml:space="preserve"> </w:t>
            </w:r>
            <w:r w:rsidRPr="00F8728A">
              <w:rPr>
                <w:rFonts w:ascii="Calibri" w:hAnsi="Calibri" w:cs="Calibri"/>
              </w:rPr>
              <w:t>982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D95EE3">
            <w:pPr>
              <w:spacing w:after="0"/>
              <w:jc w:val="both"/>
              <w:rPr>
                <w:rFonts w:ascii="Calibri" w:hAnsi="Calibri" w:cs="Calibri"/>
                <w:i/>
                <w:szCs w:val="20"/>
              </w:rPr>
            </w:pPr>
            <w:r w:rsidRPr="00F8728A">
              <w:rPr>
                <w:rFonts w:ascii="Calibri" w:hAnsi="Calibri" w:cs="Calibri"/>
                <w:i/>
                <w:szCs w:val="20"/>
              </w:rPr>
              <w:t>Черноморски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Бяла Слатина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10</w:t>
            </w:r>
            <w:r w:rsidR="00BF2BAB">
              <w:rPr>
                <w:rFonts w:ascii="Calibri" w:hAnsi="Calibri" w:cs="Calibri"/>
              </w:rPr>
              <w:t xml:space="preserve"> </w:t>
            </w:r>
            <w:r w:rsidRPr="00F8728A">
              <w:rPr>
                <w:rFonts w:ascii="Calibri" w:hAnsi="Calibri" w:cs="Calibri"/>
              </w:rPr>
              <w:t>200</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Етрополе</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9</w:t>
            </w:r>
            <w:r w:rsidR="00BF2BAB">
              <w:rPr>
                <w:rFonts w:ascii="Calibri" w:hAnsi="Calibri" w:cs="Calibri"/>
              </w:rPr>
              <w:t xml:space="preserve"> </w:t>
            </w:r>
            <w:r w:rsidRPr="00F8728A">
              <w:rPr>
                <w:rFonts w:ascii="Calibri" w:hAnsi="Calibri" w:cs="Calibri"/>
              </w:rPr>
              <w:t>849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Павликени</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9</w:t>
            </w:r>
            <w:r w:rsidR="00BF2BAB">
              <w:rPr>
                <w:rFonts w:ascii="Calibri" w:hAnsi="Calibri" w:cs="Calibri"/>
              </w:rPr>
              <w:t xml:space="preserve"> </w:t>
            </w:r>
            <w:r w:rsidRPr="00F8728A">
              <w:rPr>
                <w:rFonts w:ascii="Calibri" w:hAnsi="Calibri" w:cs="Calibri"/>
              </w:rPr>
              <w:t>735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Кнежа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9</w:t>
            </w:r>
            <w:r w:rsidR="00BF2BAB">
              <w:rPr>
                <w:rFonts w:ascii="Calibri" w:hAnsi="Calibri" w:cs="Calibri"/>
              </w:rPr>
              <w:t xml:space="preserve"> </w:t>
            </w:r>
            <w:r w:rsidRPr="00F8728A">
              <w:rPr>
                <w:rFonts w:ascii="Calibri" w:hAnsi="Calibri" w:cs="Calibri"/>
              </w:rPr>
              <w:t>665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Елхово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9</w:t>
            </w:r>
            <w:r w:rsidR="00BF2BAB">
              <w:rPr>
                <w:rFonts w:ascii="Calibri" w:hAnsi="Calibri" w:cs="Calibri"/>
              </w:rPr>
              <w:t xml:space="preserve"> </w:t>
            </w:r>
            <w:r w:rsidRPr="00F8728A">
              <w:rPr>
                <w:rFonts w:ascii="Calibri" w:hAnsi="Calibri" w:cs="Calibri"/>
              </w:rPr>
              <w:t>618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Мездра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9</w:t>
            </w:r>
            <w:r w:rsidR="00BF2BAB">
              <w:rPr>
                <w:rFonts w:ascii="Calibri" w:hAnsi="Calibri" w:cs="Calibri"/>
              </w:rPr>
              <w:t xml:space="preserve"> </w:t>
            </w:r>
            <w:r w:rsidRPr="00F8728A">
              <w:rPr>
                <w:rFonts w:ascii="Calibri" w:hAnsi="Calibri" w:cs="Calibri"/>
              </w:rPr>
              <w:t>547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Левски</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9</w:t>
            </w:r>
            <w:r w:rsidR="00BF2BAB">
              <w:rPr>
                <w:rFonts w:ascii="Calibri" w:hAnsi="Calibri" w:cs="Calibri"/>
              </w:rPr>
              <w:t xml:space="preserve"> </w:t>
            </w:r>
            <w:r w:rsidRPr="00F8728A">
              <w:rPr>
                <w:rFonts w:ascii="Calibri" w:hAnsi="Calibri" w:cs="Calibri"/>
              </w:rPr>
              <w:t>148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Тетевен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8</w:t>
            </w:r>
            <w:r w:rsidR="00BF2BAB">
              <w:rPr>
                <w:rFonts w:ascii="Calibri" w:hAnsi="Calibri" w:cs="Calibri"/>
              </w:rPr>
              <w:t xml:space="preserve"> </w:t>
            </w:r>
            <w:r w:rsidRPr="00F8728A">
              <w:rPr>
                <w:rFonts w:ascii="Calibri" w:hAnsi="Calibri" w:cs="Calibri"/>
              </w:rPr>
              <w:t>990</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Банско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8</w:t>
            </w:r>
            <w:r w:rsidR="00BF2BAB">
              <w:rPr>
                <w:rFonts w:ascii="Calibri" w:hAnsi="Calibri" w:cs="Calibri"/>
              </w:rPr>
              <w:t xml:space="preserve"> </w:t>
            </w:r>
            <w:r w:rsidRPr="00F8728A">
              <w:rPr>
                <w:rFonts w:ascii="Calibri" w:hAnsi="Calibri" w:cs="Calibri"/>
              </w:rPr>
              <w:t>881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Средец</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8</w:t>
            </w:r>
            <w:r w:rsidR="00BF2BAB">
              <w:rPr>
                <w:rFonts w:ascii="Calibri" w:hAnsi="Calibri" w:cs="Calibri"/>
              </w:rPr>
              <w:t xml:space="preserve"> </w:t>
            </w:r>
            <w:r w:rsidRPr="00F8728A">
              <w:rPr>
                <w:rFonts w:ascii="Calibri" w:hAnsi="Calibri" w:cs="Calibri"/>
              </w:rPr>
              <w:t>759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Трявна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8</w:t>
            </w:r>
            <w:r w:rsidR="00BF2BAB">
              <w:rPr>
                <w:rFonts w:ascii="Calibri" w:hAnsi="Calibri" w:cs="Calibri"/>
              </w:rPr>
              <w:t xml:space="preserve"> </w:t>
            </w:r>
            <w:r w:rsidRPr="00F8728A">
              <w:rPr>
                <w:rFonts w:ascii="Calibri" w:hAnsi="Calibri" w:cs="Calibri"/>
              </w:rPr>
              <w:t>543</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Луковит</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8</w:t>
            </w:r>
            <w:r w:rsidR="00BF2BAB">
              <w:rPr>
                <w:rFonts w:ascii="Calibri" w:hAnsi="Calibri" w:cs="Calibri"/>
              </w:rPr>
              <w:t xml:space="preserve"> </w:t>
            </w:r>
            <w:r w:rsidRPr="00F8728A">
              <w:rPr>
                <w:rFonts w:ascii="Calibri" w:hAnsi="Calibri" w:cs="Calibri"/>
              </w:rPr>
              <w:t>519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Сопот</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8</w:t>
            </w:r>
            <w:r w:rsidR="00BF2BAB">
              <w:rPr>
                <w:rFonts w:ascii="Calibri" w:hAnsi="Calibri" w:cs="Calibri"/>
              </w:rPr>
              <w:t xml:space="preserve"> </w:t>
            </w:r>
            <w:r w:rsidRPr="00F8728A">
              <w:rPr>
                <w:rFonts w:ascii="Calibri" w:hAnsi="Calibri" w:cs="Calibri"/>
              </w:rPr>
              <w:t>284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Исперих</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8</w:t>
            </w:r>
            <w:r w:rsidR="00BF2BAB">
              <w:rPr>
                <w:rFonts w:ascii="Calibri" w:hAnsi="Calibri" w:cs="Calibri"/>
              </w:rPr>
              <w:t xml:space="preserve"> </w:t>
            </w:r>
            <w:r w:rsidRPr="00F8728A">
              <w:rPr>
                <w:rFonts w:ascii="Calibri" w:hAnsi="Calibri" w:cs="Calibri"/>
              </w:rPr>
              <w:t>253</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Кричим</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8</w:t>
            </w:r>
            <w:r w:rsidR="00BF2BAB">
              <w:rPr>
                <w:rFonts w:ascii="Calibri" w:hAnsi="Calibri" w:cs="Calibri"/>
              </w:rPr>
              <w:t xml:space="preserve"> </w:t>
            </w:r>
            <w:r w:rsidRPr="00F8728A">
              <w:rPr>
                <w:rFonts w:ascii="Calibri" w:hAnsi="Calibri" w:cs="Calibri"/>
              </w:rPr>
              <w:t>077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Тутракан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7</w:t>
            </w:r>
            <w:r w:rsidR="00BF2BAB">
              <w:rPr>
                <w:rFonts w:ascii="Calibri" w:hAnsi="Calibri" w:cs="Calibri"/>
              </w:rPr>
              <w:t xml:space="preserve"> </w:t>
            </w:r>
            <w:r w:rsidRPr="00F8728A">
              <w:rPr>
                <w:rFonts w:ascii="Calibri" w:hAnsi="Calibri" w:cs="Calibri"/>
              </w:rPr>
              <w:t>998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Дунавски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Ракитово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7</w:t>
            </w:r>
            <w:r w:rsidR="00BF2BAB">
              <w:rPr>
                <w:rFonts w:ascii="Calibri" w:hAnsi="Calibri" w:cs="Calibri"/>
              </w:rPr>
              <w:t xml:space="preserve"> </w:t>
            </w:r>
            <w:r w:rsidRPr="00F8728A">
              <w:rPr>
                <w:rFonts w:ascii="Calibri" w:hAnsi="Calibri" w:cs="Calibri"/>
              </w:rPr>
              <w:t>974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Девня</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7</w:t>
            </w:r>
            <w:r w:rsidR="00BF2BAB">
              <w:rPr>
                <w:rFonts w:ascii="Calibri" w:hAnsi="Calibri" w:cs="Calibri"/>
              </w:rPr>
              <w:t xml:space="preserve"> </w:t>
            </w:r>
            <w:r w:rsidRPr="00F8728A">
              <w:rPr>
                <w:rFonts w:ascii="Calibri" w:hAnsi="Calibri" w:cs="Calibri"/>
              </w:rPr>
              <w:t>898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Аксаково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7</w:t>
            </w:r>
            <w:r w:rsidR="00BF2BAB">
              <w:rPr>
                <w:rFonts w:ascii="Calibri" w:hAnsi="Calibri" w:cs="Calibri"/>
              </w:rPr>
              <w:t xml:space="preserve"> </w:t>
            </w:r>
            <w:r w:rsidRPr="00F8728A">
              <w:rPr>
                <w:rFonts w:ascii="Calibri" w:hAnsi="Calibri" w:cs="Calibri"/>
              </w:rPr>
              <w:t>865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Лясковец</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7</w:t>
            </w:r>
            <w:r w:rsidR="00BF2BAB">
              <w:rPr>
                <w:rFonts w:ascii="Calibri" w:hAnsi="Calibri" w:cs="Calibri"/>
              </w:rPr>
              <w:t xml:space="preserve"> </w:t>
            </w:r>
            <w:r w:rsidRPr="00F8728A">
              <w:rPr>
                <w:rFonts w:ascii="Calibri" w:hAnsi="Calibri" w:cs="Calibri"/>
              </w:rPr>
              <w:t>713</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Бяла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7</w:t>
            </w:r>
            <w:r w:rsidR="00BF2BAB">
              <w:rPr>
                <w:rFonts w:ascii="Calibri" w:hAnsi="Calibri" w:cs="Calibri"/>
              </w:rPr>
              <w:t xml:space="preserve"> </w:t>
            </w:r>
            <w:r w:rsidRPr="00F8728A">
              <w:rPr>
                <w:rFonts w:ascii="Calibri" w:hAnsi="Calibri" w:cs="Calibri"/>
              </w:rPr>
              <w:t>705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Своге</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7</w:t>
            </w:r>
            <w:r w:rsidR="00BF2BAB">
              <w:rPr>
                <w:rFonts w:ascii="Calibri" w:hAnsi="Calibri" w:cs="Calibri"/>
              </w:rPr>
              <w:t xml:space="preserve"> </w:t>
            </w:r>
            <w:r w:rsidRPr="00F8728A">
              <w:rPr>
                <w:rFonts w:ascii="Calibri" w:hAnsi="Calibri" w:cs="Calibri"/>
              </w:rPr>
              <w:t>666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Момчилград</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7</w:t>
            </w:r>
            <w:r w:rsidR="00BF2BAB">
              <w:rPr>
                <w:rFonts w:ascii="Calibri" w:hAnsi="Calibri" w:cs="Calibri"/>
              </w:rPr>
              <w:t xml:space="preserve"> </w:t>
            </w:r>
            <w:r w:rsidRPr="00F8728A">
              <w:rPr>
                <w:rFonts w:ascii="Calibri" w:hAnsi="Calibri" w:cs="Calibri"/>
              </w:rPr>
              <w:t>639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Гълъбово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7</w:t>
            </w:r>
            <w:r w:rsidR="00BF2BAB">
              <w:rPr>
                <w:rFonts w:ascii="Calibri" w:hAnsi="Calibri" w:cs="Calibri"/>
              </w:rPr>
              <w:t xml:space="preserve"> </w:t>
            </w:r>
            <w:r w:rsidRPr="00F8728A">
              <w:rPr>
                <w:rFonts w:ascii="Calibri" w:hAnsi="Calibri" w:cs="Calibri"/>
              </w:rPr>
              <w:t>613</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Септември</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7</w:t>
            </w:r>
            <w:r w:rsidR="00BF2BAB">
              <w:rPr>
                <w:rFonts w:ascii="Calibri" w:hAnsi="Calibri" w:cs="Calibri"/>
              </w:rPr>
              <w:t xml:space="preserve"> </w:t>
            </w:r>
            <w:r w:rsidRPr="00F8728A">
              <w:rPr>
                <w:rFonts w:ascii="Calibri" w:hAnsi="Calibri" w:cs="Calibri"/>
              </w:rPr>
              <w:t>485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Белослав</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7</w:t>
            </w:r>
            <w:r w:rsidR="00BF2BAB">
              <w:rPr>
                <w:rFonts w:ascii="Calibri" w:hAnsi="Calibri" w:cs="Calibri"/>
              </w:rPr>
              <w:t xml:space="preserve"> </w:t>
            </w:r>
            <w:r w:rsidRPr="00F8728A">
              <w:rPr>
                <w:rFonts w:ascii="Calibri" w:hAnsi="Calibri" w:cs="Calibri"/>
              </w:rPr>
              <w:t>483</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Белене</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7</w:t>
            </w:r>
            <w:r w:rsidR="00BF2BAB">
              <w:rPr>
                <w:rFonts w:ascii="Calibri" w:hAnsi="Calibri" w:cs="Calibri"/>
              </w:rPr>
              <w:t xml:space="preserve"> </w:t>
            </w:r>
            <w:r w:rsidRPr="00F8728A">
              <w:rPr>
                <w:rFonts w:ascii="Calibri" w:hAnsi="Calibri" w:cs="Calibri"/>
              </w:rPr>
              <w:t>449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Дунавски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Велики Преслав</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7</w:t>
            </w:r>
            <w:r w:rsidR="00BF2BAB">
              <w:rPr>
                <w:rFonts w:ascii="Calibri" w:hAnsi="Calibri" w:cs="Calibri"/>
              </w:rPr>
              <w:t xml:space="preserve"> </w:t>
            </w:r>
            <w:r w:rsidRPr="00F8728A">
              <w:rPr>
                <w:rFonts w:ascii="Calibri" w:hAnsi="Calibri" w:cs="Calibri"/>
              </w:rPr>
              <w:t>275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Омуртаг</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7</w:t>
            </w:r>
            <w:r w:rsidR="00BF2BAB">
              <w:rPr>
                <w:rFonts w:ascii="Calibri" w:hAnsi="Calibri" w:cs="Calibri"/>
              </w:rPr>
              <w:t xml:space="preserve"> </w:t>
            </w:r>
            <w:r w:rsidRPr="00F8728A">
              <w:rPr>
                <w:rFonts w:ascii="Calibri" w:hAnsi="Calibri" w:cs="Calibri"/>
              </w:rPr>
              <w:t>263</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Сливница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7</w:t>
            </w:r>
            <w:r w:rsidR="00BF2BAB">
              <w:rPr>
                <w:rFonts w:ascii="Calibri" w:hAnsi="Calibri" w:cs="Calibri"/>
              </w:rPr>
              <w:t xml:space="preserve"> </w:t>
            </w:r>
            <w:r w:rsidRPr="00F8728A">
              <w:rPr>
                <w:rFonts w:ascii="Calibri" w:hAnsi="Calibri" w:cs="Calibri"/>
              </w:rPr>
              <w:t>159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Любимец</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7</w:t>
            </w:r>
            <w:r w:rsidR="00BF2BAB">
              <w:rPr>
                <w:rFonts w:ascii="Calibri" w:hAnsi="Calibri" w:cs="Calibri"/>
              </w:rPr>
              <w:t xml:space="preserve"> </w:t>
            </w:r>
            <w:r w:rsidRPr="00F8728A">
              <w:rPr>
                <w:rFonts w:ascii="Calibri" w:hAnsi="Calibri" w:cs="Calibri"/>
              </w:rPr>
              <w:t>071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Пирдоп</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6</w:t>
            </w:r>
            <w:r w:rsidR="00BF2BAB">
              <w:rPr>
                <w:rFonts w:ascii="Calibri" w:hAnsi="Calibri" w:cs="Calibri"/>
              </w:rPr>
              <w:t xml:space="preserve"> </w:t>
            </w:r>
            <w:r w:rsidRPr="00F8728A">
              <w:rPr>
                <w:rFonts w:ascii="Calibri" w:hAnsi="Calibri" w:cs="Calibri"/>
              </w:rPr>
              <w:t>919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Дряново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6</w:t>
            </w:r>
            <w:r w:rsidR="00BF2BAB">
              <w:rPr>
                <w:rFonts w:ascii="Calibri" w:hAnsi="Calibri" w:cs="Calibri"/>
              </w:rPr>
              <w:t xml:space="preserve"> </w:t>
            </w:r>
            <w:r w:rsidRPr="00F8728A">
              <w:rPr>
                <w:rFonts w:ascii="Calibri" w:hAnsi="Calibri" w:cs="Calibri"/>
              </w:rPr>
              <w:t>887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Елин Пелин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6</w:t>
            </w:r>
            <w:r w:rsidR="00BF2BAB">
              <w:rPr>
                <w:rFonts w:ascii="Calibri" w:hAnsi="Calibri" w:cs="Calibri"/>
              </w:rPr>
              <w:t xml:space="preserve"> </w:t>
            </w:r>
            <w:r w:rsidRPr="00F8728A">
              <w:rPr>
                <w:rFonts w:ascii="Calibri" w:hAnsi="Calibri" w:cs="Calibri"/>
              </w:rPr>
              <w:t>884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Кубрат</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6</w:t>
            </w:r>
            <w:r w:rsidR="00BF2BAB">
              <w:rPr>
                <w:rFonts w:ascii="Calibri" w:hAnsi="Calibri" w:cs="Calibri"/>
              </w:rPr>
              <w:t xml:space="preserve"> </w:t>
            </w:r>
            <w:r w:rsidRPr="00F8728A">
              <w:rPr>
                <w:rFonts w:ascii="Calibri" w:hAnsi="Calibri" w:cs="Calibri"/>
              </w:rPr>
              <w:t>597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Хисаря</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6</w:t>
            </w:r>
            <w:r w:rsidR="00BF2BAB">
              <w:rPr>
                <w:rFonts w:ascii="Calibri" w:hAnsi="Calibri" w:cs="Calibri"/>
              </w:rPr>
              <w:t xml:space="preserve"> </w:t>
            </w:r>
            <w:r w:rsidRPr="00F8728A">
              <w:rPr>
                <w:rFonts w:ascii="Calibri" w:hAnsi="Calibri" w:cs="Calibri"/>
              </w:rPr>
              <w:t>574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Златоград</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6</w:t>
            </w:r>
            <w:r w:rsidR="00BF2BAB">
              <w:rPr>
                <w:rFonts w:ascii="Calibri" w:hAnsi="Calibri" w:cs="Calibri"/>
              </w:rPr>
              <w:t xml:space="preserve"> </w:t>
            </w:r>
            <w:r w:rsidRPr="00F8728A">
              <w:rPr>
                <w:rFonts w:ascii="Calibri" w:hAnsi="Calibri" w:cs="Calibri"/>
              </w:rPr>
              <w:t>514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Симитли</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6</w:t>
            </w:r>
            <w:r w:rsidR="00BF2BAB">
              <w:rPr>
                <w:rFonts w:ascii="Calibri" w:hAnsi="Calibri" w:cs="Calibri"/>
              </w:rPr>
              <w:t xml:space="preserve"> </w:t>
            </w:r>
            <w:r w:rsidRPr="00F8728A">
              <w:rPr>
                <w:rFonts w:ascii="Calibri" w:hAnsi="Calibri" w:cs="Calibri"/>
              </w:rPr>
              <w:t>486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Долни чифлик</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6</w:t>
            </w:r>
            <w:r w:rsidR="00BF2BAB">
              <w:rPr>
                <w:rFonts w:ascii="Calibri" w:hAnsi="Calibri" w:cs="Calibri"/>
              </w:rPr>
              <w:t xml:space="preserve"> </w:t>
            </w:r>
            <w:r w:rsidRPr="00F8728A">
              <w:rPr>
                <w:rFonts w:ascii="Calibri" w:hAnsi="Calibri" w:cs="Calibri"/>
              </w:rPr>
              <w:t>471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Дулово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6</w:t>
            </w:r>
            <w:r w:rsidR="00BF2BAB">
              <w:rPr>
                <w:rFonts w:ascii="Calibri" w:hAnsi="Calibri" w:cs="Calibri"/>
              </w:rPr>
              <w:t xml:space="preserve"> </w:t>
            </w:r>
            <w:r w:rsidRPr="00F8728A">
              <w:rPr>
                <w:rFonts w:ascii="Calibri" w:hAnsi="Calibri" w:cs="Calibri"/>
              </w:rPr>
              <w:t>392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Генерал Тошево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6</w:t>
            </w:r>
            <w:r w:rsidR="00BF2BAB">
              <w:rPr>
                <w:rFonts w:ascii="Calibri" w:hAnsi="Calibri" w:cs="Calibri"/>
              </w:rPr>
              <w:t xml:space="preserve"> </w:t>
            </w:r>
            <w:r w:rsidRPr="00F8728A">
              <w:rPr>
                <w:rFonts w:ascii="Calibri" w:hAnsi="Calibri" w:cs="Calibri"/>
              </w:rPr>
              <w:t>344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Симеоновград</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6</w:t>
            </w:r>
            <w:r w:rsidR="00BF2BAB">
              <w:rPr>
                <w:rFonts w:ascii="Calibri" w:hAnsi="Calibri" w:cs="Calibri"/>
              </w:rPr>
              <w:t xml:space="preserve"> </w:t>
            </w:r>
            <w:r w:rsidRPr="00F8728A">
              <w:rPr>
                <w:rFonts w:ascii="Calibri" w:hAnsi="Calibri" w:cs="Calibri"/>
              </w:rPr>
              <w:t>226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Девин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6</w:t>
            </w:r>
            <w:r w:rsidR="00BF2BAB">
              <w:rPr>
                <w:rFonts w:ascii="Calibri" w:hAnsi="Calibri" w:cs="Calibri"/>
              </w:rPr>
              <w:t xml:space="preserve"> </w:t>
            </w:r>
            <w:r w:rsidRPr="00F8728A">
              <w:rPr>
                <w:rFonts w:ascii="Calibri" w:hAnsi="Calibri" w:cs="Calibri"/>
              </w:rPr>
              <w:t>223</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Костенец</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6</w:t>
            </w:r>
            <w:r w:rsidR="00BF2BAB">
              <w:rPr>
                <w:rFonts w:ascii="Calibri" w:hAnsi="Calibri" w:cs="Calibri"/>
              </w:rPr>
              <w:t xml:space="preserve"> </w:t>
            </w:r>
            <w:r w:rsidRPr="00F8728A">
              <w:rPr>
                <w:rFonts w:ascii="Calibri" w:hAnsi="Calibri" w:cs="Calibri"/>
              </w:rPr>
              <w:t>202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Царево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5</w:t>
            </w:r>
            <w:r w:rsidR="00BF2BAB">
              <w:rPr>
                <w:rFonts w:ascii="Calibri" w:hAnsi="Calibri" w:cs="Calibri"/>
              </w:rPr>
              <w:t xml:space="preserve"> </w:t>
            </w:r>
            <w:r w:rsidRPr="00F8728A">
              <w:rPr>
                <w:rFonts w:ascii="Calibri" w:hAnsi="Calibri" w:cs="Calibri"/>
              </w:rPr>
              <w:t>935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D95EE3">
            <w:pPr>
              <w:spacing w:after="0"/>
              <w:jc w:val="both"/>
              <w:rPr>
                <w:rFonts w:ascii="Calibri" w:hAnsi="Calibri" w:cs="Calibri"/>
                <w:i/>
                <w:szCs w:val="20"/>
              </w:rPr>
            </w:pPr>
            <w:r w:rsidRPr="00F8728A">
              <w:rPr>
                <w:rFonts w:ascii="Calibri" w:hAnsi="Calibri" w:cs="Calibri"/>
                <w:i/>
                <w:szCs w:val="20"/>
              </w:rPr>
              <w:t>Черноморски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Вършец</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5</w:t>
            </w:r>
            <w:r w:rsidR="00BF2BAB">
              <w:rPr>
                <w:rFonts w:ascii="Calibri" w:hAnsi="Calibri" w:cs="Calibri"/>
              </w:rPr>
              <w:t xml:space="preserve"> </w:t>
            </w:r>
            <w:r w:rsidRPr="00F8728A">
              <w:rPr>
                <w:rFonts w:ascii="Calibri" w:hAnsi="Calibri" w:cs="Calibri"/>
              </w:rPr>
              <w:t>816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Тервел</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5</w:t>
            </w:r>
            <w:r w:rsidR="00BF2BAB">
              <w:rPr>
                <w:rFonts w:ascii="Calibri" w:hAnsi="Calibri" w:cs="Calibri"/>
              </w:rPr>
              <w:t xml:space="preserve"> </w:t>
            </w:r>
            <w:r w:rsidRPr="00F8728A">
              <w:rPr>
                <w:rFonts w:ascii="Calibri" w:hAnsi="Calibri" w:cs="Calibri"/>
              </w:rPr>
              <w:t>781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Куклен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5</w:t>
            </w:r>
            <w:r w:rsidR="00BF2BAB">
              <w:rPr>
                <w:rFonts w:ascii="Calibri" w:hAnsi="Calibri" w:cs="Calibri"/>
              </w:rPr>
              <w:t xml:space="preserve"> </w:t>
            </w:r>
            <w:r w:rsidRPr="00F8728A">
              <w:rPr>
                <w:rFonts w:ascii="Calibri" w:hAnsi="Calibri" w:cs="Calibri"/>
              </w:rPr>
              <w:t>770</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Стралджа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5</w:t>
            </w:r>
            <w:r w:rsidR="00BF2BAB">
              <w:rPr>
                <w:rFonts w:ascii="Calibri" w:hAnsi="Calibri" w:cs="Calibri"/>
              </w:rPr>
              <w:t xml:space="preserve"> </w:t>
            </w:r>
            <w:r w:rsidRPr="00F8728A">
              <w:rPr>
                <w:rFonts w:ascii="Calibri" w:hAnsi="Calibri" w:cs="Calibri"/>
              </w:rPr>
              <w:t>688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Твърдица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5</w:t>
            </w:r>
            <w:r w:rsidR="00BF2BAB">
              <w:rPr>
                <w:rFonts w:ascii="Calibri" w:hAnsi="Calibri" w:cs="Calibri"/>
              </w:rPr>
              <w:t xml:space="preserve"> </w:t>
            </w:r>
            <w:r w:rsidRPr="00F8728A">
              <w:rPr>
                <w:rFonts w:ascii="Calibri" w:hAnsi="Calibri" w:cs="Calibri"/>
              </w:rPr>
              <w:t>681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Божурище</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5</w:t>
            </w:r>
            <w:r w:rsidR="00BF2BAB">
              <w:rPr>
                <w:rFonts w:ascii="Calibri" w:hAnsi="Calibri" w:cs="Calibri"/>
              </w:rPr>
              <w:t xml:space="preserve"> </w:t>
            </w:r>
            <w:r w:rsidRPr="00F8728A">
              <w:rPr>
                <w:rFonts w:ascii="Calibri" w:hAnsi="Calibri" w:cs="Calibri"/>
              </w:rPr>
              <w:t>543</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Съединение</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5</w:t>
            </w:r>
            <w:r w:rsidR="00BF2BAB">
              <w:rPr>
                <w:rFonts w:ascii="Calibri" w:hAnsi="Calibri" w:cs="Calibri"/>
              </w:rPr>
              <w:t xml:space="preserve"> </w:t>
            </w:r>
            <w:r w:rsidRPr="00F8728A">
              <w:rPr>
                <w:rFonts w:ascii="Calibri" w:hAnsi="Calibri" w:cs="Calibri"/>
              </w:rPr>
              <w:t>502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Мадан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5</w:t>
            </w:r>
            <w:r w:rsidR="00BF2BAB">
              <w:rPr>
                <w:rFonts w:ascii="Calibri" w:hAnsi="Calibri" w:cs="Calibri"/>
              </w:rPr>
              <w:t xml:space="preserve"> </w:t>
            </w:r>
            <w:r w:rsidRPr="00F8728A">
              <w:rPr>
                <w:rFonts w:ascii="Calibri" w:hAnsi="Calibri" w:cs="Calibri"/>
              </w:rPr>
              <w:t>455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Якоруда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5</w:t>
            </w:r>
            <w:r w:rsidR="00BF2BAB">
              <w:rPr>
                <w:rFonts w:ascii="Calibri" w:hAnsi="Calibri" w:cs="Calibri"/>
              </w:rPr>
              <w:t xml:space="preserve"> </w:t>
            </w:r>
            <w:r w:rsidRPr="00F8728A">
              <w:rPr>
                <w:rFonts w:ascii="Calibri" w:hAnsi="Calibri" w:cs="Calibri"/>
              </w:rPr>
              <w:t>385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Котел</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5</w:t>
            </w:r>
            <w:r w:rsidR="00BF2BAB">
              <w:rPr>
                <w:rFonts w:ascii="Calibri" w:hAnsi="Calibri" w:cs="Calibri"/>
              </w:rPr>
              <w:t xml:space="preserve"> </w:t>
            </w:r>
            <w:r w:rsidRPr="00F8728A">
              <w:rPr>
                <w:rFonts w:ascii="Calibri" w:hAnsi="Calibri" w:cs="Calibri"/>
              </w:rPr>
              <w:t>329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Бобов дол</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5</w:t>
            </w:r>
            <w:r w:rsidR="00BF2BAB">
              <w:rPr>
                <w:rFonts w:ascii="Calibri" w:hAnsi="Calibri" w:cs="Calibri"/>
              </w:rPr>
              <w:t xml:space="preserve"> </w:t>
            </w:r>
            <w:r w:rsidRPr="00F8728A">
              <w:rPr>
                <w:rFonts w:ascii="Calibri" w:hAnsi="Calibri" w:cs="Calibri"/>
              </w:rPr>
              <w:t>177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Елена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5</w:t>
            </w:r>
            <w:r w:rsidR="00BF2BAB">
              <w:rPr>
                <w:rFonts w:ascii="Calibri" w:hAnsi="Calibri" w:cs="Calibri"/>
              </w:rPr>
              <w:t xml:space="preserve"> </w:t>
            </w:r>
            <w:r w:rsidRPr="00F8728A">
              <w:rPr>
                <w:rFonts w:ascii="Calibri" w:hAnsi="Calibri" w:cs="Calibri"/>
              </w:rPr>
              <w:t>054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Тополовград</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w:t>
            </w:r>
            <w:r w:rsidR="00BF2BAB">
              <w:rPr>
                <w:rFonts w:ascii="Calibri" w:hAnsi="Calibri" w:cs="Calibri"/>
              </w:rPr>
              <w:t xml:space="preserve"> </w:t>
            </w:r>
            <w:r w:rsidRPr="00F8728A">
              <w:rPr>
                <w:rFonts w:ascii="Calibri" w:hAnsi="Calibri" w:cs="Calibri"/>
              </w:rPr>
              <w:t>986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Чепеларе</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w:t>
            </w:r>
            <w:r w:rsidR="00BF2BAB">
              <w:rPr>
                <w:rFonts w:ascii="Calibri" w:hAnsi="Calibri" w:cs="Calibri"/>
              </w:rPr>
              <w:t xml:space="preserve"> </w:t>
            </w:r>
            <w:r w:rsidRPr="00F8728A">
              <w:rPr>
                <w:rFonts w:ascii="Calibri" w:hAnsi="Calibri" w:cs="Calibri"/>
              </w:rPr>
              <w:t>944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Перущица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w:t>
            </w:r>
            <w:r w:rsidR="00BF2BAB">
              <w:rPr>
                <w:rFonts w:ascii="Calibri" w:hAnsi="Calibri" w:cs="Calibri"/>
              </w:rPr>
              <w:t xml:space="preserve"> </w:t>
            </w:r>
            <w:r w:rsidRPr="00F8728A">
              <w:rPr>
                <w:rFonts w:ascii="Calibri" w:hAnsi="Calibri" w:cs="Calibri"/>
              </w:rPr>
              <w:t>851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Белоградчик</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w:t>
            </w:r>
            <w:r w:rsidR="00BF2BAB">
              <w:rPr>
                <w:rFonts w:ascii="Calibri" w:hAnsi="Calibri" w:cs="Calibri"/>
              </w:rPr>
              <w:t xml:space="preserve"> </w:t>
            </w:r>
            <w:r w:rsidRPr="00F8728A">
              <w:rPr>
                <w:rFonts w:ascii="Calibri" w:hAnsi="Calibri" w:cs="Calibri"/>
              </w:rPr>
              <w:t>694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Златица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w:t>
            </w:r>
            <w:r w:rsidR="00BF2BAB">
              <w:rPr>
                <w:rFonts w:ascii="Calibri" w:hAnsi="Calibri" w:cs="Calibri"/>
              </w:rPr>
              <w:t xml:space="preserve"> </w:t>
            </w:r>
            <w:r w:rsidRPr="00F8728A">
              <w:rPr>
                <w:rFonts w:ascii="Calibri" w:hAnsi="Calibri" w:cs="Calibri"/>
              </w:rPr>
              <w:t>687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Крумовград</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w:t>
            </w:r>
            <w:r w:rsidR="00BF2BAB">
              <w:rPr>
                <w:rFonts w:ascii="Calibri" w:hAnsi="Calibri" w:cs="Calibri"/>
              </w:rPr>
              <w:t xml:space="preserve"> </w:t>
            </w:r>
            <w:r w:rsidRPr="00F8728A">
              <w:rPr>
                <w:rFonts w:ascii="Calibri" w:hAnsi="Calibri" w:cs="Calibri"/>
              </w:rPr>
              <w:t>631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Суворово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w:t>
            </w:r>
            <w:r w:rsidR="00BF2BAB">
              <w:rPr>
                <w:rFonts w:ascii="Calibri" w:hAnsi="Calibri" w:cs="Calibri"/>
              </w:rPr>
              <w:t xml:space="preserve"> </w:t>
            </w:r>
            <w:r w:rsidRPr="00F8728A">
              <w:rPr>
                <w:rFonts w:ascii="Calibri" w:hAnsi="Calibri" w:cs="Calibri"/>
              </w:rPr>
              <w:t>546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Долна баня</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w:t>
            </w:r>
            <w:r w:rsidR="00BF2BAB">
              <w:rPr>
                <w:rFonts w:ascii="Calibri" w:hAnsi="Calibri" w:cs="Calibri"/>
              </w:rPr>
              <w:t xml:space="preserve"> </w:t>
            </w:r>
            <w:r w:rsidRPr="00F8728A">
              <w:rPr>
                <w:rFonts w:ascii="Calibri" w:hAnsi="Calibri" w:cs="Calibri"/>
              </w:rPr>
              <w:t>531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Дългопол</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w:t>
            </w:r>
            <w:r w:rsidR="00BF2BAB">
              <w:rPr>
                <w:rFonts w:ascii="Calibri" w:hAnsi="Calibri" w:cs="Calibri"/>
              </w:rPr>
              <w:t xml:space="preserve"> </w:t>
            </w:r>
            <w:r w:rsidRPr="00F8728A">
              <w:rPr>
                <w:rFonts w:ascii="Calibri" w:hAnsi="Calibri" w:cs="Calibri"/>
              </w:rPr>
              <w:t>506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Оряхово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w:t>
            </w:r>
            <w:r w:rsidR="00BF2BAB">
              <w:rPr>
                <w:rFonts w:ascii="Calibri" w:hAnsi="Calibri" w:cs="Calibri"/>
              </w:rPr>
              <w:t xml:space="preserve"> </w:t>
            </w:r>
            <w:r w:rsidRPr="00F8728A">
              <w:rPr>
                <w:rFonts w:ascii="Calibri" w:hAnsi="Calibri" w:cs="Calibri"/>
              </w:rPr>
              <w:t>495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Дунавски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Созопол</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w:t>
            </w:r>
            <w:r w:rsidR="00BF2BAB">
              <w:rPr>
                <w:rFonts w:ascii="Calibri" w:hAnsi="Calibri" w:cs="Calibri"/>
              </w:rPr>
              <w:t xml:space="preserve"> </w:t>
            </w:r>
            <w:r w:rsidRPr="00F8728A">
              <w:rPr>
                <w:rFonts w:ascii="Calibri" w:hAnsi="Calibri" w:cs="Calibri"/>
              </w:rPr>
              <w:t>342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D95EE3">
            <w:pPr>
              <w:spacing w:after="0"/>
              <w:jc w:val="both"/>
              <w:rPr>
                <w:rFonts w:ascii="Calibri" w:hAnsi="Calibri" w:cs="Calibri"/>
                <w:i/>
                <w:szCs w:val="20"/>
              </w:rPr>
            </w:pPr>
            <w:r w:rsidRPr="00F8728A">
              <w:rPr>
                <w:rFonts w:ascii="Calibri" w:hAnsi="Calibri" w:cs="Calibri"/>
                <w:i/>
                <w:szCs w:val="20"/>
              </w:rPr>
              <w:t>Черноморски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Стражица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w:t>
            </w:r>
            <w:r w:rsidR="00BF2BAB">
              <w:rPr>
                <w:rFonts w:ascii="Calibri" w:hAnsi="Calibri" w:cs="Calibri"/>
              </w:rPr>
              <w:t xml:space="preserve"> </w:t>
            </w:r>
            <w:r w:rsidRPr="00F8728A">
              <w:rPr>
                <w:rFonts w:ascii="Calibri" w:hAnsi="Calibri" w:cs="Calibri"/>
              </w:rPr>
              <w:t>322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Ветово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w:t>
            </w:r>
            <w:r w:rsidR="00BF2BAB">
              <w:rPr>
                <w:rFonts w:ascii="Calibri" w:hAnsi="Calibri" w:cs="Calibri"/>
              </w:rPr>
              <w:t xml:space="preserve"> </w:t>
            </w:r>
            <w:r w:rsidRPr="00F8728A">
              <w:rPr>
                <w:rFonts w:ascii="Calibri" w:hAnsi="Calibri" w:cs="Calibri"/>
              </w:rPr>
              <w:t>241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Камено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w:t>
            </w:r>
            <w:r w:rsidR="00BF2BAB">
              <w:rPr>
                <w:rFonts w:ascii="Calibri" w:hAnsi="Calibri" w:cs="Calibri"/>
              </w:rPr>
              <w:t xml:space="preserve"> </w:t>
            </w:r>
            <w:r w:rsidRPr="00F8728A">
              <w:rPr>
                <w:rFonts w:ascii="Calibri" w:hAnsi="Calibri" w:cs="Calibri"/>
              </w:rPr>
              <w:t>185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Тръстеник</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w:t>
            </w:r>
            <w:r w:rsidR="00BF2BAB">
              <w:rPr>
                <w:rFonts w:ascii="Calibri" w:hAnsi="Calibri" w:cs="Calibri"/>
              </w:rPr>
              <w:t xml:space="preserve"> </w:t>
            </w:r>
            <w:r w:rsidRPr="00F8728A">
              <w:rPr>
                <w:rFonts w:ascii="Calibri" w:hAnsi="Calibri" w:cs="Calibri"/>
              </w:rPr>
              <w:t>072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Костандово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w:t>
            </w:r>
            <w:r w:rsidR="00BF2BAB">
              <w:rPr>
                <w:rFonts w:ascii="Calibri" w:hAnsi="Calibri" w:cs="Calibri"/>
              </w:rPr>
              <w:t xml:space="preserve"> </w:t>
            </w:r>
            <w:r w:rsidRPr="00F8728A">
              <w:rPr>
                <w:rFonts w:ascii="Calibri" w:hAnsi="Calibri" w:cs="Calibri"/>
              </w:rPr>
              <w:t>063</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Годеч</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w:t>
            </w:r>
            <w:r w:rsidR="00BF2BAB">
              <w:rPr>
                <w:rFonts w:ascii="Calibri" w:hAnsi="Calibri" w:cs="Calibri"/>
              </w:rPr>
              <w:t xml:space="preserve"> </w:t>
            </w:r>
            <w:r w:rsidRPr="00F8728A">
              <w:rPr>
                <w:rFonts w:ascii="Calibri" w:hAnsi="Calibri" w:cs="Calibri"/>
              </w:rPr>
              <w:t>039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Полски Тръмбеш</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w:t>
            </w:r>
            <w:r w:rsidR="00BF2BAB">
              <w:rPr>
                <w:rFonts w:ascii="Calibri" w:hAnsi="Calibri" w:cs="Calibri"/>
              </w:rPr>
              <w:t xml:space="preserve"> </w:t>
            </w:r>
            <w:r w:rsidRPr="00F8728A">
              <w:rPr>
                <w:rFonts w:ascii="Calibri" w:hAnsi="Calibri" w:cs="Calibri"/>
              </w:rPr>
              <w:t>015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Игнатиево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w:t>
            </w:r>
            <w:r w:rsidR="00BF2BAB">
              <w:rPr>
                <w:rFonts w:ascii="Calibri" w:hAnsi="Calibri" w:cs="Calibri"/>
              </w:rPr>
              <w:t xml:space="preserve"> </w:t>
            </w:r>
            <w:r w:rsidRPr="00F8728A">
              <w:rPr>
                <w:rFonts w:ascii="Calibri" w:hAnsi="Calibri" w:cs="Calibri"/>
              </w:rPr>
              <w:t>004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Неделино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978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Брезник</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935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Две могили</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927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Долни Дъбник</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927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Брацигово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870</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Дебелец</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860</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Стрелча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821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Ардино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799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Свети Влас</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714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D95EE3">
            <w:pPr>
              <w:spacing w:after="0"/>
              <w:jc w:val="both"/>
              <w:rPr>
                <w:rFonts w:ascii="Calibri" w:hAnsi="Calibri" w:cs="Calibri"/>
                <w:i/>
                <w:szCs w:val="20"/>
              </w:rPr>
            </w:pPr>
            <w:r w:rsidRPr="00F8728A">
              <w:rPr>
                <w:rFonts w:ascii="Calibri" w:hAnsi="Calibri" w:cs="Calibri"/>
                <w:i/>
                <w:szCs w:val="20"/>
              </w:rPr>
              <w:t>Черноморски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Славяново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674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Правец</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636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Шивачево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627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Смядово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601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Сапарева Баня</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595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Белово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530</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Рудозем</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462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Мартен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461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D95EE3">
            <w:pPr>
              <w:spacing w:after="0"/>
              <w:jc w:val="both"/>
              <w:rPr>
                <w:rFonts w:ascii="Calibri" w:hAnsi="Calibri" w:cs="Calibri"/>
                <w:i/>
                <w:szCs w:val="20"/>
              </w:rPr>
            </w:pPr>
            <w:r w:rsidRPr="00F8728A">
              <w:rPr>
                <w:rFonts w:ascii="Calibri" w:hAnsi="Calibri" w:cs="Calibri"/>
                <w:i/>
                <w:szCs w:val="20"/>
              </w:rPr>
              <w:t>Дунавски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Сърница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452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Кресна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425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Ивайловград</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385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Цар Калоян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377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Койнаре</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359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Върбица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300</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Баня</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259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Вълчедръм</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238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Крън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228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Глоджево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218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Шабла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214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D95EE3">
            <w:pPr>
              <w:spacing w:after="0"/>
              <w:jc w:val="both"/>
              <w:rPr>
                <w:rFonts w:ascii="Calibri" w:hAnsi="Calibri" w:cs="Calibri"/>
                <w:i/>
                <w:szCs w:val="20"/>
              </w:rPr>
            </w:pPr>
            <w:r w:rsidRPr="00F8728A">
              <w:rPr>
                <w:rFonts w:ascii="Calibri" w:hAnsi="Calibri" w:cs="Calibri"/>
                <w:i/>
                <w:szCs w:val="20"/>
              </w:rPr>
              <w:t>Черноморски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Драгоман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161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Мъглиж</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128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Белица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107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Джебел</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101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Сунгурларе</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998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Никопол</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994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Дунавски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Гулянци</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988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Приморско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966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D95EE3">
            <w:pPr>
              <w:spacing w:after="0"/>
              <w:jc w:val="both"/>
              <w:rPr>
                <w:rFonts w:ascii="Calibri" w:hAnsi="Calibri" w:cs="Calibri"/>
                <w:i/>
                <w:szCs w:val="20"/>
              </w:rPr>
            </w:pPr>
            <w:r w:rsidRPr="00F8728A">
              <w:rPr>
                <w:rFonts w:ascii="Calibri" w:hAnsi="Calibri" w:cs="Calibri"/>
                <w:i/>
                <w:szCs w:val="20"/>
              </w:rPr>
              <w:t>Черноморски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Вълчи Дол</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962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Искър</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939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Батак</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924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Сливо Поле</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895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Каблешково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888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Ветрен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886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Долна Митрополия</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871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Калофер</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846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Каспичан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833</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Мизия</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803</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Завет</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802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Николаево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728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Гурково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722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Кула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720</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Криводол</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719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Долна Оряховица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689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Добринище</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688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Ябланица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681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Бухово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624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Априлци</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623</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Роман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570</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Павел Баня</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554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Опака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547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Хаджидимово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539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Летница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479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Садово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476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Угърчин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448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Обзор</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442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D95EE3">
            <w:pPr>
              <w:spacing w:after="0"/>
              <w:jc w:val="both"/>
              <w:rPr>
                <w:rFonts w:ascii="Calibri" w:hAnsi="Calibri" w:cs="Calibri"/>
                <w:i/>
                <w:szCs w:val="20"/>
              </w:rPr>
            </w:pPr>
            <w:r w:rsidRPr="00F8728A">
              <w:rPr>
                <w:rFonts w:ascii="Calibri" w:hAnsi="Calibri" w:cs="Calibri"/>
                <w:i/>
                <w:szCs w:val="20"/>
              </w:rPr>
              <w:t>Черноморски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Трън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315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Ахелой</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310</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D95EE3">
            <w:pPr>
              <w:spacing w:after="0"/>
              <w:jc w:val="both"/>
              <w:rPr>
                <w:rFonts w:ascii="Calibri" w:hAnsi="Calibri" w:cs="Calibri"/>
                <w:i/>
                <w:szCs w:val="20"/>
              </w:rPr>
            </w:pPr>
            <w:r w:rsidRPr="00F8728A">
              <w:rPr>
                <w:rFonts w:ascii="Calibri" w:hAnsi="Calibri" w:cs="Calibri"/>
                <w:i/>
                <w:szCs w:val="20"/>
              </w:rPr>
              <w:t>Черноморски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Брегово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291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Рила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217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Доспат</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191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Малко Търново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139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Копривщица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135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Батановци</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134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Килифарево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131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Кочериново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130</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Черноморец</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125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D95EE3">
            <w:pPr>
              <w:spacing w:after="0"/>
              <w:jc w:val="both"/>
              <w:rPr>
                <w:rFonts w:ascii="Calibri" w:hAnsi="Calibri" w:cs="Calibri"/>
                <w:i/>
                <w:szCs w:val="20"/>
              </w:rPr>
            </w:pPr>
            <w:r w:rsidRPr="00F8728A">
              <w:rPr>
                <w:rFonts w:ascii="Calibri" w:hAnsi="Calibri" w:cs="Calibri"/>
                <w:i/>
                <w:szCs w:val="20"/>
              </w:rPr>
              <w:t>Черноморски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Бяла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102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D95EE3">
            <w:pPr>
              <w:spacing w:after="0"/>
              <w:jc w:val="both"/>
              <w:rPr>
                <w:rFonts w:ascii="Calibri" w:hAnsi="Calibri" w:cs="Calibri"/>
                <w:i/>
                <w:szCs w:val="20"/>
              </w:rPr>
            </w:pPr>
            <w:r w:rsidRPr="00F8728A">
              <w:rPr>
                <w:rFonts w:ascii="Calibri" w:hAnsi="Calibri" w:cs="Calibri"/>
                <w:i/>
                <w:szCs w:val="20"/>
              </w:rPr>
              <w:t>Черноморски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Лозница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102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Златарица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101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Дунавци</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975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Лъки</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918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Пордим</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889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Борово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836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Брезово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734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Бяла Черква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727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Сухиндол</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697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Чипровци</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656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Българово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581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Плачковци</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572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Кермен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569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Земен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543</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Меричлери</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541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Каолиново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 xml:space="preserve"> 501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Момин Проход</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462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Антоново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455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Алфатар</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437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Главиница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393</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Грамада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366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Бойчиновци</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323</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Сеново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286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Ахтопол</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283</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D95EE3">
            <w:pPr>
              <w:spacing w:after="0"/>
              <w:jc w:val="both"/>
              <w:rPr>
                <w:rFonts w:ascii="Calibri" w:hAnsi="Calibri" w:cs="Calibri"/>
                <w:i/>
                <w:szCs w:val="20"/>
              </w:rPr>
            </w:pPr>
            <w:r w:rsidRPr="00F8728A">
              <w:rPr>
                <w:rFonts w:ascii="Calibri" w:hAnsi="Calibri" w:cs="Calibri"/>
                <w:i/>
                <w:szCs w:val="20"/>
              </w:rPr>
              <w:t>Черноморски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Шипка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189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Бобошево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166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Болярово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132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Димово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071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Брусарци</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012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Клисура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966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Китен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947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D95EE3">
            <w:pPr>
              <w:spacing w:after="0"/>
              <w:jc w:val="both"/>
              <w:rPr>
                <w:rFonts w:ascii="Calibri" w:hAnsi="Calibri" w:cs="Calibri"/>
                <w:i/>
                <w:szCs w:val="20"/>
              </w:rPr>
            </w:pPr>
            <w:r w:rsidRPr="00F8728A">
              <w:rPr>
                <w:rFonts w:ascii="Calibri" w:hAnsi="Calibri" w:cs="Calibri"/>
                <w:i/>
                <w:szCs w:val="20"/>
              </w:rPr>
              <w:t>Черноморски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Плиска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853</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Маджарово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587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Мелник</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199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bl>
    <w:p w:rsidR="00AA4661" w:rsidRPr="00F8728A" w:rsidRDefault="00AA4661" w:rsidP="00F21A3F">
      <w:pPr>
        <w:spacing w:before="60" w:after="200"/>
        <w:jc w:val="center"/>
        <w:rPr>
          <w:rFonts w:ascii="Calibri" w:hAnsi="Calibri" w:cs="Calibri"/>
          <w:i/>
          <w:szCs w:val="20"/>
        </w:rPr>
      </w:pPr>
      <w:r w:rsidRPr="00F8728A">
        <w:rPr>
          <w:rFonts w:ascii="Calibri" w:hAnsi="Calibri" w:cs="Calibri"/>
          <w:i/>
          <w:szCs w:val="20"/>
        </w:rPr>
        <w:t>Бележка: Размер на градовете според броя на населението: Големи градове – над 100</w:t>
      </w:r>
      <w:r w:rsidR="00BF2BAB">
        <w:rPr>
          <w:rFonts w:ascii="Calibri" w:hAnsi="Calibri" w:cs="Calibri"/>
          <w:i/>
          <w:szCs w:val="20"/>
        </w:rPr>
        <w:t xml:space="preserve"> </w:t>
      </w:r>
      <w:r w:rsidRPr="00F8728A">
        <w:rPr>
          <w:rFonts w:ascii="Calibri" w:hAnsi="Calibri" w:cs="Calibri"/>
          <w:i/>
          <w:szCs w:val="20"/>
        </w:rPr>
        <w:t>000 жители, средни – 30</w:t>
      </w:r>
      <w:r w:rsidR="00BF2BAB">
        <w:rPr>
          <w:rFonts w:ascii="Calibri" w:hAnsi="Calibri" w:cs="Calibri"/>
          <w:i/>
          <w:szCs w:val="20"/>
        </w:rPr>
        <w:t xml:space="preserve"> </w:t>
      </w:r>
      <w:r w:rsidRPr="00F8728A">
        <w:rPr>
          <w:rFonts w:ascii="Calibri" w:hAnsi="Calibri" w:cs="Calibri"/>
          <w:i/>
          <w:szCs w:val="20"/>
        </w:rPr>
        <w:t>000 до 100</w:t>
      </w:r>
      <w:r w:rsidR="00BF2BAB">
        <w:rPr>
          <w:rFonts w:ascii="Calibri" w:hAnsi="Calibri" w:cs="Calibri"/>
          <w:i/>
          <w:szCs w:val="20"/>
        </w:rPr>
        <w:t xml:space="preserve"> </w:t>
      </w:r>
      <w:r w:rsidRPr="00F8728A">
        <w:rPr>
          <w:rFonts w:ascii="Calibri" w:hAnsi="Calibri" w:cs="Calibri"/>
          <w:i/>
          <w:szCs w:val="20"/>
        </w:rPr>
        <w:t>000 жители, малки - под 30</w:t>
      </w:r>
      <w:r w:rsidR="00BF2BAB">
        <w:rPr>
          <w:rFonts w:ascii="Calibri" w:hAnsi="Calibri" w:cs="Calibri"/>
          <w:i/>
          <w:szCs w:val="20"/>
        </w:rPr>
        <w:t xml:space="preserve"> </w:t>
      </w:r>
      <w:r w:rsidRPr="00F8728A">
        <w:rPr>
          <w:rFonts w:ascii="Calibri" w:hAnsi="Calibri" w:cs="Calibri"/>
          <w:i/>
          <w:szCs w:val="20"/>
        </w:rPr>
        <w:t>000 жители</w:t>
      </w:r>
    </w:p>
    <w:p w:rsidR="00AA4661" w:rsidRPr="00F8728A" w:rsidRDefault="00AA4661" w:rsidP="00F21A3F">
      <w:pPr>
        <w:spacing w:before="60" w:after="200"/>
        <w:jc w:val="center"/>
        <w:rPr>
          <w:rFonts w:ascii="Calibri" w:hAnsi="Calibri" w:cs="Calibri"/>
          <w:i/>
          <w:szCs w:val="20"/>
        </w:rPr>
      </w:pPr>
      <w:r w:rsidRPr="00F8728A">
        <w:rPr>
          <w:rFonts w:ascii="Calibri" w:hAnsi="Calibri" w:cs="Calibri"/>
          <w:i/>
          <w:szCs w:val="20"/>
        </w:rPr>
        <w:t>Източник: НСИ, 2016 г. (население), Министерство на здравеопазването (Разположение на болници и центрове за спешна медицинска помощ), Министерство на вътрешните работи (Разположение на полицейски управления и пожарни), НЦТР (обработка на данни и карти), 2017 г.</w:t>
      </w:r>
    </w:p>
    <w:p w:rsidR="00AA4661" w:rsidRPr="00F8728A" w:rsidRDefault="00AA4661" w:rsidP="00FA5865">
      <w:pPr>
        <w:widowControl w:val="0"/>
        <w:spacing w:after="120"/>
        <w:jc w:val="center"/>
        <w:rPr>
          <w:rFonts w:ascii="Calibri" w:hAnsi="Calibri"/>
          <w:b/>
          <w:i/>
          <w:iCs/>
          <w:color w:val="44546A"/>
          <w:sz w:val="22"/>
          <w:szCs w:val="18"/>
          <w:lang w:eastAsia="bg-BG"/>
        </w:rPr>
      </w:pPr>
    </w:p>
    <w:p w:rsidR="00AA4661" w:rsidRPr="008E7DAC" w:rsidRDefault="00AA4661" w:rsidP="00B73D7E">
      <w:pPr>
        <w:pStyle w:val="FiguresTablesCaption"/>
      </w:pPr>
      <w:bookmarkStart w:id="845" w:name="_Toc529286651"/>
      <w:r w:rsidRPr="008E7DAC">
        <w:t xml:space="preserve">Таблица </w:t>
      </w:r>
      <w:r w:rsidRPr="008E7DAC">
        <w:fldChar w:fldCharType="begin"/>
      </w:r>
      <w:r w:rsidRPr="008E7DAC">
        <w:instrText xml:space="preserve"> SEQ Table \* ARABIC </w:instrText>
      </w:r>
      <w:r w:rsidRPr="008E7DAC">
        <w:fldChar w:fldCharType="separate"/>
      </w:r>
      <w:r w:rsidR="00145598" w:rsidRPr="00B73D7E">
        <w:t>24</w:t>
      </w:r>
      <w:r w:rsidRPr="008E7DAC">
        <w:fldChar w:fldCharType="end"/>
      </w:r>
      <w:r w:rsidRPr="008E7DAC">
        <w:t>. Местоположения на служби и услуги по типове градове</w:t>
      </w:r>
      <w:bookmarkEnd w:id="845"/>
    </w:p>
    <w:tbl>
      <w:tblPr>
        <w:tblW w:w="90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0" w:type="dxa"/>
          <w:right w:w="70" w:type="dxa"/>
        </w:tblCellMar>
        <w:tblLook w:val="00A0" w:firstRow="1" w:lastRow="0" w:firstColumn="1" w:lastColumn="0" w:noHBand="0" w:noVBand="0"/>
      </w:tblPr>
      <w:tblGrid>
        <w:gridCol w:w="1648"/>
        <w:gridCol w:w="1137"/>
        <w:gridCol w:w="1595"/>
        <w:gridCol w:w="1555"/>
        <w:gridCol w:w="1421"/>
        <w:gridCol w:w="1734"/>
      </w:tblGrid>
      <w:tr w:rsidR="00AA4661" w:rsidRPr="00F8728A" w:rsidTr="00045F19">
        <w:trPr>
          <w:jc w:val="center"/>
        </w:trPr>
        <w:tc>
          <w:tcPr>
            <w:tcW w:w="1648" w:type="dxa"/>
            <w:shd w:val="clear" w:color="auto" w:fill="365F91"/>
            <w:vAlign w:val="center"/>
          </w:tcPr>
          <w:p w:rsidR="00AA4661" w:rsidRPr="00F8728A" w:rsidRDefault="00AA4661" w:rsidP="00045F19">
            <w:pPr>
              <w:spacing w:before="40" w:after="40"/>
              <w:jc w:val="center"/>
              <w:rPr>
                <w:rFonts w:ascii="Calibri" w:hAnsi="Calibri"/>
                <w:b/>
                <w:color w:val="FFFFFF"/>
              </w:rPr>
            </w:pPr>
            <w:r w:rsidRPr="00F8728A">
              <w:rPr>
                <w:rFonts w:ascii="Calibri" w:hAnsi="Calibri"/>
                <w:b/>
                <w:color w:val="FFFFFF"/>
              </w:rPr>
              <w:t>Градове  по брой на населението</w:t>
            </w:r>
          </w:p>
        </w:tc>
        <w:tc>
          <w:tcPr>
            <w:tcW w:w="1137" w:type="dxa"/>
            <w:shd w:val="clear" w:color="auto" w:fill="365F91"/>
            <w:vAlign w:val="center"/>
          </w:tcPr>
          <w:p w:rsidR="00AA4661" w:rsidRPr="00F8728A" w:rsidRDefault="00AA4661" w:rsidP="00045F19">
            <w:pPr>
              <w:spacing w:before="40" w:after="40"/>
              <w:jc w:val="center"/>
              <w:rPr>
                <w:rFonts w:ascii="Calibri" w:hAnsi="Calibri"/>
                <w:b/>
                <w:color w:val="FFFFFF"/>
              </w:rPr>
            </w:pPr>
            <w:r w:rsidRPr="00F8728A">
              <w:rPr>
                <w:rFonts w:ascii="Calibri" w:hAnsi="Calibri"/>
                <w:b/>
                <w:color w:val="FFFFFF"/>
              </w:rPr>
              <w:t>Брой градове</w:t>
            </w:r>
          </w:p>
        </w:tc>
        <w:tc>
          <w:tcPr>
            <w:tcW w:w="1595" w:type="dxa"/>
            <w:shd w:val="clear" w:color="auto" w:fill="365F91"/>
            <w:vAlign w:val="center"/>
          </w:tcPr>
          <w:p w:rsidR="00AA4661" w:rsidRPr="00F8728A" w:rsidRDefault="00AA4661" w:rsidP="00045F19">
            <w:pPr>
              <w:spacing w:before="40" w:after="40"/>
              <w:jc w:val="center"/>
              <w:rPr>
                <w:rFonts w:ascii="Calibri" w:hAnsi="Calibri"/>
                <w:b/>
                <w:color w:val="FFFFFF"/>
              </w:rPr>
            </w:pPr>
            <w:r w:rsidRPr="00F8728A">
              <w:rPr>
                <w:rFonts w:ascii="Calibri" w:hAnsi="Calibri"/>
                <w:b/>
                <w:color w:val="FFFFFF"/>
              </w:rPr>
              <w:t>Общ брой болници (всички видове)</w:t>
            </w:r>
          </w:p>
        </w:tc>
        <w:tc>
          <w:tcPr>
            <w:tcW w:w="1555" w:type="dxa"/>
            <w:shd w:val="clear" w:color="auto" w:fill="365F91"/>
            <w:vAlign w:val="center"/>
          </w:tcPr>
          <w:p w:rsidR="00AA4661" w:rsidRPr="00F8728A" w:rsidRDefault="00AA4661" w:rsidP="00045F19">
            <w:pPr>
              <w:spacing w:before="40" w:after="40"/>
              <w:jc w:val="center"/>
              <w:rPr>
                <w:rFonts w:ascii="Calibri" w:hAnsi="Calibri"/>
                <w:b/>
                <w:color w:val="FFFFFF"/>
              </w:rPr>
            </w:pPr>
            <w:r w:rsidRPr="00F8728A">
              <w:rPr>
                <w:rFonts w:ascii="Calibri" w:hAnsi="Calibri"/>
                <w:b/>
                <w:color w:val="FFFFFF"/>
              </w:rPr>
              <w:t>Общ брой центрове за спешна помощ</w:t>
            </w:r>
          </w:p>
        </w:tc>
        <w:tc>
          <w:tcPr>
            <w:tcW w:w="1421" w:type="dxa"/>
            <w:shd w:val="clear" w:color="auto" w:fill="365F91"/>
            <w:vAlign w:val="center"/>
          </w:tcPr>
          <w:p w:rsidR="00AA4661" w:rsidRPr="00F8728A" w:rsidRDefault="00AA4661" w:rsidP="00045F19">
            <w:pPr>
              <w:spacing w:before="40" w:after="40"/>
              <w:jc w:val="center"/>
              <w:rPr>
                <w:rFonts w:ascii="Calibri" w:hAnsi="Calibri"/>
                <w:b/>
                <w:color w:val="FFFFFF"/>
              </w:rPr>
            </w:pPr>
            <w:r w:rsidRPr="00F8728A">
              <w:rPr>
                <w:rFonts w:ascii="Calibri" w:hAnsi="Calibri"/>
                <w:b/>
                <w:color w:val="FFFFFF"/>
              </w:rPr>
              <w:t>Общ брой полицейски управления</w:t>
            </w:r>
          </w:p>
        </w:tc>
        <w:tc>
          <w:tcPr>
            <w:tcW w:w="1734" w:type="dxa"/>
            <w:shd w:val="clear" w:color="auto" w:fill="365F91"/>
            <w:vAlign w:val="center"/>
          </w:tcPr>
          <w:p w:rsidR="00AA4661" w:rsidRPr="00F8728A" w:rsidRDefault="00AA4661" w:rsidP="00045F19">
            <w:pPr>
              <w:spacing w:before="40" w:after="40"/>
              <w:jc w:val="center"/>
              <w:rPr>
                <w:rFonts w:ascii="Calibri" w:hAnsi="Calibri"/>
                <w:b/>
                <w:color w:val="FFFFFF"/>
              </w:rPr>
            </w:pPr>
            <w:r w:rsidRPr="00F8728A">
              <w:rPr>
                <w:rFonts w:ascii="Calibri" w:hAnsi="Calibri"/>
                <w:b/>
                <w:color w:val="FFFFFF"/>
              </w:rPr>
              <w:t>Общ брой пожарни</w:t>
            </w:r>
          </w:p>
        </w:tc>
      </w:tr>
      <w:tr w:rsidR="00AA4661" w:rsidRPr="00F8728A" w:rsidTr="00045F19">
        <w:trPr>
          <w:jc w:val="center"/>
        </w:trPr>
        <w:tc>
          <w:tcPr>
            <w:tcW w:w="1648" w:type="dxa"/>
            <w:shd w:val="clear" w:color="auto" w:fill="B8CCE4"/>
            <w:vAlign w:val="center"/>
          </w:tcPr>
          <w:p w:rsidR="00AA4661" w:rsidRPr="00F8728A" w:rsidRDefault="00AA4661" w:rsidP="00045F19">
            <w:pPr>
              <w:spacing w:before="40" w:after="40"/>
              <w:jc w:val="both"/>
              <w:rPr>
                <w:rFonts w:ascii="Calibri" w:hAnsi="Calibri"/>
                <w:b/>
              </w:rPr>
            </w:pPr>
            <w:r w:rsidRPr="00F8728A">
              <w:rPr>
                <w:rFonts w:ascii="Calibri" w:hAnsi="Calibri"/>
                <w:b/>
              </w:rPr>
              <w:t>Голям</w:t>
            </w:r>
          </w:p>
        </w:tc>
        <w:tc>
          <w:tcPr>
            <w:tcW w:w="1137" w:type="dxa"/>
            <w:vAlign w:val="center"/>
          </w:tcPr>
          <w:p w:rsidR="00AA4661" w:rsidRPr="00F8728A" w:rsidRDefault="00AA4661" w:rsidP="00045F19">
            <w:pPr>
              <w:spacing w:before="40" w:after="40"/>
              <w:jc w:val="right"/>
              <w:rPr>
                <w:rFonts w:ascii="Calibri" w:hAnsi="Calibri"/>
              </w:rPr>
            </w:pPr>
            <w:r w:rsidRPr="00F8728A">
              <w:rPr>
                <w:rFonts w:ascii="Calibri" w:hAnsi="Calibri"/>
              </w:rPr>
              <w:t>6</w:t>
            </w:r>
          </w:p>
        </w:tc>
        <w:tc>
          <w:tcPr>
            <w:tcW w:w="1595" w:type="dxa"/>
            <w:vAlign w:val="center"/>
          </w:tcPr>
          <w:p w:rsidR="00AA4661" w:rsidRPr="00F8728A" w:rsidRDefault="00AA4661" w:rsidP="00045F19">
            <w:pPr>
              <w:spacing w:before="40" w:after="40"/>
              <w:jc w:val="right"/>
              <w:rPr>
                <w:rFonts w:ascii="Calibri" w:hAnsi="Calibri"/>
              </w:rPr>
            </w:pPr>
            <w:r w:rsidRPr="00F8728A">
              <w:rPr>
                <w:rFonts w:ascii="Calibri" w:hAnsi="Calibri"/>
              </w:rPr>
              <w:t>153</w:t>
            </w:r>
          </w:p>
        </w:tc>
        <w:tc>
          <w:tcPr>
            <w:tcW w:w="1555" w:type="dxa"/>
            <w:vAlign w:val="center"/>
          </w:tcPr>
          <w:p w:rsidR="00AA4661" w:rsidRPr="00F8728A" w:rsidRDefault="00AA4661" w:rsidP="00045F19">
            <w:pPr>
              <w:spacing w:before="40" w:after="40"/>
              <w:jc w:val="right"/>
              <w:rPr>
                <w:rFonts w:ascii="Calibri" w:hAnsi="Calibri"/>
              </w:rPr>
            </w:pPr>
            <w:r w:rsidRPr="00F8728A">
              <w:rPr>
                <w:rFonts w:ascii="Calibri" w:hAnsi="Calibri"/>
              </w:rPr>
              <w:t>9</w:t>
            </w:r>
          </w:p>
        </w:tc>
        <w:tc>
          <w:tcPr>
            <w:tcW w:w="1421" w:type="dxa"/>
            <w:vAlign w:val="center"/>
          </w:tcPr>
          <w:p w:rsidR="00AA4661" w:rsidRPr="00F8728A" w:rsidRDefault="00AA4661" w:rsidP="00045F19">
            <w:pPr>
              <w:spacing w:before="40" w:after="40"/>
              <w:jc w:val="right"/>
              <w:rPr>
                <w:rFonts w:ascii="Calibri" w:hAnsi="Calibri"/>
              </w:rPr>
            </w:pPr>
            <w:r w:rsidRPr="00F8728A">
              <w:rPr>
                <w:rFonts w:ascii="Calibri" w:hAnsi="Calibri"/>
              </w:rPr>
              <w:t>20</w:t>
            </w:r>
          </w:p>
        </w:tc>
        <w:tc>
          <w:tcPr>
            <w:tcW w:w="1734" w:type="dxa"/>
            <w:vAlign w:val="center"/>
          </w:tcPr>
          <w:p w:rsidR="00AA4661" w:rsidRPr="00F8728A" w:rsidRDefault="00AA4661" w:rsidP="00045F19">
            <w:pPr>
              <w:spacing w:before="40" w:after="40"/>
              <w:jc w:val="right"/>
              <w:rPr>
                <w:rFonts w:ascii="Calibri" w:hAnsi="Calibri"/>
              </w:rPr>
            </w:pPr>
            <w:r w:rsidRPr="00F8728A">
              <w:rPr>
                <w:rFonts w:ascii="Calibri" w:hAnsi="Calibri"/>
              </w:rPr>
              <w:t>28</w:t>
            </w:r>
          </w:p>
        </w:tc>
      </w:tr>
      <w:tr w:rsidR="00AA4661" w:rsidRPr="00F8728A" w:rsidTr="00045F19">
        <w:trPr>
          <w:jc w:val="center"/>
        </w:trPr>
        <w:tc>
          <w:tcPr>
            <w:tcW w:w="1648" w:type="dxa"/>
            <w:shd w:val="clear" w:color="auto" w:fill="B8CCE4"/>
            <w:vAlign w:val="center"/>
          </w:tcPr>
          <w:p w:rsidR="00AA4661" w:rsidRPr="00F8728A" w:rsidRDefault="00AA4661" w:rsidP="00045F19">
            <w:pPr>
              <w:spacing w:before="40" w:after="40"/>
              <w:jc w:val="both"/>
              <w:rPr>
                <w:rFonts w:ascii="Calibri" w:hAnsi="Calibri"/>
                <w:b/>
              </w:rPr>
            </w:pPr>
            <w:r w:rsidRPr="00F8728A">
              <w:rPr>
                <w:rFonts w:ascii="Calibri" w:hAnsi="Calibri"/>
                <w:b/>
              </w:rPr>
              <w:t>Среден</w:t>
            </w:r>
          </w:p>
        </w:tc>
        <w:tc>
          <w:tcPr>
            <w:tcW w:w="1137" w:type="dxa"/>
            <w:vAlign w:val="center"/>
          </w:tcPr>
          <w:p w:rsidR="00AA4661" w:rsidRPr="00F8728A" w:rsidRDefault="00AA4661" w:rsidP="00045F19">
            <w:pPr>
              <w:spacing w:before="40" w:after="40"/>
              <w:jc w:val="right"/>
              <w:rPr>
                <w:rFonts w:ascii="Calibri" w:hAnsi="Calibri"/>
              </w:rPr>
            </w:pPr>
            <w:r w:rsidRPr="00F8728A">
              <w:rPr>
                <w:rFonts w:ascii="Calibri" w:hAnsi="Calibri"/>
              </w:rPr>
              <w:t>24</w:t>
            </w:r>
          </w:p>
        </w:tc>
        <w:tc>
          <w:tcPr>
            <w:tcW w:w="1595" w:type="dxa"/>
            <w:vAlign w:val="center"/>
          </w:tcPr>
          <w:p w:rsidR="00AA4661" w:rsidRPr="00F8728A" w:rsidRDefault="00AA4661" w:rsidP="00045F19">
            <w:pPr>
              <w:spacing w:before="40" w:after="40"/>
              <w:jc w:val="right"/>
              <w:rPr>
                <w:rFonts w:ascii="Calibri" w:hAnsi="Calibri"/>
              </w:rPr>
            </w:pPr>
            <w:r w:rsidRPr="00F8728A">
              <w:rPr>
                <w:rFonts w:ascii="Calibri" w:hAnsi="Calibri"/>
              </w:rPr>
              <w:t>78</w:t>
            </w:r>
          </w:p>
        </w:tc>
        <w:tc>
          <w:tcPr>
            <w:tcW w:w="1555" w:type="dxa"/>
            <w:vAlign w:val="center"/>
          </w:tcPr>
          <w:p w:rsidR="00AA4661" w:rsidRPr="00F8728A" w:rsidRDefault="00AA4661" w:rsidP="00045F19">
            <w:pPr>
              <w:spacing w:before="40" w:after="40"/>
              <w:jc w:val="right"/>
              <w:rPr>
                <w:rFonts w:ascii="Calibri" w:hAnsi="Calibri"/>
              </w:rPr>
            </w:pPr>
            <w:r w:rsidRPr="00F8728A">
              <w:rPr>
                <w:rFonts w:ascii="Calibri" w:hAnsi="Calibri"/>
              </w:rPr>
              <w:t>39</w:t>
            </w:r>
          </w:p>
        </w:tc>
        <w:tc>
          <w:tcPr>
            <w:tcW w:w="1421" w:type="dxa"/>
            <w:vAlign w:val="center"/>
          </w:tcPr>
          <w:p w:rsidR="00AA4661" w:rsidRPr="00F8728A" w:rsidRDefault="00AA4661" w:rsidP="00045F19">
            <w:pPr>
              <w:spacing w:before="40" w:after="40"/>
              <w:jc w:val="right"/>
              <w:rPr>
                <w:rFonts w:ascii="Calibri" w:hAnsi="Calibri"/>
              </w:rPr>
            </w:pPr>
            <w:r w:rsidRPr="00F8728A">
              <w:rPr>
                <w:rFonts w:ascii="Calibri" w:hAnsi="Calibri"/>
              </w:rPr>
              <w:t>17</w:t>
            </w:r>
          </w:p>
        </w:tc>
        <w:tc>
          <w:tcPr>
            <w:tcW w:w="1734" w:type="dxa"/>
            <w:vAlign w:val="center"/>
          </w:tcPr>
          <w:p w:rsidR="00AA4661" w:rsidRPr="00F8728A" w:rsidRDefault="00AA4661" w:rsidP="00045F19">
            <w:pPr>
              <w:spacing w:before="40" w:after="40"/>
              <w:jc w:val="right"/>
              <w:rPr>
                <w:rFonts w:ascii="Calibri" w:hAnsi="Calibri"/>
              </w:rPr>
            </w:pPr>
            <w:r w:rsidRPr="00F8728A">
              <w:rPr>
                <w:rFonts w:ascii="Calibri" w:hAnsi="Calibri"/>
              </w:rPr>
              <w:t>45</w:t>
            </w:r>
          </w:p>
        </w:tc>
      </w:tr>
      <w:tr w:rsidR="00AA4661" w:rsidRPr="00F8728A" w:rsidTr="00045F19">
        <w:trPr>
          <w:jc w:val="center"/>
        </w:trPr>
        <w:tc>
          <w:tcPr>
            <w:tcW w:w="1648" w:type="dxa"/>
            <w:shd w:val="clear" w:color="auto" w:fill="B8CCE4"/>
            <w:vAlign w:val="center"/>
          </w:tcPr>
          <w:p w:rsidR="00AA4661" w:rsidRPr="00F8728A" w:rsidRDefault="00AA4661" w:rsidP="00045F19">
            <w:pPr>
              <w:spacing w:before="40" w:after="40"/>
              <w:jc w:val="both"/>
              <w:rPr>
                <w:rFonts w:ascii="Calibri" w:hAnsi="Calibri"/>
                <w:b/>
              </w:rPr>
            </w:pPr>
            <w:r w:rsidRPr="00F8728A">
              <w:rPr>
                <w:rFonts w:ascii="Calibri" w:hAnsi="Calibri"/>
                <w:b/>
              </w:rPr>
              <w:t>Малък</w:t>
            </w:r>
          </w:p>
        </w:tc>
        <w:tc>
          <w:tcPr>
            <w:tcW w:w="1137" w:type="dxa"/>
            <w:vAlign w:val="center"/>
          </w:tcPr>
          <w:p w:rsidR="00AA4661" w:rsidRPr="00F8728A" w:rsidRDefault="00AA4661" w:rsidP="00045F19">
            <w:pPr>
              <w:spacing w:before="40" w:after="40"/>
              <w:jc w:val="right"/>
              <w:rPr>
                <w:rFonts w:ascii="Calibri" w:hAnsi="Calibri"/>
              </w:rPr>
            </w:pPr>
            <w:r w:rsidRPr="00F8728A">
              <w:rPr>
                <w:rFonts w:ascii="Calibri" w:hAnsi="Calibri"/>
              </w:rPr>
              <w:t>227</w:t>
            </w:r>
          </w:p>
        </w:tc>
        <w:tc>
          <w:tcPr>
            <w:tcW w:w="1595" w:type="dxa"/>
            <w:vAlign w:val="center"/>
          </w:tcPr>
          <w:p w:rsidR="00AA4661" w:rsidRPr="00F8728A" w:rsidRDefault="00AA4661" w:rsidP="00045F19">
            <w:pPr>
              <w:spacing w:before="40" w:after="40"/>
              <w:jc w:val="right"/>
              <w:rPr>
                <w:rFonts w:ascii="Calibri" w:hAnsi="Calibri"/>
              </w:rPr>
            </w:pPr>
            <w:r w:rsidRPr="00F8728A">
              <w:rPr>
                <w:rFonts w:ascii="Calibri" w:hAnsi="Calibri"/>
              </w:rPr>
              <w:t>107</w:t>
            </w:r>
          </w:p>
        </w:tc>
        <w:tc>
          <w:tcPr>
            <w:tcW w:w="1555" w:type="dxa"/>
            <w:vAlign w:val="center"/>
          </w:tcPr>
          <w:p w:rsidR="00AA4661" w:rsidRPr="00F8728A" w:rsidRDefault="00AA4661" w:rsidP="00045F19">
            <w:pPr>
              <w:spacing w:before="40" w:after="40"/>
              <w:jc w:val="right"/>
              <w:rPr>
                <w:rFonts w:ascii="Calibri" w:hAnsi="Calibri"/>
              </w:rPr>
            </w:pPr>
            <w:r w:rsidRPr="00F8728A">
              <w:rPr>
                <w:rFonts w:ascii="Calibri" w:hAnsi="Calibri"/>
              </w:rPr>
              <w:t>155</w:t>
            </w:r>
          </w:p>
        </w:tc>
        <w:tc>
          <w:tcPr>
            <w:tcW w:w="1421" w:type="dxa"/>
            <w:vAlign w:val="center"/>
          </w:tcPr>
          <w:p w:rsidR="00AA4661" w:rsidRPr="00F8728A" w:rsidRDefault="00AA4661" w:rsidP="00045F19">
            <w:pPr>
              <w:spacing w:before="40" w:after="40"/>
              <w:jc w:val="right"/>
              <w:rPr>
                <w:rFonts w:ascii="Calibri" w:hAnsi="Calibri"/>
              </w:rPr>
            </w:pPr>
            <w:r w:rsidRPr="00F8728A">
              <w:rPr>
                <w:rFonts w:ascii="Calibri" w:hAnsi="Calibri"/>
              </w:rPr>
              <w:t>8</w:t>
            </w:r>
          </w:p>
        </w:tc>
        <w:tc>
          <w:tcPr>
            <w:tcW w:w="1734" w:type="dxa"/>
            <w:vAlign w:val="center"/>
          </w:tcPr>
          <w:p w:rsidR="00AA4661" w:rsidRPr="00F8728A" w:rsidRDefault="00AA4661" w:rsidP="00045F19">
            <w:pPr>
              <w:spacing w:before="40" w:after="40"/>
              <w:jc w:val="right"/>
              <w:rPr>
                <w:rFonts w:ascii="Calibri" w:hAnsi="Calibri"/>
              </w:rPr>
            </w:pPr>
            <w:r w:rsidRPr="00F8728A">
              <w:rPr>
                <w:rFonts w:ascii="Calibri" w:hAnsi="Calibri"/>
              </w:rPr>
              <w:t>124</w:t>
            </w:r>
          </w:p>
        </w:tc>
      </w:tr>
      <w:tr w:rsidR="00AA4661" w:rsidRPr="00F8728A" w:rsidTr="00045F19">
        <w:trPr>
          <w:jc w:val="center"/>
        </w:trPr>
        <w:tc>
          <w:tcPr>
            <w:tcW w:w="1648" w:type="dxa"/>
            <w:shd w:val="clear" w:color="auto" w:fill="B8CCE4"/>
            <w:vAlign w:val="center"/>
          </w:tcPr>
          <w:p w:rsidR="00AA4661" w:rsidRPr="00F8728A" w:rsidRDefault="00AA4661" w:rsidP="00045F19">
            <w:pPr>
              <w:spacing w:before="40" w:after="40"/>
              <w:jc w:val="both"/>
              <w:rPr>
                <w:rFonts w:ascii="Calibri" w:hAnsi="Calibri"/>
                <w:b/>
              </w:rPr>
            </w:pPr>
            <w:r w:rsidRPr="00F8728A">
              <w:rPr>
                <w:rFonts w:ascii="Calibri" w:hAnsi="Calibri"/>
                <w:b/>
              </w:rPr>
              <w:t>Общо</w:t>
            </w:r>
          </w:p>
        </w:tc>
        <w:tc>
          <w:tcPr>
            <w:tcW w:w="1137" w:type="dxa"/>
            <w:vAlign w:val="center"/>
          </w:tcPr>
          <w:p w:rsidR="00AA4661" w:rsidRPr="00F8728A" w:rsidRDefault="00AA4661" w:rsidP="00045F19">
            <w:pPr>
              <w:spacing w:before="40" w:after="40"/>
              <w:jc w:val="right"/>
              <w:rPr>
                <w:rFonts w:ascii="Calibri" w:hAnsi="Calibri"/>
              </w:rPr>
            </w:pPr>
            <w:r w:rsidRPr="00F8728A">
              <w:rPr>
                <w:rFonts w:ascii="Calibri" w:hAnsi="Calibri"/>
              </w:rPr>
              <w:t>257</w:t>
            </w:r>
          </w:p>
        </w:tc>
        <w:tc>
          <w:tcPr>
            <w:tcW w:w="1595" w:type="dxa"/>
            <w:vAlign w:val="center"/>
          </w:tcPr>
          <w:p w:rsidR="00AA4661" w:rsidRPr="00F8728A" w:rsidRDefault="00AA4661" w:rsidP="00045F19">
            <w:pPr>
              <w:spacing w:before="40" w:after="40"/>
              <w:jc w:val="right"/>
              <w:rPr>
                <w:rFonts w:ascii="Calibri" w:hAnsi="Calibri"/>
              </w:rPr>
            </w:pPr>
            <w:r w:rsidRPr="00F8728A">
              <w:rPr>
                <w:rFonts w:ascii="Calibri" w:hAnsi="Calibri"/>
              </w:rPr>
              <w:t>338</w:t>
            </w:r>
          </w:p>
        </w:tc>
        <w:tc>
          <w:tcPr>
            <w:tcW w:w="1555" w:type="dxa"/>
            <w:vAlign w:val="center"/>
          </w:tcPr>
          <w:p w:rsidR="00AA4661" w:rsidRPr="00F8728A" w:rsidRDefault="00AA4661" w:rsidP="00045F19">
            <w:pPr>
              <w:spacing w:before="40" w:after="40"/>
              <w:jc w:val="right"/>
              <w:rPr>
                <w:rFonts w:ascii="Calibri" w:hAnsi="Calibri"/>
              </w:rPr>
            </w:pPr>
            <w:r w:rsidRPr="00F8728A">
              <w:rPr>
                <w:rFonts w:ascii="Calibri" w:hAnsi="Calibri"/>
              </w:rPr>
              <w:t>203</w:t>
            </w:r>
          </w:p>
        </w:tc>
        <w:tc>
          <w:tcPr>
            <w:tcW w:w="1421" w:type="dxa"/>
            <w:vAlign w:val="center"/>
          </w:tcPr>
          <w:p w:rsidR="00AA4661" w:rsidRPr="00F8728A" w:rsidRDefault="00AA4661" w:rsidP="00045F19">
            <w:pPr>
              <w:spacing w:before="40" w:after="40"/>
              <w:jc w:val="right"/>
              <w:rPr>
                <w:rFonts w:ascii="Calibri" w:hAnsi="Calibri"/>
              </w:rPr>
            </w:pPr>
            <w:r w:rsidRPr="00F8728A">
              <w:rPr>
                <w:rFonts w:ascii="Calibri" w:hAnsi="Calibri"/>
              </w:rPr>
              <w:t>45</w:t>
            </w:r>
          </w:p>
        </w:tc>
        <w:tc>
          <w:tcPr>
            <w:tcW w:w="1734" w:type="dxa"/>
            <w:vAlign w:val="center"/>
          </w:tcPr>
          <w:p w:rsidR="00AA4661" w:rsidRPr="00F8728A" w:rsidRDefault="00AA4661" w:rsidP="00045F19">
            <w:pPr>
              <w:spacing w:before="40" w:after="40"/>
              <w:jc w:val="right"/>
              <w:rPr>
                <w:rFonts w:ascii="Calibri" w:hAnsi="Calibri"/>
              </w:rPr>
            </w:pPr>
            <w:r w:rsidRPr="00F8728A">
              <w:rPr>
                <w:rFonts w:ascii="Calibri" w:hAnsi="Calibri"/>
              </w:rPr>
              <w:t>197</w:t>
            </w:r>
          </w:p>
        </w:tc>
      </w:tr>
    </w:tbl>
    <w:p w:rsidR="00AA4661" w:rsidRPr="00F8728A" w:rsidRDefault="00AA4661" w:rsidP="00585E1B">
      <w:pPr>
        <w:widowControl w:val="0"/>
        <w:spacing w:before="60" w:after="200"/>
        <w:jc w:val="center"/>
        <w:rPr>
          <w:rFonts w:ascii="Calibri" w:hAnsi="Calibri"/>
          <w:b/>
          <w:i/>
          <w:iCs/>
          <w:color w:val="44546A"/>
          <w:sz w:val="22"/>
          <w:szCs w:val="18"/>
          <w:lang w:eastAsia="bg-BG"/>
        </w:rPr>
      </w:pPr>
      <w:r w:rsidRPr="00F8728A">
        <w:rPr>
          <w:rFonts w:ascii="Calibri" w:hAnsi="Calibri" w:cs="Calibri"/>
          <w:i/>
          <w:szCs w:val="20"/>
        </w:rPr>
        <w:t>Източник: НСИ, 2016 г. (население), Министерство на здравеопазването (Разположение на болници и центрове за спешна медицинска помощ), Министерство на вътрешните работи (Разположение на полицейски управления и пожарни), НЦТР (обработка на данни и карти), 2017 г.</w:t>
      </w:r>
    </w:p>
    <w:p w:rsidR="00AA4661" w:rsidRPr="00F8728A" w:rsidRDefault="00AA4661" w:rsidP="00FF5825">
      <w:bookmarkStart w:id="846" w:name="_Toc506143776"/>
    </w:p>
    <w:p w:rsidR="00AA4661" w:rsidRPr="008E7DAC" w:rsidRDefault="00AA4661" w:rsidP="00B73D7E">
      <w:pPr>
        <w:pStyle w:val="FiguresTablesCaption"/>
      </w:pPr>
      <w:bookmarkStart w:id="847" w:name="_Toc529286501"/>
      <w:bookmarkStart w:id="848" w:name="_Toc529286576"/>
      <w:r w:rsidRPr="008E7DAC">
        <w:t xml:space="preserve">Фигура </w:t>
      </w:r>
      <w:r w:rsidRPr="008E7DAC">
        <w:fldChar w:fldCharType="begin"/>
      </w:r>
      <w:r w:rsidRPr="008E7DAC">
        <w:instrText xml:space="preserve"> SEQ Figure \* ARABIC </w:instrText>
      </w:r>
      <w:r w:rsidRPr="008E7DAC">
        <w:fldChar w:fldCharType="separate"/>
      </w:r>
      <w:r w:rsidR="00145598" w:rsidRPr="00B73D7E">
        <w:t>26</w:t>
      </w:r>
      <w:r w:rsidRPr="008E7DAC">
        <w:fldChar w:fldCharType="end"/>
      </w:r>
      <w:r w:rsidRPr="008E7DAC">
        <w:t>. Местоположения на служби и услуги по типове градове</w:t>
      </w:r>
      <w:bookmarkEnd w:id="846"/>
      <w:bookmarkEnd w:id="847"/>
      <w:bookmarkEnd w:id="848"/>
    </w:p>
    <w:p w:rsidR="00AA4661" w:rsidRPr="00F8728A" w:rsidRDefault="00084198" w:rsidP="00FA5865">
      <w:pPr>
        <w:widowControl w:val="0"/>
        <w:spacing w:after="0"/>
        <w:jc w:val="center"/>
        <w:rPr>
          <w:rFonts w:ascii="Times New Roman" w:hAnsi="Times New Roman"/>
          <w:sz w:val="24"/>
          <w:szCs w:val="24"/>
        </w:rPr>
      </w:pPr>
      <w:r w:rsidRPr="00B73D7E">
        <w:rPr>
          <w:rFonts w:ascii="Times New Roman" w:hAnsi="Times New Roman"/>
          <w:noProof/>
          <w:sz w:val="24"/>
          <w:szCs w:val="24"/>
          <w:lang w:val="en-US"/>
        </w:rPr>
        <w:drawing>
          <wp:inline distT="0" distB="0" distL="0" distR="0" wp14:anchorId="6AC89413" wp14:editId="2BE592EA">
            <wp:extent cx="5752465" cy="1771015"/>
            <wp:effectExtent l="19050" t="19050" r="635" b="635"/>
            <wp:docPr id="27"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52465" cy="1771015"/>
                    </a:xfrm>
                    <a:prstGeom prst="rect">
                      <a:avLst/>
                    </a:prstGeom>
                    <a:noFill/>
                    <a:ln w="6350" cmpd="sng">
                      <a:solidFill>
                        <a:srgbClr val="5B9BD5"/>
                      </a:solidFill>
                      <a:miter lim="800000"/>
                      <a:headEnd/>
                      <a:tailEnd/>
                    </a:ln>
                    <a:effectLst/>
                  </pic:spPr>
                </pic:pic>
              </a:graphicData>
            </a:graphic>
          </wp:inline>
        </w:drawing>
      </w:r>
    </w:p>
    <w:p w:rsidR="00AA4661" w:rsidRPr="00F8728A" w:rsidRDefault="00AA4661" w:rsidP="0092391D">
      <w:pPr>
        <w:widowControl w:val="0"/>
        <w:spacing w:before="60" w:after="0"/>
        <w:jc w:val="center"/>
        <w:rPr>
          <w:rFonts w:ascii="Times New Roman" w:hAnsi="Times New Roman"/>
          <w:sz w:val="24"/>
          <w:szCs w:val="24"/>
        </w:rPr>
        <w:sectPr w:rsidR="00AA4661" w:rsidRPr="00F8728A" w:rsidSect="003B7DC4">
          <w:pgSz w:w="11906" w:h="16838"/>
          <w:pgMar w:top="1417" w:right="1417" w:bottom="1417" w:left="1417" w:header="708" w:footer="708" w:gutter="0"/>
          <w:cols w:space="708"/>
          <w:docGrid w:linePitch="360"/>
        </w:sectPr>
      </w:pPr>
      <w:r w:rsidRPr="00F8728A">
        <w:rPr>
          <w:rFonts w:ascii="Calibri" w:hAnsi="Calibri" w:cs="Calibri"/>
          <w:i/>
          <w:szCs w:val="20"/>
        </w:rPr>
        <w:t>Източник: НСИ 2016 г. (население), Министерство на здравеопазването (Разположение на болници и центрове за спешна медицинска помощ), Министерство на вътрешните работи (Разположение на полицейски управления и пожарни), НЦТР (обработка на данни и карти), 2017 г.</w:t>
      </w:r>
    </w:p>
    <w:p w:rsidR="00AA4661" w:rsidRPr="00B73D7E" w:rsidRDefault="00AA4661" w:rsidP="00B73D7E">
      <w:pPr>
        <w:pStyle w:val="Heading1"/>
        <w:spacing w:before="0" w:after="120"/>
        <w:jc w:val="both"/>
        <w:rPr>
          <w:rFonts w:eastAsia="Times New Roman"/>
          <w:bCs w:val="0"/>
          <w:color w:val="2F5496"/>
          <w:sz w:val="32"/>
          <w:szCs w:val="32"/>
          <w:lang w:val="bg-BG" w:eastAsia="en-US"/>
        </w:rPr>
      </w:pPr>
      <w:bookmarkStart w:id="849" w:name="_Toc522030614"/>
      <w:bookmarkStart w:id="850" w:name="_Toc529285599"/>
      <w:bookmarkStart w:id="851" w:name="_Toc486246245"/>
      <w:bookmarkStart w:id="852" w:name="_Toc486942228"/>
      <w:bookmarkStart w:id="853" w:name="_Toc501454905"/>
      <w:bookmarkStart w:id="854" w:name="_Toc506143777"/>
      <w:r w:rsidRPr="00B73D7E">
        <w:rPr>
          <w:rFonts w:eastAsia="Times New Roman"/>
          <w:bCs w:val="0"/>
          <w:color w:val="2F5496"/>
          <w:sz w:val="32"/>
          <w:szCs w:val="32"/>
          <w:lang w:val="bg-BG" w:eastAsia="en-US"/>
        </w:rPr>
        <w:t xml:space="preserve">Приложение </w:t>
      </w:r>
      <w:r w:rsidR="00375DA6" w:rsidRPr="00B73D7E">
        <w:rPr>
          <w:rFonts w:eastAsia="Times New Roman"/>
          <w:bCs w:val="0"/>
          <w:color w:val="2F5496"/>
          <w:sz w:val="32"/>
          <w:szCs w:val="32"/>
          <w:lang w:val="bg-BG" w:eastAsia="en-US"/>
        </w:rPr>
        <w:t>5</w:t>
      </w:r>
      <w:r w:rsidRPr="00B73D7E">
        <w:rPr>
          <w:rFonts w:eastAsia="Times New Roman"/>
          <w:bCs w:val="0"/>
          <w:color w:val="2F5496"/>
          <w:sz w:val="32"/>
          <w:szCs w:val="32"/>
          <w:lang w:val="bg-BG" w:eastAsia="en-US"/>
        </w:rPr>
        <w:t>. Общини с населени места с недостиг на вода</w:t>
      </w:r>
      <w:bookmarkEnd w:id="849"/>
      <w:bookmarkEnd w:id="850"/>
    </w:p>
    <w:p w:rsidR="00AA4661" w:rsidRPr="008E7DAC" w:rsidRDefault="00AA4661" w:rsidP="00B73D7E">
      <w:pPr>
        <w:pStyle w:val="FiguresTablesCaption"/>
      </w:pPr>
      <w:bookmarkStart w:id="855" w:name="_Toc529286502"/>
      <w:bookmarkStart w:id="856" w:name="_Toc529286577"/>
      <w:r w:rsidRPr="008E7DAC">
        <w:t xml:space="preserve">Фигура </w:t>
      </w:r>
      <w:r w:rsidRPr="008E7DAC">
        <w:fldChar w:fldCharType="begin"/>
      </w:r>
      <w:r w:rsidRPr="008E7DAC">
        <w:instrText xml:space="preserve"> SEQ Figure \* ARABIC </w:instrText>
      </w:r>
      <w:r w:rsidRPr="008E7DAC">
        <w:fldChar w:fldCharType="separate"/>
      </w:r>
      <w:r w:rsidR="00145598" w:rsidRPr="00B73D7E">
        <w:t>27</w:t>
      </w:r>
      <w:r w:rsidRPr="008E7DAC">
        <w:fldChar w:fldCharType="end"/>
      </w:r>
      <w:r w:rsidRPr="008E7DAC">
        <w:t>. Общини с населени места с недостиг на вода през последните 3 години</w:t>
      </w:r>
      <w:bookmarkEnd w:id="851"/>
      <w:bookmarkEnd w:id="852"/>
      <w:bookmarkEnd w:id="853"/>
      <w:bookmarkEnd w:id="854"/>
      <w:bookmarkEnd w:id="855"/>
      <w:bookmarkEnd w:id="856"/>
    </w:p>
    <w:p w:rsidR="00AA4661" w:rsidRPr="00F8728A" w:rsidRDefault="00084198" w:rsidP="00FA5865">
      <w:pPr>
        <w:widowControl w:val="0"/>
        <w:spacing w:after="0"/>
        <w:jc w:val="center"/>
        <w:rPr>
          <w:rFonts w:ascii="Times New Roman" w:hAnsi="Times New Roman"/>
          <w:sz w:val="24"/>
          <w:szCs w:val="24"/>
        </w:rPr>
      </w:pPr>
      <w:r w:rsidRPr="00B73D7E">
        <w:rPr>
          <w:noProof/>
          <w:lang w:val="en-US"/>
        </w:rPr>
        <mc:AlternateContent>
          <mc:Choice Requires="wps">
            <w:drawing>
              <wp:anchor distT="0" distB="0" distL="114300" distR="114300" simplePos="0" relativeHeight="251652608" behindDoc="0" locked="0" layoutInCell="1" allowOverlap="1" wp14:anchorId="5DF15AA6" wp14:editId="0F2F737D">
                <wp:simplePos x="0" y="0"/>
                <wp:positionH relativeFrom="column">
                  <wp:posOffset>7306945</wp:posOffset>
                </wp:positionH>
                <wp:positionV relativeFrom="paragraph">
                  <wp:posOffset>4140200</wp:posOffset>
                </wp:positionV>
                <wp:extent cx="556260" cy="182880"/>
                <wp:effectExtent l="0" t="0" r="0" b="0"/>
                <wp:wrapNone/>
                <wp:docPr id="207"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260" cy="182880"/>
                        </a:xfrm>
                        <a:prstGeom prst="rect">
                          <a:avLst/>
                        </a:prstGeom>
                        <a:solidFill>
                          <a:srgbClr val="CBE4F9"/>
                        </a:solidFill>
                        <a:ln w="6350">
                          <a:noFill/>
                        </a:ln>
                      </wps:spPr>
                      <wps:txbx>
                        <w:txbxContent>
                          <w:p w:rsidR="00FB4561" w:rsidRDefault="00FB456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207" o:spid="_x0000_s1043" type="#_x0000_t202" style="position:absolute;left:0;text-align:left;margin-left:575.35pt;margin-top:326pt;width:43.8pt;height:14.4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" fillcolor="#cbe4f9" stroked="f" strokeweight=".5pt">
                <v:path arrowok="t"/>
                <v:textbox>
                  <w:txbxContent>
                    <w:p w:rsidR="00FB4561" w:rsidRDefault="00FB4561"/>
                  </w:txbxContent>
                </v:textbox>
              </v:shape>
            </w:pict>
          </mc:Fallback>
        </mc:AlternateContent>
      </w:r>
      <w:r w:rsidRPr="00B73D7E">
        <w:rPr>
          <w:rFonts w:ascii="Times New Roman" w:hAnsi="Times New Roman"/>
          <w:noProof/>
          <w:sz w:val="24"/>
          <w:szCs w:val="24"/>
          <w:lang w:val="en-US"/>
        </w:rPr>
        <w:drawing>
          <wp:inline distT="0" distB="0" distL="0" distR="0" wp14:anchorId="64775035" wp14:editId="504CF431">
            <wp:extent cx="7025640" cy="4895850"/>
            <wp:effectExtent l="19050" t="19050" r="3810" b="0"/>
            <wp:docPr id="28"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31">
                      <a:extLst>
                        <a:ext uri="{28A0092B-C50C-407E-A947-70E740481C1C}">
                          <a14:useLocalDpi xmlns:a14="http://schemas.microsoft.com/office/drawing/2010/main" val="0"/>
                        </a:ext>
                      </a:extLst>
                    </a:blip>
                    <a:srcRect l="479" t="1236" r="546" b="1248"/>
                    <a:stretch>
                      <a:fillRect/>
                    </a:stretch>
                  </pic:blipFill>
                  <pic:spPr bwMode="auto">
                    <a:xfrm>
                      <a:off x="0" y="0"/>
                      <a:ext cx="7025640" cy="4895850"/>
                    </a:xfrm>
                    <a:prstGeom prst="rect">
                      <a:avLst/>
                    </a:prstGeom>
                    <a:noFill/>
                    <a:ln w="6350" cmpd="sng">
                      <a:solidFill>
                        <a:srgbClr val="5B9BD5"/>
                      </a:solidFill>
                      <a:miter lim="800000"/>
                      <a:headEnd/>
                      <a:tailEnd/>
                    </a:ln>
                    <a:effectLst/>
                  </pic:spPr>
                </pic:pic>
              </a:graphicData>
            </a:graphic>
          </wp:inline>
        </w:drawing>
      </w:r>
    </w:p>
    <w:p w:rsidR="00AA4661" w:rsidRPr="00F8728A" w:rsidRDefault="00AA4661" w:rsidP="00045F19">
      <w:pPr>
        <w:pStyle w:val="Source"/>
        <w:jc w:val="center"/>
        <w:rPr>
          <w:rFonts w:ascii="Times New Roman" w:hAnsi="Times New Roman"/>
          <w:sz w:val="24"/>
          <w:szCs w:val="24"/>
        </w:rPr>
        <w:sectPr w:rsidR="00AA4661" w:rsidRPr="00F8728A" w:rsidSect="003B7DC4">
          <w:pgSz w:w="16838" w:h="11906" w:orient="landscape"/>
          <w:pgMar w:top="1417" w:right="1417" w:bottom="1417" w:left="1417" w:header="708" w:footer="708" w:gutter="0"/>
          <w:cols w:space="708"/>
          <w:docGrid w:linePitch="360"/>
        </w:sectPr>
      </w:pPr>
      <w:r w:rsidRPr="00F8728A">
        <w:t>Източник: МРРБ (Общини с населени места, подложени на воден стрес), НЦТР (Обработка на данни и карта), 2017 г.</w:t>
      </w:r>
    </w:p>
    <w:p w:rsidR="00AA4661" w:rsidRPr="00B73D7E" w:rsidRDefault="00AA4661" w:rsidP="00B73D7E">
      <w:pPr>
        <w:pStyle w:val="Heading1"/>
        <w:spacing w:before="0" w:after="120"/>
        <w:jc w:val="both"/>
        <w:rPr>
          <w:rFonts w:eastAsia="Times New Roman"/>
          <w:bCs w:val="0"/>
          <w:color w:val="2F5496"/>
          <w:sz w:val="32"/>
          <w:szCs w:val="32"/>
          <w:lang w:val="bg-BG" w:eastAsia="en-US"/>
        </w:rPr>
      </w:pPr>
      <w:bookmarkStart w:id="857" w:name="_Toc486246246"/>
      <w:bookmarkStart w:id="858" w:name="_Toc486942229"/>
      <w:bookmarkStart w:id="859" w:name="_Toc501454906"/>
      <w:bookmarkStart w:id="860" w:name="_Toc522030615"/>
      <w:bookmarkStart w:id="861" w:name="_Toc529285600"/>
      <w:r w:rsidRPr="00B73D7E">
        <w:rPr>
          <w:rFonts w:eastAsia="Times New Roman"/>
          <w:bCs w:val="0"/>
          <w:color w:val="2F5496"/>
          <w:sz w:val="32"/>
          <w:szCs w:val="32"/>
          <w:lang w:val="bg-BG" w:eastAsia="en-US"/>
        </w:rPr>
        <w:t xml:space="preserve">Приложение </w:t>
      </w:r>
      <w:r w:rsidR="00375DA6" w:rsidRPr="00B73D7E">
        <w:rPr>
          <w:rFonts w:eastAsia="Times New Roman"/>
          <w:bCs w:val="0"/>
          <w:color w:val="2F5496"/>
          <w:sz w:val="32"/>
          <w:szCs w:val="32"/>
          <w:lang w:val="bg-BG" w:eastAsia="en-US"/>
        </w:rPr>
        <w:t>6</w:t>
      </w:r>
      <w:r w:rsidRPr="00B73D7E">
        <w:rPr>
          <w:rFonts w:eastAsia="Times New Roman"/>
          <w:bCs w:val="0"/>
          <w:color w:val="2F5496"/>
          <w:sz w:val="32"/>
          <w:szCs w:val="32"/>
          <w:lang w:val="bg-BG" w:eastAsia="en-US"/>
        </w:rPr>
        <w:t>. Строителен сектор</w:t>
      </w:r>
      <w:bookmarkEnd w:id="857"/>
      <w:bookmarkEnd w:id="858"/>
      <w:bookmarkEnd w:id="859"/>
      <w:bookmarkEnd w:id="860"/>
      <w:bookmarkEnd w:id="861"/>
      <w:r w:rsidRPr="00B73D7E">
        <w:rPr>
          <w:rFonts w:eastAsia="Times New Roman"/>
          <w:bCs w:val="0"/>
          <w:color w:val="2F5496"/>
          <w:sz w:val="32"/>
          <w:szCs w:val="32"/>
          <w:lang w:val="bg-BG" w:eastAsia="en-US"/>
        </w:rPr>
        <w:t xml:space="preserve"> </w:t>
      </w:r>
    </w:p>
    <w:p w:rsidR="00AA4661" w:rsidRPr="008E7DAC" w:rsidRDefault="00AA4661" w:rsidP="00B73D7E">
      <w:pPr>
        <w:pStyle w:val="FiguresTablesCaption"/>
      </w:pPr>
      <w:bookmarkStart w:id="862" w:name="_Toc506143778"/>
      <w:bookmarkStart w:id="863" w:name="_Toc529286503"/>
      <w:bookmarkStart w:id="864" w:name="_Toc529286578"/>
      <w:r w:rsidRPr="008E7DAC">
        <w:t xml:space="preserve">Фигура </w:t>
      </w:r>
      <w:r w:rsidRPr="008E7DAC">
        <w:fldChar w:fldCharType="begin"/>
      </w:r>
      <w:r w:rsidRPr="008E7DAC">
        <w:instrText xml:space="preserve"> SEQ Figure \* ARABIC </w:instrText>
      </w:r>
      <w:r w:rsidRPr="008E7DAC">
        <w:fldChar w:fldCharType="separate"/>
      </w:r>
      <w:r w:rsidR="004E6834" w:rsidRPr="00B73D7E">
        <w:t>28</w:t>
      </w:r>
      <w:r w:rsidRPr="008E7DAC">
        <w:fldChar w:fldCharType="end"/>
      </w:r>
      <w:r w:rsidRPr="008E7DAC">
        <w:t>. Произведена продукция в строителния сектор  – данни за тримесечие, индекс на производството по обем, производствен индекс, 2010 г. = 100</w:t>
      </w:r>
      <w:bookmarkEnd w:id="862"/>
      <w:bookmarkEnd w:id="863"/>
      <w:bookmarkEnd w:id="864"/>
    </w:p>
    <w:p w:rsidR="00AA4661" w:rsidRPr="00F8728A" w:rsidRDefault="00145598" w:rsidP="00FA5865">
      <w:pPr>
        <w:spacing w:after="0"/>
        <w:jc w:val="center"/>
      </w:pPr>
      <w:r w:rsidRPr="00B73D7E">
        <w:rPr>
          <w:noProof/>
          <w:lang w:val="en-US"/>
        </w:rPr>
        <w:drawing>
          <wp:inline distT="0" distB="0" distL="0" distR="0" wp14:anchorId="16F7E158" wp14:editId="3E8C99B4">
            <wp:extent cx="5753100" cy="3133725"/>
            <wp:effectExtent l="0" t="0" r="0" b="9525"/>
            <wp:docPr id="146" name="Chart 1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rsidR="00AA4661" w:rsidRPr="00F8728A" w:rsidRDefault="00AA4661" w:rsidP="00FA5865">
      <w:pPr>
        <w:pStyle w:val="Source"/>
        <w:jc w:val="center"/>
      </w:pPr>
      <w:r w:rsidRPr="00F8728A">
        <w:t>Източник: Евростат, 2017 г.</w:t>
      </w:r>
    </w:p>
    <w:p w:rsidR="00AA4661" w:rsidRPr="00F8728A" w:rsidRDefault="00AA4661" w:rsidP="00FA5865">
      <w:pPr>
        <w:pStyle w:val="Source"/>
        <w:jc w:val="center"/>
      </w:pPr>
    </w:p>
    <w:p w:rsidR="00AA4661" w:rsidRPr="008E7DAC" w:rsidRDefault="00AA4661" w:rsidP="00B73D7E">
      <w:pPr>
        <w:pStyle w:val="FiguresTablesCaption"/>
      </w:pPr>
      <w:bookmarkStart w:id="865" w:name="_Toc506143779"/>
      <w:bookmarkStart w:id="866" w:name="_Toc529286504"/>
      <w:bookmarkStart w:id="867" w:name="_Toc529286579"/>
      <w:r w:rsidRPr="008E7DAC">
        <w:t xml:space="preserve">Фигура </w:t>
      </w:r>
      <w:r w:rsidRPr="008E7DAC">
        <w:fldChar w:fldCharType="begin"/>
      </w:r>
      <w:r w:rsidRPr="008E7DAC">
        <w:instrText xml:space="preserve"> SEQ Figure \* ARABIC </w:instrText>
      </w:r>
      <w:r w:rsidRPr="008E7DAC">
        <w:fldChar w:fldCharType="separate"/>
      </w:r>
      <w:r w:rsidR="004E6834" w:rsidRPr="00B73D7E">
        <w:t>29</w:t>
      </w:r>
      <w:r w:rsidRPr="008E7DAC">
        <w:fldChar w:fldCharType="end"/>
      </w:r>
      <w:r w:rsidRPr="008E7DAC">
        <w:t>. Производство Произведена продукция в строителния сектор – годишни данни, индекс на производството по обем, производствен индекс, 2010 г. = 100</w:t>
      </w:r>
      <w:bookmarkEnd w:id="865"/>
      <w:bookmarkEnd w:id="866"/>
      <w:bookmarkEnd w:id="867"/>
    </w:p>
    <w:p w:rsidR="00AA4661" w:rsidRPr="00F8728A" w:rsidRDefault="00145598" w:rsidP="00676435">
      <w:pPr>
        <w:spacing w:after="0"/>
        <w:jc w:val="both"/>
      </w:pPr>
      <w:r w:rsidRPr="00B73D7E">
        <w:rPr>
          <w:noProof/>
          <w:lang w:val="en-US"/>
        </w:rPr>
        <w:drawing>
          <wp:inline distT="0" distB="0" distL="0" distR="0" wp14:anchorId="54669942" wp14:editId="7F125A15">
            <wp:extent cx="5753100" cy="3133725"/>
            <wp:effectExtent l="0" t="0" r="0" b="9525"/>
            <wp:docPr id="147" name="Chart 1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rsidR="00AA4661" w:rsidRPr="00F8728A" w:rsidRDefault="00AA4661" w:rsidP="00FA5865">
      <w:pPr>
        <w:pStyle w:val="Source"/>
        <w:jc w:val="center"/>
        <w:rPr>
          <w:sz w:val="22"/>
        </w:rPr>
      </w:pPr>
      <w:r w:rsidRPr="00F8728A">
        <w:t xml:space="preserve">Източник: Евростат, 2017 г., </w:t>
      </w:r>
      <w:hyperlink r:id="rId134" w:history="1">
        <w:r w:rsidRPr="00F8728A">
          <w:t>http://appsso.eurostat.ec.europa.eu/nui/show.do?dataset=sts_copr_a&amp;lang=en</w:t>
        </w:r>
      </w:hyperlink>
    </w:p>
    <w:p w:rsidR="00AA4661" w:rsidRPr="00F8728A" w:rsidRDefault="00AA4661" w:rsidP="00676435">
      <w:pPr>
        <w:widowControl w:val="0"/>
        <w:spacing w:after="0"/>
        <w:jc w:val="both"/>
        <w:rPr>
          <w:rFonts w:cs="Arial"/>
          <w:b/>
          <w:szCs w:val="20"/>
        </w:rPr>
      </w:pPr>
      <w:r w:rsidRPr="00F8728A">
        <w:br w:type="page"/>
      </w:r>
    </w:p>
    <w:p w:rsidR="00AA4661" w:rsidRPr="008E7DAC" w:rsidRDefault="004E6834" w:rsidP="00B73D7E">
      <w:pPr>
        <w:pStyle w:val="FiguresTablesCaption"/>
      </w:pPr>
      <w:bookmarkStart w:id="868" w:name="_Toc506143780"/>
      <w:bookmarkStart w:id="869" w:name="_Toc529286505"/>
      <w:bookmarkStart w:id="870" w:name="_Toc529286580"/>
      <w:r w:rsidRPr="008E7DAC">
        <w:t xml:space="preserve">Фигура </w:t>
      </w:r>
      <w:r w:rsidRPr="008E7DAC">
        <w:fldChar w:fldCharType="begin"/>
      </w:r>
      <w:r w:rsidRPr="008E7DAC">
        <w:instrText xml:space="preserve"> SEQ Figure \* ARABIC </w:instrText>
      </w:r>
      <w:r w:rsidRPr="008E7DAC">
        <w:fldChar w:fldCharType="separate"/>
      </w:r>
      <w:r w:rsidRPr="00B73D7E">
        <w:t>30</w:t>
      </w:r>
      <w:r w:rsidRPr="008E7DAC">
        <w:fldChar w:fldCharType="end"/>
      </w:r>
      <w:r w:rsidRPr="008E7DAC">
        <w:t xml:space="preserve">. </w:t>
      </w:r>
      <w:r w:rsidR="00AA4661" w:rsidRPr="008E7DAC">
        <w:t>Произведена продукция  в строителния сектор (общо, сгради, строителство на съоръжения) – годишни данни, индекс на производството по обем, производствен индекс, 2010 г. = 100</w:t>
      </w:r>
      <w:bookmarkEnd w:id="868"/>
      <w:bookmarkEnd w:id="869"/>
      <w:bookmarkEnd w:id="870"/>
    </w:p>
    <w:p w:rsidR="00AA4661" w:rsidRPr="00F8728A" w:rsidRDefault="004E6834" w:rsidP="00676435">
      <w:pPr>
        <w:spacing w:after="120"/>
        <w:jc w:val="both"/>
      </w:pPr>
      <w:r w:rsidRPr="00B73D7E">
        <w:rPr>
          <w:noProof/>
          <w:lang w:val="en-US"/>
        </w:rPr>
        <w:drawing>
          <wp:inline distT="0" distB="0" distL="0" distR="0" wp14:anchorId="374BA4F4" wp14:editId="6C03EB25">
            <wp:extent cx="5753100" cy="3409950"/>
            <wp:effectExtent l="0" t="0" r="0" b="0"/>
            <wp:docPr id="148" name="Chart 1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rsidR="00AA4661" w:rsidRPr="00F8728A" w:rsidRDefault="00AA4661" w:rsidP="00045F19">
      <w:pPr>
        <w:pStyle w:val="Source"/>
        <w:jc w:val="center"/>
      </w:pPr>
      <w:r w:rsidRPr="00F8728A">
        <w:t>Източник: Евростат, 2017 г.</w:t>
      </w:r>
      <w:r w:rsidRPr="00F8728A">
        <w:br/>
        <w:t>http://appsso.eurostat.ec.europa.eu/nui/submitViewTableAction.do</w:t>
      </w:r>
    </w:p>
    <w:p w:rsidR="00AA4661" w:rsidRPr="008E7DAC" w:rsidRDefault="004E6834" w:rsidP="00B73D7E">
      <w:pPr>
        <w:pStyle w:val="FiguresTablesCaption"/>
      </w:pPr>
      <w:bookmarkStart w:id="871" w:name="_Toc506143781"/>
      <w:bookmarkStart w:id="872" w:name="_Toc529286506"/>
      <w:bookmarkStart w:id="873" w:name="_Toc529286581"/>
      <w:r w:rsidRPr="008E7DAC">
        <w:t xml:space="preserve">Фигура </w:t>
      </w:r>
      <w:r w:rsidRPr="008E7DAC">
        <w:fldChar w:fldCharType="begin"/>
      </w:r>
      <w:r w:rsidRPr="008E7DAC">
        <w:instrText xml:space="preserve"> SEQ Figure \* ARABIC </w:instrText>
      </w:r>
      <w:r w:rsidRPr="008E7DAC">
        <w:fldChar w:fldCharType="separate"/>
      </w:r>
      <w:r w:rsidRPr="00B73D7E">
        <w:t>31</w:t>
      </w:r>
      <w:r w:rsidRPr="008E7DAC">
        <w:fldChar w:fldCharType="end"/>
      </w:r>
      <w:r w:rsidRPr="008E7DAC">
        <w:t xml:space="preserve">. </w:t>
      </w:r>
      <w:r w:rsidR="00AA4661" w:rsidRPr="008E7DAC">
        <w:t>Произведена продукция  в строителния сектор в България (общо, сгради, строителство на съоръжения) – годишни данни, индекс на производството по обем, производствен индекс, 2010 г. = 100</w:t>
      </w:r>
      <w:bookmarkEnd w:id="871"/>
      <w:bookmarkEnd w:id="872"/>
      <w:bookmarkEnd w:id="873"/>
    </w:p>
    <w:p w:rsidR="00AA4661" w:rsidRPr="00F8728A" w:rsidRDefault="004E6834" w:rsidP="00676435">
      <w:pPr>
        <w:spacing w:after="120"/>
        <w:jc w:val="both"/>
      </w:pPr>
      <w:r w:rsidRPr="00B73D7E">
        <w:rPr>
          <w:noProof/>
          <w:lang w:val="en-US"/>
        </w:rPr>
        <w:drawing>
          <wp:inline distT="0" distB="0" distL="0" distR="0" wp14:anchorId="75C1DCE7" wp14:editId="29447A9D">
            <wp:extent cx="5753100" cy="3295650"/>
            <wp:effectExtent l="0" t="0" r="0" b="0"/>
            <wp:docPr id="149" name="Chart 1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rsidR="00AA4661" w:rsidRPr="00F8728A" w:rsidRDefault="00AA4661" w:rsidP="005F5EA7">
      <w:pPr>
        <w:spacing w:after="0"/>
        <w:jc w:val="center"/>
        <w:rPr>
          <w:rFonts w:ascii="Calibri" w:hAnsi="Calibri" w:cs="Calibri"/>
          <w:szCs w:val="20"/>
        </w:rPr>
      </w:pPr>
      <w:r w:rsidRPr="00F8728A">
        <w:rPr>
          <w:rFonts w:ascii="Calibri" w:hAnsi="Calibri"/>
          <w:i/>
          <w:szCs w:val="20"/>
        </w:rPr>
        <w:t>Източник: Евростат, 2017 г</w:t>
      </w:r>
      <w:r w:rsidRPr="00F8728A">
        <w:rPr>
          <w:rFonts w:ascii="Calibri" w:hAnsi="Calibri"/>
          <w:szCs w:val="20"/>
        </w:rPr>
        <w:t>.</w:t>
      </w:r>
    </w:p>
    <w:p w:rsidR="00AA4661" w:rsidRPr="00F8728A" w:rsidRDefault="00AA4661" w:rsidP="00676435">
      <w:pPr>
        <w:widowControl w:val="0"/>
        <w:spacing w:after="0"/>
        <w:jc w:val="both"/>
        <w:rPr>
          <w:rFonts w:ascii="Times New Roman" w:hAnsi="Times New Roman"/>
          <w:sz w:val="24"/>
          <w:szCs w:val="24"/>
        </w:rPr>
      </w:pPr>
    </w:p>
    <w:p w:rsidR="00AA4661" w:rsidRPr="00B73D7E" w:rsidRDefault="00375DA6" w:rsidP="00B73D7E">
      <w:pPr>
        <w:pStyle w:val="Heading1"/>
        <w:spacing w:before="0" w:after="120"/>
        <w:jc w:val="both"/>
        <w:rPr>
          <w:rFonts w:eastAsia="Times New Roman"/>
          <w:bCs w:val="0"/>
          <w:color w:val="2F5496"/>
          <w:sz w:val="32"/>
          <w:szCs w:val="32"/>
          <w:lang w:val="bg-BG" w:eastAsia="en-US"/>
        </w:rPr>
      </w:pPr>
      <w:bookmarkStart w:id="874" w:name="_Toc522030616"/>
      <w:bookmarkStart w:id="875" w:name="_Toc529285601"/>
      <w:bookmarkStart w:id="876" w:name="_Toc486246247"/>
      <w:bookmarkStart w:id="877" w:name="_Toc486942230"/>
      <w:bookmarkStart w:id="878" w:name="_Toc501454907"/>
      <w:bookmarkStart w:id="879" w:name="_Toc506143782"/>
      <w:r w:rsidRPr="00B73D7E">
        <w:rPr>
          <w:rFonts w:eastAsia="Times New Roman"/>
          <w:bCs w:val="0"/>
          <w:color w:val="2F5496"/>
          <w:sz w:val="32"/>
          <w:szCs w:val="32"/>
          <w:lang w:val="bg-BG" w:eastAsia="en-US"/>
        </w:rPr>
        <w:t>Приложение 7</w:t>
      </w:r>
      <w:r w:rsidR="00AA4661" w:rsidRPr="00B73D7E">
        <w:rPr>
          <w:rFonts w:eastAsia="Times New Roman"/>
          <w:bCs w:val="0"/>
          <w:color w:val="2F5496"/>
          <w:sz w:val="32"/>
          <w:szCs w:val="32"/>
          <w:lang w:val="bg-BG" w:eastAsia="en-US"/>
        </w:rPr>
        <w:t>. Кризисни събития и загуби (2010–2015 г.)</w:t>
      </w:r>
      <w:bookmarkEnd w:id="874"/>
      <w:bookmarkEnd w:id="875"/>
    </w:p>
    <w:p w:rsidR="00AA4661" w:rsidRPr="008E7DAC" w:rsidRDefault="004E6834" w:rsidP="00B73D7E">
      <w:pPr>
        <w:pStyle w:val="FiguresTablesCaption"/>
      </w:pPr>
      <w:bookmarkStart w:id="880" w:name="_Toc529286507"/>
      <w:bookmarkStart w:id="881" w:name="_Toc529286582"/>
      <w:r w:rsidRPr="008E7DAC">
        <w:t xml:space="preserve">Фигура </w:t>
      </w:r>
      <w:r w:rsidRPr="008E7DAC">
        <w:fldChar w:fldCharType="begin"/>
      </w:r>
      <w:r w:rsidRPr="008E7DAC">
        <w:instrText xml:space="preserve"> SEQ Figure \* ARABIC </w:instrText>
      </w:r>
      <w:r w:rsidRPr="008E7DAC">
        <w:fldChar w:fldCharType="separate"/>
      </w:r>
      <w:r w:rsidRPr="00B73D7E">
        <w:t>32</w:t>
      </w:r>
      <w:r w:rsidRPr="008E7DAC">
        <w:fldChar w:fldCharType="end"/>
      </w:r>
      <w:r w:rsidRPr="008E7DAC">
        <w:t xml:space="preserve">. </w:t>
      </w:r>
      <w:r w:rsidR="00AA4661" w:rsidRPr="008E7DAC">
        <w:t>Кризисни събития и загуби през периода 2010–2015 г. – общо за държавата</w:t>
      </w:r>
      <w:bookmarkEnd w:id="876"/>
      <w:bookmarkEnd w:id="877"/>
      <w:bookmarkEnd w:id="878"/>
      <w:bookmarkEnd w:id="879"/>
      <w:bookmarkEnd w:id="880"/>
      <w:bookmarkEnd w:id="881"/>
    </w:p>
    <w:p w:rsidR="00AA4661" w:rsidRPr="00F8728A" w:rsidRDefault="00084198" w:rsidP="00B73D7E">
      <w:pPr>
        <w:spacing w:after="160" w:line="259" w:lineRule="auto"/>
        <w:jc w:val="center"/>
        <w:rPr>
          <w:rFonts w:cs="Arial"/>
          <w:szCs w:val="20"/>
        </w:rPr>
      </w:pPr>
      <w:r w:rsidRPr="00B73D7E">
        <w:rPr>
          <w:rFonts w:cs="Arial"/>
          <w:noProof/>
          <w:szCs w:val="20"/>
          <w:lang w:val="en-US"/>
        </w:rPr>
        <w:drawing>
          <wp:inline distT="0" distB="0" distL="0" distR="0" wp14:anchorId="4958F9C5" wp14:editId="7572D766">
            <wp:extent cx="5247409" cy="3826660"/>
            <wp:effectExtent l="19050" t="19050" r="10795" b="21590"/>
            <wp:docPr id="33"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65001" cy="3839489"/>
                    </a:xfrm>
                    <a:prstGeom prst="rect">
                      <a:avLst/>
                    </a:prstGeom>
                    <a:noFill/>
                    <a:ln w="6350" cmpd="sng">
                      <a:solidFill>
                        <a:srgbClr val="5B9BD5"/>
                      </a:solidFill>
                      <a:miter lim="800000"/>
                      <a:headEnd/>
                      <a:tailEnd/>
                    </a:ln>
                    <a:effectLst/>
                  </pic:spPr>
                </pic:pic>
              </a:graphicData>
            </a:graphic>
          </wp:inline>
        </w:drawing>
      </w:r>
    </w:p>
    <w:p w:rsidR="00AA4661" w:rsidRPr="00F8728A" w:rsidRDefault="00AA4661" w:rsidP="00045F19">
      <w:pPr>
        <w:spacing w:after="120" w:line="276" w:lineRule="auto"/>
        <w:jc w:val="both"/>
        <w:rPr>
          <w:rFonts w:ascii="Calibri" w:hAnsi="Calibri" w:cs="Calibri"/>
          <w:i/>
          <w:szCs w:val="20"/>
        </w:rPr>
      </w:pPr>
      <w:r w:rsidRPr="00F8728A">
        <w:rPr>
          <w:rFonts w:ascii="Calibri" w:hAnsi="Calibri"/>
          <w:b/>
          <w:i/>
          <w:szCs w:val="20"/>
        </w:rPr>
        <w:t>Видовете кризи</w:t>
      </w:r>
      <w:r w:rsidRPr="00F8728A">
        <w:rPr>
          <w:rFonts w:ascii="Calibri" w:hAnsi="Calibri"/>
          <w:i/>
          <w:szCs w:val="20"/>
        </w:rPr>
        <w:t xml:space="preserve"> включват природни бедствия и събития: Пожари, свлачища, земетресения, наводнения. Данните се основават на годишни отчети, подавани от Постоянните общински комисии за защита на населението от природни бедствия, аварии и катастрофи както следва: за 2010 г. от 119, за 2011 г. от 127, за 2012 г. от 128, за 2013 г. от 100, за 2014 г. от 141 и за 2015 г. - от 115 комисии.</w:t>
      </w:r>
    </w:p>
    <w:p w:rsidR="00AA4661" w:rsidRPr="00F8728A" w:rsidRDefault="00AA4661" w:rsidP="00045F19">
      <w:pPr>
        <w:spacing w:after="160" w:line="276" w:lineRule="auto"/>
        <w:jc w:val="center"/>
        <w:rPr>
          <w:rFonts w:ascii="Calibri" w:hAnsi="Calibri" w:cs="Calibri"/>
          <w:i/>
          <w:szCs w:val="20"/>
        </w:rPr>
      </w:pPr>
      <w:r w:rsidRPr="00F8728A">
        <w:rPr>
          <w:rFonts w:ascii="Calibri" w:hAnsi="Calibri"/>
          <w:i/>
          <w:szCs w:val="20"/>
        </w:rPr>
        <w:t>Източник: данни: НСИ; обработка на данни и диаграма: НЦТР.</w:t>
      </w:r>
    </w:p>
    <w:p w:rsidR="00AA4661" w:rsidRPr="00F8728A" w:rsidRDefault="00AA4661" w:rsidP="00676435">
      <w:pPr>
        <w:widowControl w:val="0"/>
        <w:spacing w:after="0"/>
        <w:jc w:val="both"/>
        <w:rPr>
          <w:rFonts w:ascii="Times New Roman" w:hAnsi="Times New Roman"/>
          <w:sz w:val="24"/>
          <w:szCs w:val="24"/>
        </w:rPr>
      </w:pPr>
      <w:r w:rsidRPr="00F8728A">
        <w:br w:type="page"/>
      </w:r>
    </w:p>
    <w:p w:rsidR="00AA4661" w:rsidRPr="00B73D7E" w:rsidRDefault="00AA4661" w:rsidP="00F56BE0">
      <w:pPr>
        <w:pStyle w:val="Heading2"/>
        <w:numPr>
          <w:ilvl w:val="0"/>
          <w:numId w:val="0"/>
        </w:numPr>
        <w:rPr>
          <w:lang w:val="bg-BG"/>
        </w:rPr>
      </w:pPr>
      <w:bookmarkStart w:id="882" w:name="_Toc522030617"/>
      <w:bookmarkStart w:id="883" w:name="_Toc529285602"/>
      <w:r w:rsidRPr="00B73D7E">
        <w:rPr>
          <w:lang w:val="bg-BG"/>
        </w:rPr>
        <w:t>Наводнения</w:t>
      </w:r>
      <w:bookmarkEnd w:id="882"/>
      <w:bookmarkEnd w:id="883"/>
    </w:p>
    <w:p w:rsidR="00AA4661" w:rsidRPr="008E7DAC" w:rsidRDefault="004E6834" w:rsidP="00B73D7E">
      <w:pPr>
        <w:pStyle w:val="FiguresTablesCaption"/>
      </w:pPr>
      <w:bookmarkStart w:id="884" w:name="_Toc529286652"/>
      <w:r w:rsidRPr="008E7DAC">
        <w:t xml:space="preserve">Таблица </w:t>
      </w:r>
      <w:r w:rsidRPr="008E7DAC">
        <w:fldChar w:fldCharType="begin"/>
      </w:r>
      <w:r w:rsidRPr="008E7DAC">
        <w:instrText xml:space="preserve"> SEQ Table \* ARABIC </w:instrText>
      </w:r>
      <w:r w:rsidRPr="008E7DAC">
        <w:fldChar w:fldCharType="separate"/>
      </w:r>
      <w:r w:rsidRPr="00B73D7E">
        <w:t>25</w:t>
      </w:r>
      <w:r w:rsidRPr="008E7DAC">
        <w:fldChar w:fldCharType="end"/>
      </w:r>
      <w:r w:rsidRPr="008E7DAC">
        <w:t xml:space="preserve">. </w:t>
      </w:r>
      <w:r w:rsidR="00AA4661" w:rsidRPr="008E7DAC">
        <w:t xml:space="preserve">Характеристики на наводненията – по области: </w:t>
      </w:r>
      <w:r w:rsidR="008E7DAC">
        <w:br/>
      </w:r>
      <w:r w:rsidR="00AA4661" w:rsidRPr="008E7DAC">
        <w:t>обобщение за периода 2010–2015 г.</w:t>
      </w:r>
      <w:bookmarkEnd w:id="884"/>
    </w:p>
    <w:tbl>
      <w:tblPr>
        <w:tblW w:w="8990" w:type="dxa"/>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0" w:type="dxa"/>
          <w:right w:w="70" w:type="dxa"/>
        </w:tblCellMar>
        <w:tblLook w:val="00A0" w:firstRow="1" w:lastRow="0" w:firstColumn="1" w:lastColumn="0" w:noHBand="0" w:noVBand="0"/>
      </w:tblPr>
      <w:tblGrid>
        <w:gridCol w:w="2150"/>
        <w:gridCol w:w="1260"/>
        <w:gridCol w:w="1260"/>
        <w:gridCol w:w="1620"/>
        <w:gridCol w:w="2700"/>
      </w:tblGrid>
      <w:tr w:rsidR="00AA4661" w:rsidRPr="00F8728A" w:rsidTr="00045F19">
        <w:tc>
          <w:tcPr>
            <w:tcW w:w="2150" w:type="dxa"/>
            <w:shd w:val="clear" w:color="auto" w:fill="365F91"/>
            <w:vAlign w:val="center"/>
          </w:tcPr>
          <w:p w:rsidR="00AA4661" w:rsidRPr="00F8728A" w:rsidRDefault="00AA4661" w:rsidP="00045F19">
            <w:pPr>
              <w:spacing w:after="0"/>
              <w:jc w:val="center"/>
              <w:rPr>
                <w:rFonts w:ascii="Calibri" w:hAnsi="Calibri" w:cs="Calibri"/>
                <w:b/>
                <w:color w:val="FFFFFF"/>
                <w:szCs w:val="20"/>
              </w:rPr>
            </w:pPr>
            <w:r w:rsidRPr="00F8728A">
              <w:rPr>
                <w:rFonts w:ascii="Calibri" w:hAnsi="Calibri" w:cs="Calibri"/>
                <w:b/>
                <w:color w:val="FFFFFF"/>
                <w:szCs w:val="20"/>
              </w:rPr>
              <w:t>Области</w:t>
            </w:r>
          </w:p>
        </w:tc>
        <w:tc>
          <w:tcPr>
            <w:tcW w:w="1260" w:type="dxa"/>
            <w:shd w:val="clear" w:color="auto" w:fill="365F91"/>
            <w:vAlign w:val="center"/>
          </w:tcPr>
          <w:p w:rsidR="00AA4661" w:rsidRPr="00F8728A" w:rsidRDefault="00AA4661" w:rsidP="00045F19">
            <w:pPr>
              <w:spacing w:after="0"/>
              <w:jc w:val="center"/>
              <w:rPr>
                <w:rFonts w:ascii="Calibri" w:hAnsi="Calibri" w:cs="Calibri"/>
                <w:b/>
                <w:color w:val="FFFFFF"/>
                <w:szCs w:val="20"/>
              </w:rPr>
            </w:pPr>
            <w:r w:rsidRPr="00F8728A">
              <w:rPr>
                <w:rFonts w:ascii="Calibri" w:hAnsi="Calibri" w:cs="Calibri"/>
                <w:b/>
                <w:color w:val="FFFFFF"/>
                <w:szCs w:val="20"/>
              </w:rPr>
              <w:t>Брой наводнения</w:t>
            </w:r>
          </w:p>
        </w:tc>
        <w:tc>
          <w:tcPr>
            <w:tcW w:w="1260" w:type="dxa"/>
            <w:shd w:val="clear" w:color="auto" w:fill="365F91"/>
            <w:vAlign w:val="center"/>
          </w:tcPr>
          <w:p w:rsidR="00AA4661" w:rsidRPr="00F8728A" w:rsidRDefault="00AA4661" w:rsidP="00045F19">
            <w:pPr>
              <w:spacing w:after="0"/>
              <w:jc w:val="center"/>
              <w:rPr>
                <w:rFonts w:ascii="Calibri" w:hAnsi="Calibri" w:cs="Calibri"/>
                <w:b/>
                <w:color w:val="FFFFFF"/>
                <w:szCs w:val="20"/>
              </w:rPr>
            </w:pPr>
            <w:r w:rsidRPr="00F8728A">
              <w:rPr>
                <w:rFonts w:ascii="Calibri" w:hAnsi="Calibri" w:cs="Calibri"/>
                <w:b/>
                <w:color w:val="FFFFFF"/>
                <w:szCs w:val="20"/>
              </w:rPr>
              <w:t>Щети, хил. лв</w:t>
            </w:r>
          </w:p>
        </w:tc>
        <w:tc>
          <w:tcPr>
            <w:tcW w:w="1620" w:type="dxa"/>
            <w:shd w:val="clear" w:color="auto" w:fill="365F91"/>
            <w:vAlign w:val="center"/>
          </w:tcPr>
          <w:p w:rsidR="00AA4661" w:rsidRPr="00F8728A" w:rsidRDefault="00AA4661" w:rsidP="00045F19">
            <w:pPr>
              <w:spacing w:after="0"/>
              <w:jc w:val="center"/>
              <w:rPr>
                <w:rFonts w:ascii="Calibri" w:hAnsi="Calibri" w:cs="Calibri"/>
                <w:b/>
                <w:color w:val="FFFFFF"/>
                <w:szCs w:val="20"/>
              </w:rPr>
            </w:pPr>
            <w:r w:rsidRPr="00F8728A">
              <w:rPr>
                <w:rFonts w:ascii="Calibri" w:hAnsi="Calibri" w:cs="Calibri"/>
                <w:b/>
                <w:color w:val="FFFFFF"/>
                <w:szCs w:val="20"/>
              </w:rPr>
              <w:t>Разходи за възстановяване, хил. лв</w:t>
            </w:r>
          </w:p>
        </w:tc>
        <w:tc>
          <w:tcPr>
            <w:tcW w:w="2700" w:type="dxa"/>
            <w:shd w:val="clear" w:color="auto" w:fill="365F91"/>
            <w:vAlign w:val="center"/>
          </w:tcPr>
          <w:p w:rsidR="00AA4661" w:rsidRPr="00F8728A" w:rsidRDefault="00AA4661" w:rsidP="00045F19">
            <w:pPr>
              <w:spacing w:after="0"/>
              <w:jc w:val="center"/>
              <w:rPr>
                <w:rFonts w:ascii="Calibri" w:hAnsi="Calibri" w:cs="Calibri"/>
                <w:b/>
                <w:color w:val="FFFFFF"/>
                <w:szCs w:val="20"/>
              </w:rPr>
            </w:pPr>
            <w:r w:rsidRPr="00F8728A">
              <w:rPr>
                <w:rFonts w:ascii="Calibri" w:hAnsi="Calibri" w:cs="Calibri"/>
                <w:b/>
                <w:color w:val="FFFFFF"/>
                <w:szCs w:val="20"/>
              </w:rPr>
              <w:t>Разходи за спасяване и извънредни работи,</w:t>
            </w:r>
          </w:p>
          <w:p w:rsidR="00AA4661" w:rsidRPr="00F8728A" w:rsidRDefault="00AA4661" w:rsidP="00045F19">
            <w:pPr>
              <w:spacing w:after="0"/>
              <w:jc w:val="center"/>
              <w:rPr>
                <w:rFonts w:ascii="Calibri" w:hAnsi="Calibri" w:cs="Calibri"/>
                <w:b/>
                <w:color w:val="FFFFFF"/>
                <w:szCs w:val="20"/>
              </w:rPr>
            </w:pPr>
            <w:r w:rsidRPr="00F8728A">
              <w:rPr>
                <w:rFonts w:ascii="Calibri" w:hAnsi="Calibri" w:cs="Calibri"/>
                <w:b/>
                <w:color w:val="FFFFFF"/>
                <w:szCs w:val="20"/>
              </w:rPr>
              <w:t>хил. лв</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b/>
                <w:color w:val="000000"/>
                <w:szCs w:val="20"/>
              </w:rPr>
            </w:pPr>
            <w:r w:rsidRPr="00F8728A">
              <w:rPr>
                <w:rFonts w:ascii="Calibri" w:hAnsi="Calibri" w:cs="Calibri"/>
                <w:b/>
                <w:color w:val="000000"/>
                <w:szCs w:val="20"/>
              </w:rPr>
              <w:t>Наводнения – общо</w:t>
            </w:r>
          </w:p>
        </w:tc>
        <w:tc>
          <w:tcPr>
            <w:tcW w:w="1260" w:type="dxa"/>
            <w:vAlign w:val="bottom"/>
          </w:tcPr>
          <w:p w:rsidR="00AA4661" w:rsidRPr="00F8728A" w:rsidRDefault="00AA4661" w:rsidP="0050582F">
            <w:pPr>
              <w:spacing w:after="0"/>
              <w:jc w:val="right"/>
              <w:rPr>
                <w:rFonts w:ascii="Calibri" w:hAnsi="Calibri" w:cs="Calibri"/>
                <w:b/>
                <w:color w:val="000000"/>
                <w:szCs w:val="20"/>
              </w:rPr>
            </w:pPr>
            <w:r w:rsidRPr="00F8728A">
              <w:rPr>
                <w:rFonts w:ascii="Calibri" w:hAnsi="Calibri" w:cs="Calibri"/>
                <w:b/>
                <w:color w:val="000000"/>
                <w:szCs w:val="20"/>
              </w:rPr>
              <w:t>2</w:t>
            </w:r>
            <w:r w:rsidR="00BF2BAB">
              <w:rPr>
                <w:rFonts w:ascii="Calibri" w:hAnsi="Calibri" w:cs="Calibri"/>
                <w:b/>
                <w:color w:val="000000"/>
                <w:szCs w:val="20"/>
              </w:rPr>
              <w:t xml:space="preserve"> </w:t>
            </w:r>
            <w:r w:rsidRPr="00F8728A">
              <w:rPr>
                <w:rFonts w:ascii="Calibri" w:hAnsi="Calibri" w:cs="Calibri"/>
                <w:b/>
                <w:color w:val="000000"/>
                <w:szCs w:val="20"/>
              </w:rPr>
              <w:t>898</w:t>
            </w:r>
          </w:p>
        </w:tc>
        <w:tc>
          <w:tcPr>
            <w:tcW w:w="1260" w:type="dxa"/>
            <w:vAlign w:val="bottom"/>
          </w:tcPr>
          <w:p w:rsidR="00AA4661" w:rsidRPr="00F8728A" w:rsidRDefault="00AA4661" w:rsidP="0050582F">
            <w:pPr>
              <w:spacing w:after="0"/>
              <w:jc w:val="right"/>
              <w:rPr>
                <w:rFonts w:ascii="Calibri" w:hAnsi="Calibri" w:cs="Calibri"/>
                <w:b/>
                <w:color w:val="000000"/>
                <w:szCs w:val="20"/>
              </w:rPr>
            </w:pPr>
            <w:r w:rsidRPr="00F8728A">
              <w:rPr>
                <w:rFonts w:ascii="Calibri" w:hAnsi="Calibri" w:cs="Calibri"/>
                <w:b/>
                <w:color w:val="000000"/>
                <w:szCs w:val="20"/>
              </w:rPr>
              <w:t>630</w:t>
            </w:r>
            <w:r w:rsidR="00BF2BAB">
              <w:rPr>
                <w:rFonts w:ascii="Calibri" w:hAnsi="Calibri" w:cs="Calibri"/>
                <w:b/>
                <w:color w:val="000000"/>
                <w:szCs w:val="20"/>
              </w:rPr>
              <w:t xml:space="preserve"> </w:t>
            </w:r>
            <w:r w:rsidRPr="00F8728A">
              <w:rPr>
                <w:rFonts w:ascii="Calibri" w:hAnsi="Calibri" w:cs="Calibri"/>
                <w:b/>
                <w:color w:val="000000"/>
                <w:szCs w:val="20"/>
              </w:rPr>
              <w:t>360</w:t>
            </w:r>
          </w:p>
        </w:tc>
        <w:tc>
          <w:tcPr>
            <w:tcW w:w="1620" w:type="dxa"/>
            <w:vAlign w:val="bottom"/>
          </w:tcPr>
          <w:p w:rsidR="00AA4661" w:rsidRPr="00F8728A" w:rsidRDefault="00AA4661" w:rsidP="0050582F">
            <w:pPr>
              <w:spacing w:after="0"/>
              <w:jc w:val="right"/>
              <w:rPr>
                <w:rFonts w:ascii="Calibri" w:hAnsi="Calibri" w:cs="Calibri"/>
                <w:b/>
                <w:color w:val="000000"/>
                <w:szCs w:val="20"/>
              </w:rPr>
            </w:pPr>
            <w:r w:rsidRPr="00F8728A">
              <w:rPr>
                <w:rFonts w:ascii="Calibri" w:hAnsi="Calibri" w:cs="Calibri"/>
                <w:b/>
                <w:color w:val="000000"/>
                <w:szCs w:val="20"/>
              </w:rPr>
              <w:t>309</w:t>
            </w:r>
            <w:r w:rsidR="00BF2BAB">
              <w:rPr>
                <w:rFonts w:ascii="Calibri" w:hAnsi="Calibri" w:cs="Calibri"/>
                <w:b/>
                <w:color w:val="000000"/>
                <w:szCs w:val="20"/>
              </w:rPr>
              <w:t xml:space="preserve"> </w:t>
            </w:r>
            <w:r w:rsidRPr="00F8728A">
              <w:rPr>
                <w:rFonts w:ascii="Calibri" w:hAnsi="Calibri" w:cs="Calibri"/>
                <w:b/>
                <w:color w:val="000000"/>
                <w:szCs w:val="20"/>
              </w:rPr>
              <w:t>142</w:t>
            </w:r>
          </w:p>
        </w:tc>
        <w:tc>
          <w:tcPr>
            <w:tcW w:w="2700" w:type="dxa"/>
            <w:vAlign w:val="bottom"/>
          </w:tcPr>
          <w:p w:rsidR="00AA4661" w:rsidRPr="00F8728A" w:rsidRDefault="00AA4661" w:rsidP="0050582F">
            <w:pPr>
              <w:spacing w:after="0"/>
              <w:jc w:val="right"/>
              <w:rPr>
                <w:rFonts w:ascii="Calibri" w:hAnsi="Calibri" w:cs="Calibri"/>
                <w:b/>
                <w:color w:val="000000"/>
                <w:szCs w:val="20"/>
              </w:rPr>
            </w:pPr>
            <w:r w:rsidRPr="00F8728A">
              <w:rPr>
                <w:rFonts w:ascii="Calibri" w:hAnsi="Calibri" w:cs="Calibri"/>
                <w:b/>
                <w:color w:val="000000"/>
                <w:szCs w:val="20"/>
              </w:rPr>
              <w:t>38</w:t>
            </w:r>
            <w:r w:rsidR="00BF2BAB">
              <w:rPr>
                <w:rFonts w:ascii="Calibri" w:hAnsi="Calibri" w:cs="Calibri"/>
                <w:b/>
                <w:color w:val="000000"/>
                <w:szCs w:val="20"/>
              </w:rPr>
              <w:t xml:space="preserve"> </w:t>
            </w:r>
            <w:r w:rsidRPr="00F8728A">
              <w:rPr>
                <w:rFonts w:ascii="Calibri" w:hAnsi="Calibri" w:cs="Calibri"/>
                <w:b/>
                <w:color w:val="000000"/>
                <w:szCs w:val="20"/>
              </w:rPr>
              <w:t>780</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Благоевград</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50</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14</w:t>
            </w:r>
            <w:r w:rsidR="00BF2BAB">
              <w:rPr>
                <w:rFonts w:ascii="Calibri" w:hAnsi="Calibri" w:cs="Calibri"/>
                <w:color w:val="000000"/>
                <w:szCs w:val="20"/>
              </w:rPr>
              <w:t xml:space="preserve"> </w:t>
            </w:r>
            <w:r w:rsidRPr="00F8728A">
              <w:rPr>
                <w:rFonts w:ascii="Calibri" w:hAnsi="Calibri" w:cs="Calibri"/>
                <w:color w:val="000000"/>
                <w:szCs w:val="20"/>
              </w:rPr>
              <w:t>358</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w:t>
            </w:r>
            <w:r w:rsidR="00BF2BAB">
              <w:rPr>
                <w:rFonts w:ascii="Calibri" w:hAnsi="Calibri" w:cs="Calibri"/>
                <w:color w:val="000000"/>
                <w:szCs w:val="20"/>
              </w:rPr>
              <w:t xml:space="preserve"> </w:t>
            </w:r>
            <w:r w:rsidRPr="00F8728A">
              <w:rPr>
                <w:rFonts w:ascii="Calibri" w:hAnsi="Calibri" w:cs="Calibri"/>
                <w:color w:val="000000"/>
                <w:szCs w:val="20"/>
              </w:rPr>
              <w:t>579</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r w:rsidR="00BF2BAB">
              <w:rPr>
                <w:rFonts w:ascii="Calibri" w:hAnsi="Calibri" w:cs="Calibri"/>
                <w:color w:val="000000"/>
                <w:szCs w:val="20"/>
              </w:rPr>
              <w:t xml:space="preserve"> </w:t>
            </w:r>
            <w:r w:rsidRPr="00F8728A">
              <w:rPr>
                <w:rFonts w:ascii="Calibri" w:hAnsi="Calibri" w:cs="Calibri"/>
                <w:color w:val="000000"/>
                <w:szCs w:val="20"/>
              </w:rPr>
              <w:t>039</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Бургас</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251</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153</w:t>
            </w:r>
            <w:r w:rsidR="00BF2BAB">
              <w:rPr>
                <w:rFonts w:ascii="Calibri" w:hAnsi="Calibri" w:cs="Calibri"/>
                <w:color w:val="000000"/>
                <w:szCs w:val="20"/>
              </w:rPr>
              <w:t xml:space="preserve"> </w:t>
            </w:r>
            <w:r w:rsidRPr="00F8728A">
              <w:rPr>
                <w:rFonts w:ascii="Calibri" w:hAnsi="Calibri" w:cs="Calibri"/>
                <w:color w:val="000000"/>
                <w:szCs w:val="20"/>
              </w:rPr>
              <w:t>364</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26</w:t>
            </w:r>
            <w:r w:rsidR="00BF2BAB">
              <w:rPr>
                <w:rFonts w:ascii="Calibri" w:hAnsi="Calibri" w:cs="Calibri"/>
                <w:color w:val="000000"/>
                <w:szCs w:val="20"/>
              </w:rPr>
              <w:t xml:space="preserve"> </w:t>
            </w:r>
            <w:r w:rsidRPr="00F8728A">
              <w:rPr>
                <w:rFonts w:ascii="Calibri" w:hAnsi="Calibri" w:cs="Calibri"/>
                <w:color w:val="000000"/>
                <w:szCs w:val="20"/>
              </w:rPr>
              <w:t>103</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5</w:t>
            </w:r>
            <w:r w:rsidR="00BF2BAB">
              <w:rPr>
                <w:rFonts w:ascii="Calibri" w:hAnsi="Calibri" w:cs="Calibri"/>
                <w:color w:val="000000"/>
                <w:szCs w:val="20"/>
              </w:rPr>
              <w:t xml:space="preserve"> </w:t>
            </w:r>
            <w:r w:rsidRPr="00F8728A">
              <w:rPr>
                <w:rFonts w:ascii="Calibri" w:hAnsi="Calibri" w:cs="Calibri"/>
                <w:color w:val="000000"/>
                <w:szCs w:val="20"/>
              </w:rPr>
              <w:t>276</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Варна</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147</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47</w:t>
            </w:r>
            <w:r w:rsidR="00BF2BAB">
              <w:rPr>
                <w:rFonts w:ascii="Calibri" w:hAnsi="Calibri" w:cs="Calibri"/>
                <w:color w:val="000000"/>
                <w:szCs w:val="20"/>
              </w:rPr>
              <w:t xml:space="preserve"> </w:t>
            </w:r>
            <w:r w:rsidRPr="00F8728A">
              <w:rPr>
                <w:rFonts w:ascii="Calibri" w:hAnsi="Calibri" w:cs="Calibri"/>
                <w:color w:val="000000"/>
                <w:szCs w:val="20"/>
              </w:rPr>
              <w:t>870</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11</w:t>
            </w:r>
            <w:r w:rsidR="00BF2BAB">
              <w:rPr>
                <w:rFonts w:ascii="Calibri" w:hAnsi="Calibri" w:cs="Calibri"/>
                <w:color w:val="000000"/>
                <w:szCs w:val="20"/>
              </w:rPr>
              <w:t xml:space="preserve"> </w:t>
            </w:r>
            <w:r w:rsidRPr="00F8728A">
              <w:rPr>
                <w:rFonts w:ascii="Calibri" w:hAnsi="Calibri" w:cs="Calibri"/>
                <w:color w:val="000000"/>
                <w:szCs w:val="20"/>
              </w:rPr>
              <w:t>698</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5</w:t>
            </w:r>
            <w:r w:rsidR="00BF2BAB">
              <w:rPr>
                <w:rFonts w:ascii="Calibri" w:hAnsi="Calibri" w:cs="Calibri"/>
                <w:color w:val="000000"/>
                <w:szCs w:val="20"/>
              </w:rPr>
              <w:t xml:space="preserve"> </w:t>
            </w:r>
            <w:r w:rsidRPr="00F8728A">
              <w:rPr>
                <w:rFonts w:ascii="Calibri" w:hAnsi="Calibri" w:cs="Calibri"/>
                <w:color w:val="000000"/>
                <w:szCs w:val="20"/>
              </w:rPr>
              <w:t>495</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Велико Търново</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125</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29</w:t>
            </w:r>
            <w:r w:rsidR="00BF2BAB">
              <w:rPr>
                <w:rFonts w:ascii="Calibri" w:hAnsi="Calibri" w:cs="Calibri"/>
                <w:color w:val="000000"/>
                <w:szCs w:val="20"/>
              </w:rPr>
              <w:t xml:space="preserve"> </w:t>
            </w:r>
            <w:r w:rsidRPr="00F8728A">
              <w:rPr>
                <w:rFonts w:ascii="Calibri" w:hAnsi="Calibri" w:cs="Calibri"/>
                <w:color w:val="000000"/>
                <w:szCs w:val="20"/>
              </w:rPr>
              <w:t>042</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6</w:t>
            </w:r>
            <w:r w:rsidR="00BF2BAB">
              <w:rPr>
                <w:rFonts w:ascii="Calibri" w:hAnsi="Calibri" w:cs="Calibri"/>
                <w:color w:val="000000"/>
                <w:szCs w:val="20"/>
              </w:rPr>
              <w:t xml:space="preserve"> </w:t>
            </w:r>
            <w:r w:rsidRPr="00F8728A">
              <w:rPr>
                <w:rFonts w:ascii="Calibri" w:hAnsi="Calibri" w:cs="Calibri"/>
                <w:color w:val="000000"/>
                <w:szCs w:val="20"/>
              </w:rPr>
              <w:t>044</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4</w:t>
            </w:r>
            <w:r w:rsidR="00BF2BAB">
              <w:rPr>
                <w:rFonts w:ascii="Calibri" w:hAnsi="Calibri" w:cs="Calibri"/>
                <w:color w:val="000000"/>
                <w:szCs w:val="20"/>
              </w:rPr>
              <w:t xml:space="preserve"> </w:t>
            </w:r>
            <w:r w:rsidRPr="00F8728A">
              <w:rPr>
                <w:rFonts w:ascii="Calibri" w:hAnsi="Calibri" w:cs="Calibri"/>
                <w:color w:val="000000"/>
                <w:szCs w:val="20"/>
              </w:rPr>
              <w:t>764</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Видин</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8</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876</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595</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Враца</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26</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26</w:t>
            </w:r>
            <w:r w:rsidR="00BF2BAB">
              <w:rPr>
                <w:rFonts w:ascii="Calibri" w:hAnsi="Calibri" w:cs="Calibri"/>
                <w:color w:val="000000"/>
                <w:szCs w:val="20"/>
              </w:rPr>
              <w:t xml:space="preserve"> </w:t>
            </w:r>
            <w:r w:rsidRPr="00F8728A">
              <w:rPr>
                <w:rFonts w:ascii="Calibri" w:hAnsi="Calibri" w:cs="Calibri"/>
                <w:color w:val="000000"/>
                <w:szCs w:val="20"/>
              </w:rPr>
              <w:t>679</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4</w:t>
            </w:r>
            <w:r w:rsidR="00BF2BAB">
              <w:rPr>
                <w:rFonts w:ascii="Calibri" w:hAnsi="Calibri" w:cs="Calibri"/>
                <w:color w:val="000000"/>
                <w:szCs w:val="20"/>
              </w:rPr>
              <w:t xml:space="preserve"> </w:t>
            </w:r>
            <w:r w:rsidRPr="00F8728A">
              <w:rPr>
                <w:rFonts w:ascii="Calibri" w:hAnsi="Calibri" w:cs="Calibri"/>
                <w:color w:val="000000"/>
                <w:szCs w:val="20"/>
              </w:rPr>
              <w:t>097</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r w:rsidR="00BF2BAB">
              <w:rPr>
                <w:rFonts w:ascii="Calibri" w:hAnsi="Calibri" w:cs="Calibri"/>
                <w:color w:val="000000"/>
                <w:szCs w:val="20"/>
              </w:rPr>
              <w:t xml:space="preserve"> </w:t>
            </w:r>
            <w:r w:rsidRPr="00F8728A">
              <w:rPr>
                <w:rFonts w:ascii="Calibri" w:hAnsi="Calibri" w:cs="Calibri"/>
                <w:color w:val="000000"/>
                <w:szCs w:val="20"/>
              </w:rPr>
              <w:t>782</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Габрово</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39</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7</w:t>
            </w:r>
            <w:r w:rsidR="00BF2BAB">
              <w:rPr>
                <w:rFonts w:ascii="Calibri" w:hAnsi="Calibri" w:cs="Calibri"/>
                <w:color w:val="000000"/>
                <w:szCs w:val="20"/>
              </w:rPr>
              <w:t xml:space="preserve"> </w:t>
            </w:r>
            <w:r w:rsidRPr="00F8728A">
              <w:rPr>
                <w:rFonts w:ascii="Calibri" w:hAnsi="Calibri" w:cs="Calibri"/>
                <w:color w:val="000000"/>
                <w:szCs w:val="20"/>
              </w:rPr>
              <w:t>732</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r w:rsidR="00BF2BAB">
              <w:rPr>
                <w:rFonts w:ascii="Calibri" w:hAnsi="Calibri" w:cs="Calibri"/>
                <w:color w:val="000000"/>
                <w:szCs w:val="20"/>
              </w:rPr>
              <w:t xml:space="preserve"> </w:t>
            </w:r>
            <w:r w:rsidRPr="00F8728A">
              <w:rPr>
                <w:rFonts w:ascii="Calibri" w:hAnsi="Calibri" w:cs="Calibri"/>
                <w:color w:val="000000"/>
                <w:szCs w:val="20"/>
              </w:rPr>
              <w:t>628</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523</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Добрич</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42</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10</w:t>
            </w:r>
            <w:r w:rsidR="00BF2BAB">
              <w:rPr>
                <w:rFonts w:ascii="Calibri" w:hAnsi="Calibri" w:cs="Calibri"/>
                <w:color w:val="000000"/>
                <w:szCs w:val="20"/>
              </w:rPr>
              <w:t xml:space="preserve"> </w:t>
            </w:r>
            <w:r w:rsidRPr="00F8728A">
              <w:rPr>
                <w:rFonts w:ascii="Calibri" w:hAnsi="Calibri" w:cs="Calibri"/>
                <w:color w:val="000000"/>
                <w:szCs w:val="20"/>
              </w:rPr>
              <w:t>926</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4</w:t>
            </w:r>
            <w:r w:rsidR="00BF2BAB">
              <w:rPr>
                <w:rFonts w:ascii="Calibri" w:hAnsi="Calibri" w:cs="Calibri"/>
                <w:color w:val="000000"/>
                <w:szCs w:val="20"/>
              </w:rPr>
              <w:t xml:space="preserve"> </w:t>
            </w:r>
            <w:r w:rsidRPr="00F8728A">
              <w:rPr>
                <w:rFonts w:ascii="Calibri" w:hAnsi="Calibri" w:cs="Calibri"/>
                <w:color w:val="000000"/>
                <w:szCs w:val="20"/>
              </w:rPr>
              <w:t>203</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r w:rsidR="00BF2BAB">
              <w:rPr>
                <w:rFonts w:ascii="Calibri" w:hAnsi="Calibri" w:cs="Calibri"/>
                <w:color w:val="000000"/>
                <w:szCs w:val="20"/>
              </w:rPr>
              <w:t xml:space="preserve"> </w:t>
            </w:r>
            <w:r w:rsidRPr="00F8728A">
              <w:rPr>
                <w:rFonts w:ascii="Calibri" w:hAnsi="Calibri" w:cs="Calibri"/>
                <w:color w:val="000000"/>
                <w:szCs w:val="20"/>
              </w:rPr>
              <w:t>777</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Кърджали</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78</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6</w:t>
            </w:r>
            <w:r w:rsidR="00BF2BAB">
              <w:rPr>
                <w:rFonts w:ascii="Calibri" w:hAnsi="Calibri" w:cs="Calibri"/>
                <w:color w:val="000000"/>
                <w:szCs w:val="20"/>
              </w:rPr>
              <w:t xml:space="preserve"> </w:t>
            </w:r>
            <w:r w:rsidRPr="00F8728A">
              <w:rPr>
                <w:rFonts w:ascii="Calibri" w:hAnsi="Calibri" w:cs="Calibri"/>
                <w:color w:val="000000"/>
                <w:szCs w:val="20"/>
              </w:rPr>
              <w:t>088</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r w:rsidR="00BF2BAB">
              <w:rPr>
                <w:rFonts w:ascii="Calibri" w:hAnsi="Calibri" w:cs="Calibri"/>
                <w:color w:val="000000"/>
                <w:szCs w:val="20"/>
              </w:rPr>
              <w:t xml:space="preserve"> </w:t>
            </w:r>
            <w:r w:rsidRPr="00F8728A">
              <w:rPr>
                <w:rFonts w:ascii="Calibri" w:hAnsi="Calibri" w:cs="Calibri"/>
                <w:color w:val="000000"/>
                <w:szCs w:val="20"/>
              </w:rPr>
              <w:t>571</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616</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Кюстендил</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37</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4</w:t>
            </w:r>
            <w:r w:rsidR="00BF2BAB">
              <w:rPr>
                <w:rFonts w:ascii="Calibri" w:hAnsi="Calibri" w:cs="Calibri"/>
                <w:color w:val="000000"/>
                <w:szCs w:val="20"/>
              </w:rPr>
              <w:t xml:space="preserve"> </w:t>
            </w:r>
            <w:r w:rsidRPr="00F8728A">
              <w:rPr>
                <w:rFonts w:ascii="Calibri" w:hAnsi="Calibri" w:cs="Calibri"/>
                <w:color w:val="000000"/>
                <w:szCs w:val="20"/>
              </w:rPr>
              <w:t>453</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w:t>
            </w:r>
            <w:r w:rsidR="00BF2BAB">
              <w:rPr>
                <w:rFonts w:ascii="Calibri" w:hAnsi="Calibri" w:cs="Calibri"/>
                <w:color w:val="000000"/>
                <w:szCs w:val="20"/>
              </w:rPr>
              <w:t xml:space="preserve"> </w:t>
            </w:r>
            <w:r w:rsidRPr="00F8728A">
              <w:rPr>
                <w:rFonts w:ascii="Calibri" w:hAnsi="Calibri" w:cs="Calibri"/>
                <w:color w:val="000000"/>
                <w:szCs w:val="20"/>
              </w:rPr>
              <w:t>514</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131</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Ловеч</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9</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633</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220</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Монтана</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67</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12</w:t>
            </w:r>
            <w:r w:rsidR="00BF2BAB">
              <w:rPr>
                <w:rFonts w:ascii="Calibri" w:hAnsi="Calibri" w:cs="Calibri"/>
                <w:color w:val="000000"/>
                <w:szCs w:val="20"/>
              </w:rPr>
              <w:t xml:space="preserve"> </w:t>
            </w:r>
            <w:r w:rsidRPr="00F8728A">
              <w:rPr>
                <w:rFonts w:ascii="Calibri" w:hAnsi="Calibri" w:cs="Calibri"/>
                <w:color w:val="000000"/>
                <w:szCs w:val="20"/>
              </w:rPr>
              <w:t>548</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w:t>
            </w:r>
            <w:r w:rsidR="00BF2BAB">
              <w:rPr>
                <w:rFonts w:ascii="Calibri" w:hAnsi="Calibri" w:cs="Calibri"/>
                <w:color w:val="000000"/>
                <w:szCs w:val="20"/>
              </w:rPr>
              <w:t xml:space="preserve"> </w:t>
            </w:r>
            <w:r w:rsidRPr="00F8728A">
              <w:rPr>
                <w:rFonts w:ascii="Calibri" w:hAnsi="Calibri" w:cs="Calibri"/>
                <w:color w:val="000000"/>
                <w:szCs w:val="20"/>
              </w:rPr>
              <w:t>005</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r w:rsidR="00BF2BAB">
              <w:rPr>
                <w:rFonts w:ascii="Calibri" w:hAnsi="Calibri" w:cs="Calibri"/>
                <w:color w:val="000000"/>
                <w:szCs w:val="20"/>
              </w:rPr>
              <w:t xml:space="preserve"> </w:t>
            </w:r>
            <w:r w:rsidRPr="00F8728A">
              <w:rPr>
                <w:rFonts w:ascii="Calibri" w:hAnsi="Calibri" w:cs="Calibri"/>
                <w:color w:val="000000"/>
                <w:szCs w:val="20"/>
              </w:rPr>
              <w:t>413</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Пазарджик</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53</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w:t>
            </w:r>
            <w:r w:rsidR="00BF2BAB">
              <w:rPr>
                <w:rFonts w:ascii="Calibri" w:hAnsi="Calibri" w:cs="Calibri"/>
                <w:color w:val="000000"/>
                <w:szCs w:val="20"/>
              </w:rPr>
              <w:t xml:space="preserve"> </w:t>
            </w:r>
            <w:r w:rsidRPr="00F8728A">
              <w:rPr>
                <w:rFonts w:ascii="Calibri" w:hAnsi="Calibri" w:cs="Calibri"/>
                <w:color w:val="000000"/>
                <w:szCs w:val="20"/>
              </w:rPr>
              <w:t>351</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r w:rsidR="00BF2BAB">
              <w:rPr>
                <w:rFonts w:ascii="Calibri" w:hAnsi="Calibri" w:cs="Calibri"/>
                <w:color w:val="000000"/>
                <w:szCs w:val="20"/>
              </w:rPr>
              <w:t xml:space="preserve"> </w:t>
            </w:r>
            <w:r w:rsidRPr="00F8728A">
              <w:rPr>
                <w:rFonts w:ascii="Calibri" w:hAnsi="Calibri" w:cs="Calibri"/>
                <w:color w:val="000000"/>
                <w:szCs w:val="20"/>
              </w:rPr>
              <w:t>332</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217</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Перник</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30</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939</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993</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3</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Плевен</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75</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5</w:t>
            </w:r>
            <w:r w:rsidR="00BF2BAB">
              <w:rPr>
                <w:rFonts w:ascii="Calibri" w:hAnsi="Calibri" w:cs="Calibri"/>
                <w:color w:val="000000"/>
                <w:szCs w:val="20"/>
              </w:rPr>
              <w:t xml:space="preserve"> </w:t>
            </w:r>
            <w:r w:rsidRPr="00F8728A">
              <w:rPr>
                <w:rFonts w:ascii="Calibri" w:hAnsi="Calibri" w:cs="Calibri"/>
                <w:color w:val="000000"/>
                <w:szCs w:val="20"/>
              </w:rPr>
              <w:t>885</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w:t>
            </w:r>
            <w:r w:rsidR="00BF2BAB">
              <w:rPr>
                <w:rFonts w:ascii="Calibri" w:hAnsi="Calibri" w:cs="Calibri"/>
                <w:color w:val="000000"/>
                <w:szCs w:val="20"/>
              </w:rPr>
              <w:t xml:space="preserve"> </w:t>
            </w:r>
            <w:r w:rsidRPr="00F8728A">
              <w:rPr>
                <w:rFonts w:ascii="Calibri" w:hAnsi="Calibri" w:cs="Calibri"/>
                <w:color w:val="000000"/>
                <w:szCs w:val="20"/>
              </w:rPr>
              <w:t>451</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664</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Пловдив</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62</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23</w:t>
            </w:r>
            <w:r w:rsidR="00BF2BAB">
              <w:rPr>
                <w:rFonts w:ascii="Calibri" w:hAnsi="Calibri" w:cs="Calibri"/>
                <w:color w:val="000000"/>
                <w:szCs w:val="20"/>
              </w:rPr>
              <w:t xml:space="preserve"> </w:t>
            </w:r>
            <w:r w:rsidRPr="00F8728A">
              <w:rPr>
                <w:rFonts w:ascii="Calibri" w:hAnsi="Calibri" w:cs="Calibri"/>
                <w:color w:val="000000"/>
                <w:szCs w:val="20"/>
              </w:rPr>
              <w:t>772</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9</w:t>
            </w:r>
            <w:r w:rsidR="00BF2BAB">
              <w:rPr>
                <w:rFonts w:ascii="Calibri" w:hAnsi="Calibri" w:cs="Calibri"/>
                <w:color w:val="000000"/>
                <w:szCs w:val="20"/>
              </w:rPr>
              <w:t xml:space="preserve"> </w:t>
            </w:r>
            <w:r w:rsidRPr="00F8728A">
              <w:rPr>
                <w:rFonts w:ascii="Calibri" w:hAnsi="Calibri" w:cs="Calibri"/>
                <w:color w:val="000000"/>
                <w:szCs w:val="20"/>
              </w:rPr>
              <w:t>589</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896</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Разград</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16</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r w:rsidR="00BF2BAB">
              <w:rPr>
                <w:rFonts w:ascii="Calibri" w:hAnsi="Calibri" w:cs="Calibri"/>
                <w:color w:val="000000"/>
                <w:szCs w:val="20"/>
              </w:rPr>
              <w:t xml:space="preserve"> </w:t>
            </w:r>
            <w:r w:rsidRPr="00F8728A">
              <w:rPr>
                <w:rFonts w:ascii="Calibri" w:hAnsi="Calibri" w:cs="Calibri"/>
                <w:color w:val="000000"/>
                <w:szCs w:val="20"/>
              </w:rPr>
              <w:t>903</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561</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50</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Русе</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52</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6</w:t>
            </w:r>
            <w:r w:rsidR="00BF2BAB">
              <w:rPr>
                <w:rFonts w:ascii="Calibri" w:hAnsi="Calibri" w:cs="Calibri"/>
                <w:color w:val="000000"/>
                <w:szCs w:val="20"/>
              </w:rPr>
              <w:t xml:space="preserve"> </w:t>
            </w:r>
            <w:r w:rsidRPr="00F8728A">
              <w:rPr>
                <w:rFonts w:ascii="Calibri" w:hAnsi="Calibri" w:cs="Calibri"/>
                <w:color w:val="000000"/>
                <w:szCs w:val="20"/>
              </w:rPr>
              <w:t>902</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w:t>
            </w:r>
            <w:r w:rsidR="00BF2BAB">
              <w:rPr>
                <w:rFonts w:ascii="Calibri" w:hAnsi="Calibri" w:cs="Calibri"/>
                <w:color w:val="000000"/>
                <w:szCs w:val="20"/>
              </w:rPr>
              <w:t xml:space="preserve"> </w:t>
            </w:r>
            <w:r w:rsidRPr="00F8728A">
              <w:rPr>
                <w:rFonts w:ascii="Calibri" w:hAnsi="Calibri" w:cs="Calibri"/>
                <w:color w:val="000000"/>
                <w:szCs w:val="20"/>
              </w:rPr>
              <w:t>934</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r w:rsidR="00BF2BAB">
              <w:rPr>
                <w:rFonts w:ascii="Calibri" w:hAnsi="Calibri" w:cs="Calibri"/>
                <w:color w:val="000000"/>
                <w:szCs w:val="20"/>
              </w:rPr>
              <w:t xml:space="preserve"> </w:t>
            </w:r>
            <w:r w:rsidRPr="00F8728A">
              <w:rPr>
                <w:rFonts w:ascii="Calibri" w:hAnsi="Calibri" w:cs="Calibri"/>
                <w:color w:val="000000"/>
                <w:szCs w:val="20"/>
              </w:rPr>
              <w:t>626</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Силистра</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7</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w:t>
            </w:r>
            <w:r w:rsidR="00BF2BAB">
              <w:rPr>
                <w:rFonts w:ascii="Calibri" w:hAnsi="Calibri" w:cs="Calibri"/>
                <w:color w:val="000000"/>
                <w:szCs w:val="20"/>
              </w:rPr>
              <w:t xml:space="preserve"> </w:t>
            </w:r>
            <w:r w:rsidRPr="00F8728A">
              <w:rPr>
                <w:rFonts w:ascii="Calibri" w:hAnsi="Calibri" w:cs="Calibri"/>
                <w:color w:val="000000"/>
                <w:szCs w:val="20"/>
              </w:rPr>
              <w:t>954</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940</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19</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Сливен</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816</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3</w:t>
            </w:r>
            <w:r w:rsidR="00BF2BAB">
              <w:rPr>
                <w:rFonts w:ascii="Calibri" w:hAnsi="Calibri" w:cs="Calibri"/>
                <w:color w:val="000000"/>
                <w:szCs w:val="20"/>
              </w:rPr>
              <w:t xml:space="preserve"> </w:t>
            </w:r>
            <w:r w:rsidRPr="00F8728A">
              <w:rPr>
                <w:rFonts w:ascii="Calibri" w:hAnsi="Calibri" w:cs="Calibri"/>
                <w:color w:val="000000"/>
                <w:szCs w:val="20"/>
              </w:rPr>
              <w:t>343</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3</w:t>
            </w:r>
            <w:r w:rsidR="00BF2BAB">
              <w:rPr>
                <w:rFonts w:ascii="Calibri" w:hAnsi="Calibri" w:cs="Calibri"/>
                <w:color w:val="000000"/>
                <w:szCs w:val="20"/>
              </w:rPr>
              <w:t xml:space="preserve"> </w:t>
            </w:r>
            <w:r w:rsidRPr="00F8728A">
              <w:rPr>
                <w:rFonts w:ascii="Calibri" w:hAnsi="Calibri" w:cs="Calibri"/>
                <w:color w:val="000000"/>
                <w:szCs w:val="20"/>
              </w:rPr>
              <w:t>692</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4</w:t>
            </w:r>
            <w:r w:rsidR="00BF2BAB">
              <w:rPr>
                <w:rFonts w:ascii="Calibri" w:hAnsi="Calibri" w:cs="Calibri"/>
                <w:color w:val="000000"/>
                <w:szCs w:val="20"/>
              </w:rPr>
              <w:t xml:space="preserve"> </w:t>
            </w:r>
            <w:r w:rsidRPr="00F8728A">
              <w:rPr>
                <w:rFonts w:ascii="Calibri" w:hAnsi="Calibri" w:cs="Calibri"/>
                <w:color w:val="000000"/>
                <w:szCs w:val="20"/>
              </w:rPr>
              <w:t>978</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Смолян</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534</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43</w:t>
            </w:r>
            <w:r w:rsidR="00BF2BAB">
              <w:rPr>
                <w:rFonts w:ascii="Calibri" w:hAnsi="Calibri" w:cs="Calibri"/>
                <w:color w:val="000000"/>
                <w:szCs w:val="20"/>
              </w:rPr>
              <w:t xml:space="preserve"> </w:t>
            </w:r>
            <w:r w:rsidRPr="00F8728A">
              <w:rPr>
                <w:rFonts w:ascii="Calibri" w:hAnsi="Calibri" w:cs="Calibri"/>
                <w:color w:val="000000"/>
                <w:szCs w:val="20"/>
              </w:rPr>
              <w:t>216</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20</w:t>
            </w:r>
            <w:r w:rsidR="00BF2BAB">
              <w:rPr>
                <w:rFonts w:ascii="Calibri" w:hAnsi="Calibri" w:cs="Calibri"/>
                <w:color w:val="000000"/>
                <w:szCs w:val="20"/>
              </w:rPr>
              <w:t xml:space="preserve"> </w:t>
            </w:r>
            <w:r w:rsidRPr="00F8728A">
              <w:rPr>
                <w:rFonts w:ascii="Calibri" w:hAnsi="Calibri" w:cs="Calibri"/>
                <w:color w:val="000000"/>
                <w:szCs w:val="20"/>
              </w:rPr>
              <w:t>419</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4</w:t>
            </w:r>
            <w:r w:rsidR="00BF2BAB">
              <w:rPr>
                <w:rFonts w:ascii="Calibri" w:hAnsi="Calibri" w:cs="Calibri"/>
                <w:color w:val="000000"/>
                <w:szCs w:val="20"/>
              </w:rPr>
              <w:t xml:space="preserve"> </w:t>
            </w:r>
            <w:r w:rsidRPr="00F8728A">
              <w:rPr>
                <w:rFonts w:ascii="Calibri" w:hAnsi="Calibri" w:cs="Calibri"/>
                <w:color w:val="000000"/>
                <w:szCs w:val="20"/>
              </w:rPr>
              <w:t>092</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София (Столична)</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224</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177</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47</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 xml:space="preserve">София </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104</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198</w:t>
            </w:r>
            <w:r w:rsidR="00BF2BAB">
              <w:rPr>
                <w:rFonts w:ascii="Calibri" w:hAnsi="Calibri" w:cs="Calibri"/>
                <w:color w:val="000000"/>
                <w:szCs w:val="20"/>
              </w:rPr>
              <w:t xml:space="preserve"> </w:t>
            </w:r>
            <w:r w:rsidRPr="00F8728A">
              <w:rPr>
                <w:rFonts w:ascii="Calibri" w:hAnsi="Calibri" w:cs="Calibri"/>
                <w:color w:val="000000"/>
                <w:szCs w:val="20"/>
              </w:rPr>
              <w:t>147</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195</w:t>
            </w:r>
            <w:r w:rsidR="00BF2BAB">
              <w:rPr>
                <w:rFonts w:ascii="Calibri" w:hAnsi="Calibri" w:cs="Calibri"/>
                <w:color w:val="000000"/>
                <w:szCs w:val="20"/>
              </w:rPr>
              <w:t xml:space="preserve"> </w:t>
            </w:r>
            <w:r w:rsidRPr="00F8728A">
              <w:rPr>
                <w:rFonts w:ascii="Calibri" w:hAnsi="Calibri" w:cs="Calibri"/>
                <w:color w:val="000000"/>
                <w:szCs w:val="20"/>
              </w:rPr>
              <w:t>368</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r w:rsidR="00BF2BAB">
              <w:rPr>
                <w:rFonts w:ascii="Calibri" w:hAnsi="Calibri" w:cs="Calibri"/>
                <w:color w:val="000000"/>
                <w:szCs w:val="20"/>
              </w:rPr>
              <w:t xml:space="preserve"> </w:t>
            </w:r>
            <w:r w:rsidRPr="00F8728A">
              <w:rPr>
                <w:rFonts w:ascii="Calibri" w:hAnsi="Calibri" w:cs="Calibri"/>
                <w:color w:val="000000"/>
                <w:szCs w:val="20"/>
              </w:rPr>
              <w:t>202</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Стара Загора</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146</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10</w:t>
            </w:r>
            <w:r w:rsidR="00BF2BAB">
              <w:rPr>
                <w:rFonts w:ascii="Calibri" w:hAnsi="Calibri" w:cs="Calibri"/>
                <w:color w:val="000000"/>
                <w:szCs w:val="20"/>
              </w:rPr>
              <w:t xml:space="preserve"> </w:t>
            </w:r>
            <w:r w:rsidRPr="00F8728A">
              <w:rPr>
                <w:rFonts w:ascii="Calibri" w:hAnsi="Calibri" w:cs="Calibri"/>
                <w:color w:val="000000"/>
                <w:szCs w:val="20"/>
              </w:rPr>
              <w:t>440</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749</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r w:rsidR="00BF2BAB">
              <w:rPr>
                <w:rFonts w:ascii="Calibri" w:hAnsi="Calibri" w:cs="Calibri"/>
                <w:color w:val="000000"/>
                <w:szCs w:val="20"/>
              </w:rPr>
              <w:t xml:space="preserve"> </w:t>
            </w:r>
            <w:r w:rsidRPr="00F8728A">
              <w:rPr>
                <w:rFonts w:ascii="Calibri" w:hAnsi="Calibri" w:cs="Calibri"/>
                <w:color w:val="000000"/>
                <w:szCs w:val="20"/>
              </w:rPr>
              <w:t>524</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Търговище</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3</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55</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38</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Хасково</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32</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9</w:t>
            </w:r>
            <w:r w:rsidR="00BF2BAB">
              <w:rPr>
                <w:rFonts w:ascii="Calibri" w:hAnsi="Calibri" w:cs="Calibri"/>
                <w:color w:val="000000"/>
                <w:szCs w:val="20"/>
              </w:rPr>
              <w:t xml:space="preserve"> </w:t>
            </w:r>
            <w:r w:rsidRPr="00F8728A">
              <w:rPr>
                <w:rFonts w:ascii="Calibri" w:hAnsi="Calibri" w:cs="Calibri"/>
                <w:color w:val="000000"/>
                <w:szCs w:val="20"/>
              </w:rPr>
              <w:t>495</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5</w:t>
            </w:r>
            <w:r w:rsidR="00BF2BAB">
              <w:rPr>
                <w:rFonts w:ascii="Calibri" w:hAnsi="Calibri" w:cs="Calibri"/>
                <w:color w:val="000000"/>
                <w:szCs w:val="20"/>
              </w:rPr>
              <w:t xml:space="preserve"> </w:t>
            </w:r>
            <w:r w:rsidRPr="00F8728A">
              <w:rPr>
                <w:rFonts w:ascii="Calibri" w:hAnsi="Calibri" w:cs="Calibri"/>
                <w:color w:val="000000"/>
                <w:szCs w:val="20"/>
              </w:rPr>
              <w:t>884</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633</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Шумен</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26</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4</w:t>
            </w:r>
            <w:r w:rsidR="00BF2BAB">
              <w:rPr>
                <w:rFonts w:ascii="Calibri" w:hAnsi="Calibri" w:cs="Calibri"/>
                <w:color w:val="000000"/>
                <w:szCs w:val="20"/>
              </w:rPr>
              <w:t xml:space="preserve"> </w:t>
            </w:r>
            <w:r w:rsidRPr="00F8728A">
              <w:rPr>
                <w:rFonts w:ascii="Calibri" w:hAnsi="Calibri" w:cs="Calibri"/>
                <w:color w:val="000000"/>
                <w:szCs w:val="20"/>
              </w:rPr>
              <w:t>677</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275</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Ямбол</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61</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r w:rsidR="00BF2BAB">
              <w:rPr>
                <w:rFonts w:ascii="Calibri" w:hAnsi="Calibri" w:cs="Calibri"/>
                <w:color w:val="000000"/>
                <w:szCs w:val="20"/>
              </w:rPr>
              <w:t xml:space="preserve"> </w:t>
            </w:r>
            <w:r w:rsidRPr="00F8728A">
              <w:rPr>
                <w:rFonts w:ascii="Calibri" w:hAnsi="Calibri" w:cs="Calibri"/>
                <w:color w:val="000000"/>
                <w:szCs w:val="20"/>
              </w:rPr>
              <w:t>488</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483</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13</w:t>
            </w:r>
          </w:p>
        </w:tc>
      </w:tr>
    </w:tbl>
    <w:p w:rsidR="00AA4661" w:rsidRPr="00F8728A" w:rsidRDefault="00AA4661" w:rsidP="00045F19">
      <w:pPr>
        <w:pStyle w:val="Source"/>
        <w:jc w:val="center"/>
      </w:pPr>
      <w:r w:rsidRPr="00F8728A">
        <w:t>Източник: НСИ, 2017 г.</w:t>
      </w:r>
    </w:p>
    <w:p w:rsidR="00AA4661" w:rsidRPr="00F8728A" w:rsidRDefault="00AA4661" w:rsidP="00676435">
      <w:pPr>
        <w:spacing w:after="160" w:line="259" w:lineRule="auto"/>
        <w:jc w:val="both"/>
        <w:rPr>
          <w:rFonts w:cs="Arial"/>
          <w:szCs w:val="20"/>
        </w:rPr>
      </w:pPr>
    </w:p>
    <w:p w:rsidR="00AA4661" w:rsidRPr="00F8728A" w:rsidRDefault="00AA4661" w:rsidP="00676435">
      <w:pPr>
        <w:spacing w:after="160" w:line="259" w:lineRule="auto"/>
        <w:jc w:val="both"/>
        <w:rPr>
          <w:rFonts w:cs="Arial"/>
          <w:szCs w:val="20"/>
        </w:rPr>
      </w:pPr>
      <w:r w:rsidRPr="00F8728A">
        <w:br w:type="page"/>
      </w:r>
    </w:p>
    <w:p w:rsidR="00AA4661" w:rsidRPr="008E7DAC" w:rsidRDefault="004E6834" w:rsidP="00B73D7E">
      <w:pPr>
        <w:pStyle w:val="FiguresTablesCaption"/>
      </w:pPr>
      <w:bookmarkStart w:id="885" w:name="_Toc506143783"/>
      <w:bookmarkStart w:id="886" w:name="_Toc529286508"/>
      <w:bookmarkStart w:id="887" w:name="_Toc529286583"/>
      <w:r w:rsidRPr="008E7DAC">
        <w:t xml:space="preserve">Фигура </w:t>
      </w:r>
      <w:r w:rsidRPr="008E7DAC">
        <w:fldChar w:fldCharType="begin"/>
      </w:r>
      <w:r w:rsidRPr="008E7DAC">
        <w:instrText xml:space="preserve"> SEQ Figure \* ARABIC </w:instrText>
      </w:r>
      <w:r w:rsidRPr="008E7DAC">
        <w:fldChar w:fldCharType="separate"/>
      </w:r>
      <w:r w:rsidRPr="00B73D7E">
        <w:t>33</w:t>
      </w:r>
      <w:r w:rsidRPr="008E7DAC">
        <w:fldChar w:fldCharType="end"/>
      </w:r>
      <w:r w:rsidRPr="008E7DAC">
        <w:t xml:space="preserve">. </w:t>
      </w:r>
      <w:r w:rsidR="00AA4661" w:rsidRPr="008E7DAC">
        <w:t>Характеристики на наводненията – общо за страната за периода 2010–2015 г.</w:t>
      </w:r>
      <w:bookmarkEnd w:id="885"/>
      <w:bookmarkEnd w:id="886"/>
      <w:bookmarkEnd w:id="887"/>
    </w:p>
    <w:p w:rsidR="00AA4661" w:rsidRPr="00F8728A" w:rsidRDefault="00084198" w:rsidP="00045F19">
      <w:pPr>
        <w:spacing w:after="0" w:line="259" w:lineRule="auto"/>
        <w:jc w:val="both"/>
        <w:rPr>
          <w:rFonts w:cs="Arial"/>
          <w:szCs w:val="20"/>
        </w:rPr>
      </w:pPr>
      <w:r w:rsidRPr="00B73D7E">
        <w:rPr>
          <w:rFonts w:cs="Arial"/>
          <w:noProof/>
          <w:szCs w:val="20"/>
          <w:lang w:val="en-US"/>
        </w:rPr>
        <w:drawing>
          <wp:inline distT="0" distB="0" distL="0" distR="0" wp14:anchorId="04653B81" wp14:editId="3AA883A1">
            <wp:extent cx="5694680" cy="3414395"/>
            <wp:effectExtent l="19050" t="19050" r="1270" b="0"/>
            <wp:docPr id="34"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694680" cy="3414395"/>
                    </a:xfrm>
                    <a:prstGeom prst="rect">
                      <a:avLst/>
                    </a:prstGeom>
                    <a:noFill/>
                    <a:ln w="6350" cmpd="sng">
                      <a:solidFill>
                        <a:srgbClr val="5B9BD5"/>
                      </a:solidFill>
                      <a:miter lim="800000"/>
                      <a:headEnd/>
                      <a:tailEnd/>
                    </a:ln>
                    <a:effectLst/>
                  </pic:spPr>
                </pic:pic>
              </a:graphicData>
            </a:graphic>
          </wp:inline>
        </w:drawing>
      </w:r>
    </w:p>
    <w:p w:rsidR="00AA4661" w:rsidRPr="00F8728A" w:rsidRDefault="00AA4661" w:rsidP="00045F19">
      <w:pPr>
        <w:pStyle w:val="Source"/>
        <w:jc w:val="center"/>
      </w:pPr>
      <w:r w:rsidRPr="00F8728A">
        <w:t>Източник: НСИ, 2017 г., НЦТР (обработка на данните и диаграма).</w:t>
      </w:r>
    </w:p>
    <w:p w:rsidR="00AA4661" w:rsidRPr="008E7DAC" w:rsidRDefault="004E6834" w:rsidP="00B73D7E">
      <w:pPr>
        <w:pStyle w:val="FiguresTablesCaption"/>
      </w:pPr>
      <w:bookmarkStart w:id="888" w:name="_Toc506143784"/>
      <w:bookmarkStart w:id="889" w:name="_Toc529286509"/>
      <w:bookmarkStart w:id="890" w:name="_Toc529286584"/>
      <w:r w:rsidRPr="008E7DAC">
        <w:t xml:space="preserve">Фигура </w:t>
      </w:r>
      <w:r w:rsidRPr="008E7DAC">
        <w:fldChar w:fldCharType="begin"/>
      </w:r>
      <w:r w:rsidRPr="008E7DAC">
        <w:instrText xml:space="preserve"> SEQ Figure \* ARABIC </w:instrText>
      </w:r>
      <w:r w:rsidRPr="008E7DAC">
        <w:fldChar w:fldCharType="separate"/>
      </w:r>
      <w:r w:rsidRPr="00B73D7E">
        <w:t>34</w:t>
      </w:r>
      <w:r w:rsidRPr="008E7DAC">
        <w:fldChar w:fldCharType="end"/>
      </w:r>
      <w:r w:rsidRPr="008E7DAC">
        <w:t xml:space="preserve">. </w:t>
      </w:r>
      <w:r w:rsidR="00AA4661" w:rsidRPr="008E7DAC">
        <w:t xml:space="preserve">Характеристики на наводненията – по области: </w:t>
      </w:r>
      <w:r w:rsidR="008E7DAC">
        <w:br/>
      </w:r>
      <w:r w:rsidR="00AA4661" w:rsidRPr="008E7DAC">
        <w:t>обобщение за периода 2010– 2015 г.</w:t>
      </w:r>
      <w:bookmarkEnd w:id="888"/>
      <w:bookmarkEnd w:id="889"/>
      <w:bookmarkEnd w:id="890"/>
    </w:p>
    <w:p w:rsidR="00AA4661" w:rsidRPr="00F8728A" w:rsidRDefault="00084198" w:rsidP="00045F19">
      <w:pPr>
        <w:spacing w:after="0" w:line="259" w:lineRule="auto"/>
        <w:jc w:val="both"/>
        <w:rPr>
          <w:rFonts w:cs="Arial"/>
          <w:szCs w:val="20"/>
        </w:rPr>
      </w:pPr>
      <w:r w:rsidRPr="00B73D7E">
        <w:rPr>
          <w:rFonts w:cs="Arial"/>
          <w:noProof/>
          <w:szCs w:val="20"/>
          <w:lang w:val="en-US"/>
        </w:rPr>
        <w:drawing>
          <wp:inline distT="0" distB="0" distL="0" distR="0" wp14:anchorId="66E19B18" wp14:editId="7807C946">
            <wp:extent cx="5648325" cy="3958590"/>
            <wp:effectExtent l="19050" t="19050" r="9525" b="3810"/>
            <wp:docPr id="35"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39">
                      <a:extLst>
                        <a:ext uri="{28A0092B-C50C-407E-A947-70E740481C1C}">
                          <a14:useLocalDpi xmlns:a14="http://schemas.microsoft.com/office/drawing/2010/main" val="0"/>
                        </a:ext>
                      </a:extLst>
                    </a:blip>
                    <a:srcRect l="485" t="1294" r="562" b="1497"/>
                    <a:stretch>
                      <a:fillRect/>
                    </a:stretch>
                  </pic:blipFill>
                  <pic:spPr bwMode="auto">
                    <a:xfrm>
                      <a:off x="0" y="0"/>
                      <a:ext cx="5648325" cy="3958590"/>
                    </a:xfrm>
                    <a:prstGeom prst="rect">
                      <a:avLst/>
                    </a:prstGeom>
                    <a:noFill/>
                    <a:ln w="6350" cmpd="sng" algn="ctr">
                      <a:solidFill>
                        <a:srgbClr val="5B9BD5"/>
                      </a:solidFill>
                      <a:miter lim="800000"/>
                      <a:headEnd/>
                      <a:tailEnd/>
                    </a:ln>
                    <a:effectLst/>
                  </pic:spPr>
                </pic:pic>
              </a:graphicData>
            </a:graphic>
          </wp:inline>
        </w:drawing>
      </w:r>
    </w:p>
    <w:p w:rsidR="00AA4661" w:rsidRPr="00F8728A" w:rsidRDefault="00AA4661" w:rsidP="00045F19">
      <w:pPr>
        <w:pStyle w:val="Source"/>
        <w:jc w:val="center"/>
      </w:pPr>
      <w:r w:rsidRPr="00F8728A">
        <w:t>Източник: НСИ, 2017 г., НЦТР (обработка на данните и карта).</w:t>
      </w:r>
    </w:p>
    <w:p w:rsidR="00AA4661" w:rsidRPr="00B73D7E" w:rsidRDefault="00AA4661" w:rsidP="00F56BE0">
      <w:pPr>
        <w:pStyle w:val="Heading2"/>
        <w:numPr>
          <w:ilvl w:val="0"/>
          <w:numId w:val="0"/>
        </w:numPr>
        <w:rPr>
          <w:lang w:val="bg-BG"/>
        </w:rPr>
      </w:pPr>
      <w:bookmarkStart w:id="891" w:name="_Toc486246249"/>
      <w:bookmarkStart w:id="892" w:name="_Toc486942232"/>
      <w:bookmarkStart w:id="893" w:name="_Toc501454909"/>
      <w:bookmarkStart w:id="894" w:name="_Toc522030618"/>
      <w:bookmarkStart w:id="895" w:name="_Toc529285603"/>
      <w:r w:rsidRPr="00B73D7E">
        <w:rPr>
          <w:lang w:val="bg-BG"/>
        </w:rPr>
        <w:t>Свлачища</w:t>
      </w:r>
      <w:bookmarkEnd w:id="891"/>
      <w:bookmarkEnd w:id="892"/>
      <w:bookmarkEnd w:id="893"/>
      <w:bookmarkEnd w:id="894"/>
      <w:bookmarkEnd w:id="895"/>
    </w:p>
    <w:p w:rsidR="00AA4661" w:rsidRPr="008E7DAC" w:rsidRDefault="004E6834" w:rsidP="00B73D7E">
      <w:pPr>
        <w:pStyle w:val="FiguresTablesCaption"/>
      </w:pPr>
      <w:bookmarkStart w:id="896" w:name="_Toc529286653"/>
      <w:r w:rsidRPr="008E7DAC">
        <w:t xml:space="preserve">Таблица </w:t>
      </w:r>
      <w:r w:rsidRPr="008E7DAC">
        <w:fldChar w:fldCharType="begin"/>
      </w:r>
      <w:r w:rsidRPr="008E7DAC">
        <w:instrText xml:space="preserve"> SEQ Table \* ARABIC </w:instrText>
      </w:r>
      <w:r w:rsidRPr="008E7DAC">
        <w:fldChar w:fldCharType="separate"/>
      </w:r>
      <w:r w:rsidRPr="00B73D7E">
        <w:t>26</w:t>
      </w:r>
      <w:r w:rsidRPr="008E7DAC">
        <w:fldChar w:fldCharType="end"/>
      </w:r>
      <w:r w:rsidRPr="008E7DAC">
        <w:t xml:space="preserve">. </w:t>
      </w:r>
      <w:r w:rsidR="00AA4661" w:rsidRPr="008E7DAC">
        <w:t xml:space="preserve">Характеристики на свлачищата – по области: </w:t>
      </w:r>
      <w:r w:rsidR="008E7DAC">
        <w:br/>
      </w:r>
      <w:r w:rsidR="00AA4661" w:rsidRPr="008E7DAC">
        <w:t>обобщение за периода 2010–2015 г.</w:t>
      </w:r>
      <w:bookmarkEnd w:id="896"/>
    </w:p>
    <w:tbl>
      <w:tblPr>
        <w:tblW w:w="8508"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0" w:type="dxa"/>
          <w:right w:w="70" w:type="dxa"/>
        </w:tblCellMar>
        <w:tblLook w:val="00A0" w:firstRow="1" w:lastRow="0" w:firstColumn="1" w:lastColumn="0" w:noHBand="0" w:noVBand="0"/>
      </w:tblPr>
      <w:tblGrid>
        <w:gridCol w:w="1960"/>
        <w:gridCol w:w="1120"/>
        <w:gridCol w:w="1440"/>
        <w:gridCol w:w="1651"/>
        <w:gridCol w:w="2337"/>
      </w:tblGrid>
      <w:tr w:rsidR="00AA4661" w:rsidRPr="00F8728A" w:rsidTr="00045F19">
        <w:trPr>
          <w:jc w:val="center"/>
        </w:trPr>
        <w:tc>
          <w:tcPr>
            <w:tcW w:w="1960" w:type="dxa"/>
            <w:shd w:val="clear" w:color="auto" w:fill="365F91"/>
            <w:vAlign w:val="center"/>
          </w:tcPr>
          <w:p w:rsidR="00AA4661" w:rsidRPr="00F8728A" w:rsidRDefault="00AA4661" w:rsidP="00045F19">
            <w:pPr>
              <w:spacing w:after="0"/>
              <w:jc w:val="center"/>
              <w:rPr>
                <w:rFonts w:ascii="Calibri" w:hAnsi="Calibri" w:cs="Calibri"/>
                <w:b/>
                <w:color w:val="FFFFFF"/>
                <w:szCs w:val="20"/>
              </w:rPr>
            </w:pPr>
            <w:r w:rsidRPr="00F8728A">
              <w:rPr>
                <w:rFonts w:ascii="Calibri" w:hAnsi="Calibri" w:cs="Calibri"/>
                <w:b/>
                <w:color w:val="FFFFFF"/>
                <w:szCs w:val="20"/>
              </w:rPr>
              <w:t>Области</w:t>
            </w:r>
          </w:p>
        </w:tc>
        <w:tc>
          <w:tcPr>
            <w:tcW w:w="1120" w:type="dxa"/>
            <w:shd w:val="clear" w:color="auto" w:fill="365F91"/>
            <w:vAlign w:val="center"/>
          </w:tcPr>
          <w:p w:rsidR="00AA4661" w:rsidRPr="00F8728A" w:rsidRDefault="00AA4661" w:rsidP="00045F19">
            <w:pPr>
              <w:spacing w:after="0"/>
              <w:jc w:val="center"/>
              <w:rPr>
                <w:rFonts w:ascii="Calibri" w:hAnsi="Calibri" w:cs="Calibri"/>
                <w:b/>
                <w:color w:val="FFFFFF"/>
                <w:szCs w:val="20"/>
              </w:rPr>
            </w:pPr>
            <w:r w:rsidRPr="00F8728A">
              <w:rPr>
                <w:rFonts w:ascii="Calibri" w:hAnsi="Calibri" w:cs="Calibri"/>
                <w:b/>
                <w:color w:val="FFFFFF"/>
                <w:szCs w:val="20"/>
              </w:rPr>
              <w:t>Брой свлачища</w:t>
            </w:r>
          </w:p>
        </w:tc>
        <w:tc>
          <w:tcPr>
            <w:tcW w:w="1440" w:type="dxa"/>
            <w:shd w:val="clear" w:color="auto" w:fill="365F91"/>
            <w:vAlign w:val="center"/>
          </w:tcPr>
          <w:p w:rsidR="00AA4661" w:rsidRPr="00F8728A" w:rsidRDefault="00AA4661" w:rsidP="00045F19">
            <w:pPr>
              <w:spacing w:after="0"/>
              <w:jc w:val="center"/>
              <w:rPr>
                <w:rFonts w:ascii="Calibri" w:hAnsi="Calibri" w:cs="Calibri"/>
                <w:b/>
                <w:color w:val="FFFFFF"/>
                <w:szCs w:val="20"/>
              </w:rPr>
            </w:pPr>
            <w:r w:rsidRPr="00F8728A">
              <w:rPr>
                <w:rFonts w:ascii="Calibri" w:hAnsi="Calibri" w:cs="Calibri"/>
                <w:b/>
                <w:color w:val="FFFFFF"/>
                <w:szCs w:val="20"/>
              </w:rPr>
              <w:t>Щети, хил. лв</w:t>
            </w:r>
          </w:p>
        </w:tc>
        <w:tc>
          <w:tcPr>
            <w:tcW w:w="1651" w:type="dxa"/>
            <w:shd w:val="clear" w:color="auto" w:fill="365F91"/>
            <w:vAlign w:val="center"/>
          </w:tcPr>
          <w:p w:rsidR="00AA4661" w:rsidRPr="00F8728A" w:rsidRDefault="00AA4661" w:rsidP="00045F19">
            <w:pPr>
              <w:spacing w:after="0"/>
              <w:jc w:val="center"/>
              <w:rPr>
                <w:rFonts w:ascii="Calibri" w:hAnsi="Calibri" w:cs="Calibri"/>
                <w:b/>
                <w:color w:val="FFFFFF"/>
                <w:szCs w:val="20"/>
              </w:rPr>
            </w:pPr>
            <w:r w:rsidRPr="00F8728A">
              <w:rPr>
                <w:rFonts w:ascii="Calibri" w:hAnsi="Calibri" w:cs="Calibri"/>
                <w:b/>
                <w:color w:val="FFFFFF"/>
                <w:szCs w:val="20"/>
              </w:rPr>
              <w:t>Разходи за възстановяване,</w:t>
            </w:r>
          </w:p>
          <w:p w:rsidR="00AA4661" w:rsidRPr="00F8728A" w:rsidRDefault="00AA4661" w:rsidP="00045F19">
            <w:pPr>
              <w:spacing w:after="0"/>
              <w:jc w:val="center"/>
              <w:rPr>
                <w:rFonts w:ascii="Calibri" w:hAnsi="Calibri" w:cs="Calibri"/>
                <w:b/>
                <w:color w:val="FFFFFF"/>
                <w:szCs w:val="20"/>
              </w:rPr>
            </w:pPr>
            <w:r w:rsidRPr="00F8728A">
              <w:rPr>
                <w:rFonts w:ascii="Calibri" w:hAnsi="Calibri" w:cs="Calibri"/>
                <w:b/>
                <w:color w:val="FFFFFF"/>
                <w:szCs w:val="20"/>
              </w:rPr>
              <w:t>хил. лв</w:t>
            </w:r>
          </w:p>
        </w:tc>
        <w:tc>
          <w:tcPr>
            <w:tcW w:w="2337" w:type="dxa"/>
            <w:shd w:val="clear" w:color="auto" w:fill="365F91"/>
            <w:vAlign w:val="center"/>
          </w:tcPr>
          <w:p w:rsidR="00AA4661" w:rsidRPr="00F8728A" w:rsidRDefault="00AA4661" w:rsidP="00045F19">
            <w:pPr>
              <w:spacing w:after="0"/>
              <w:jc w:val="center"/>
              <w:rPr>
                <w:rFonts w:ascii="Calibri" w:hAnsi="Calibri" w:cs="Calibri"/>
                <w:b/>
                <w:color w:val="FFFFFF"/>
                <w:szCs w:val="20"/>
              </w:rPr>
            </w:pPr>
            <w:r w:rsidRPr="00F8728A">
              <w:rPr>
                <w:rFonts w:ascii="Calibri" w:hAnsi="Calibri" w:cs="Calibri"/>
                <w:b/>
                <w:color w:val="FFFFFF"/>
                <w:szCs w:val="20"/>
              </w:rPr>
              <w:t>Разходи за спасяване и извънредни работи, хил. лв</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b/>
                <w:color w:val="000000"/>
                <w:szCs w:val="20"/>
              </w:rPr>
            </w:pPr>
            <w:r w:rsidRPr="00F8728A">
              <w:rPr>
                <w:rFonts w:ascii="Calibri" w:hAnsi="Calibri" w:cs="Calibri"/>
                <w:b/>
                <w:color w:val="000000"/>
                <w:szCs w:val="20"/>
              </w:rPr>
              <w:t>Свлачища – общо</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458</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558</w:t>
            </w:r>
            <w:r w:rsidR="004C4282">
              <w:rPr>
                <w:rFonts w:ascii="Calibri" w:hAnsi="Calibri" w:cs="Calibri"/>
              </w:rPr>
              <w:t xml:space="preserve"> </w:t>
            </w:r>
            <w:r w:rsidRPr="00F8728A">
              <w:rPr>
                <w:rFonts w:ascii="Calibri" w:hAnsi="Calibri" w:cs="Calibri"/>
              </w:rPr>
              <w:t>117</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526</w:t>
            </w:r>
            <w:r w:rsidR="004C4282">
              <w:rPr>
                <w:rFonts w:ascii="Calibri" w:hAnsi="Calibri" w:cs="Calibri"/>
              </w:rPr>
              <w:t xml:space="preserve"> </w:t>
            </w:r>
            <w:r w:rsidRPr="00F8728A">
              <w:rPr>
                <w:rFonts w:ascii="Calibri" w:hAnsi="Calibri" w:cs="Calibri"/>
              </w:rPr>
              <w:t>701</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8</w:t>
            </w:r>
            <w:r w:rsidR="004C4282">
              <w:rPr>
                <w:rFonts w:ascii="Calibri" w:hAnsi="Calibri" w:cs="Calibri"/>
              </w:rPr>
              <w:t xml:space="preserve"> </w:t>
            </w:r>
            <w:r w:rsidRPr="00F8728A">
              <w:rPr>
                <w:rFonts w:ascii="Calibri" w:hAnsi="Calibri" w:cs="Calibri"/>
              </w:rPr>
              <w:t>033</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Благоевград</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24</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4C4282">
              <w:rPr>
                <w:rFonts w:ascii="Calibri" w:hAnsi="Calibri" w:cs="Calibri"/>
              </w:rPr>
              <w:t xml:space="preserve"> </w:t>
            </w:r>
            <w:r w:rsidRPr="00F8728A">
              <w:rPr>
                <w:rFonts w:ascii="Calibri" w:hAnsi="Calibri" w:cs="Calibri"/>
              </w:rPr>
              <w:t>334</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189</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Бургас</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32</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296</w:t>
            </w:r>
            <w:r w:rsidR="004C4282">
              <w:rPr>
                <w:rFonts w:ascii="Calibri" w:hAnsi="Calibri" w:cs="Calibri"/>
              </w:rPr>
              <w:t xml:space="preserve"> </w:t>
            </w:r>
            <w:r w:rsidRPr="00F8728A">
              <w:rPr>
                <w:rFonts w:ascii="Calibri" w:hAnsi="Calibri" w:cs="Calibri"/>
              </w:rPr>
              <w:t>418</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293</w:t>
            </w:r>
            <w:r w:rsidR="004C4282">
              <w:rPr>
                <w:rFonts w:ascii="Calibri" w:hAnsi="Calibri" w:cs="Calibri"/>
              </w:rPr>
              <w:t xml:space="preserve"> </w:t>
            </w:r>
            <w:r w:rsidRPr="00F8728A">
              <w:rPr>
                <w:rFonts w:ascii="Calibri" w:hAnsi="Calibri" w:cs="Calibri"/>
              </w:rPr>
              <w:t>605</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4C4282">
              <w:rPr>
                <w:rFonts w:ascii="Calibri" w:hAnsi="Calibri" w:cs="Calibri"/>
              </w:rPr>
              <w:t xml:space="preserve"> </w:t>
            </w:r>
            <w:r w:rsidRPr="00F8728A">
              <w:rPr>
                <w:rFonts w:ascii="Calibri" w:hAnsi="Calibri" w:cs="Calibri"/>
              </w:rPr>
              <w:t>207</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Варна</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12</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428</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90</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33</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Велико Търново</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21</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4C4282">
              <w:rPr>
                <w:rFonts w:ascii="Calibri" w:hAnsi="Calibri" w:cs="Calibri"/>
              </w:rPr>
              <w:t xml:space="preserve"> </w:t>
            </w:r>
            <w:r w:rsidRPr="00F8728A">
              <w:rPr>
                <w:rFonts w:ascii="Calibri" w:hAnsi="Calibri" w:cs="Calibri"/>
              </w:rPr>
              <w:t>306</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2</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455</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Видин</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9</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885</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471</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375</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Враца</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30</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56</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136</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130</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Габрово</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15</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676</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130</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130</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Добрич</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5</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20</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2</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Кърджали</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93</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7</w:t>
            </w:r>
            <w:r w:rsidR="004C4282">
              <w:rPr>
                <w:rFonts w:ascii="Calibri" w:hAnsi="Calibri" w:cs="Calibri"/>
              </w:rPr>
              <w:t xml:space="preserve"> </w:t>
            </w:r>
            <w:r w:rsidRPr="00F8728A">
              <w:rPr>
                <w:rFonts w:ascii="Calibri" w:hAnsi="Calibri" w:cs="Calibri"/>
              </w:rPr>
              <w:t>008</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4C4282">
              <w:rPr>
                <w:rFonts w:ascii="Calibri" w:hAnsi="Calibri" w:cs="Calibri"/>
              </w:rPr>
              <w:t xml:space="preserve"> </w:t>
            </w:r>
            <w:r w:rsidRPr="00F8728A">
              <w:rPr>
                <w:rFonts w:ascii="Calibri" w:hAnsi="Calibri" w:cs="Calibri"/>
              </w:rPr>
              <w:t>700</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4C4282">
              <w:rPr>
                <w:rFonts w:ascii="Calibri" w:hAnsi="Calibri" w:cs="Calibri"/>
              </w:rPr>
              <w:t xml:space="preserve"> </w:t>
            </w:r>
            <w:r w:rsidRPr="00F8728A">
              <w:rPr>
                <w:rFonts w:ascii="Calibri" w:hAnsi="Calibri" w:cs="Calibri"/>
              </w:rPr>
              <w:t>935</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Кюстендил</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40</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622</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4C4282">
              <w:rPr>
                <w:rFonts w:ascii="Calibri" w:hAnsi="Calibri" w:cs="Calibri"/>
              </w:rPr>
              <w:t xml:space="preserve"> </w:t>
            </w:r>
            <w:r w:rsidRPr="00F8728A">
              <w:rPr>
                <w:rFonts w:ascii="Calibri" w:hAnsi="Calibri" w:cs="Calibri"/>
              </w:rPr>
              <w:t>529</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105</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Ловеч</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3</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4C4282">
              <w:rPr>
                <w:rFonts w:ascii="Calibri" w:hAnsi="Calibri" w:cs="Calibri"/>
              </w:rPr>
              <w:t xml:space="preserve"> </w:t>
            </w:r>
            <w:r w:rsidRPr="00F8728A">
              <w:rPr>
                <w:rFonts w:ascii="Calibri" w:hAnsi="Calibri" w:cs="Calibri"/>
              </w:rPr>
              <w:t>297</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213</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Монтана</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3</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325</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Пазарджик</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18</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6</w:t>
            </w:r>
            <w:r w:rsidR="004C4282">
              <w:rPr>
                <w:rFonts w:ascii="Calibri" w:hAnsi="Calibri" w:cs="Calibri"/>
              </w:rPr>
              <w:t xml:space="preserve"> </w:t>
            </w:r>
            <w:r w:rsidRPr="00F8728A">
              <w:rPr>
                <w:rFonts w:ascii="Calibri" w:hAnsi="Calibri" w:cs="Calibri"/>
              </w:rPr>
              <w:t>094</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745</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260</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Перник</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14</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31</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26</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266</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Плевен</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5</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271</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Пловдив</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12</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4C4282">
              <w:rPr>
                <w:rFonts w:ascii="Calibri" w:hAnsi="Calibri" w:cs="Calibri"/>
              </w:rPr>
              <w:t xml:space="preserve"> </w:t>
            </w:r>
            <w:r w:rsidRPr="00F8728A">
              <w:rPr>
                <w:rFonts w:ascii="Calibri" w:hAnsi="Calibri" w:cs="Calibri"/>
              </w:rPr>
              <w:t>051</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977</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Разград</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Русе</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5</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460</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15</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15</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Силистра</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Сливен</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30</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4C4282">
              <w:rPr>
                <w:rFonts w:ascii="Calibri" w:hAnsi="Calibri" w:cs="Calibri"/>
              </w:rPr>
              <w:t xml:space="preserve"> </w:t>
            </w:r>
            <w:r w:rsidRPr="00F8728A">
              <w:rPr>
                <w:rFonts w:ascii="Calibri" w:hAnsi="Calibri" w:cs="Calibri"/>
              </w:rPr>
              <w:t>352</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416</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337</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Смолян</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56</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13</w:t>
            </w:r>
            <w:r w:rsidR="004C4282">
              <w:rPr>
                <w:rFonts w:ascii="Calibri" w:hAnsi="Calibri" w:cs="Calibri"/>
              </w:rPr>
              <w:t xml:space="preserve"> </w:t>
            </w:r>
            <w:r w:rsidRPr="00F8728A">
              <w:rPr>
                <w:rFonts w:ascii="Calibri" w:hAnsi="Calibri" w:cs="Calibri"/>
              </w:rPr>
              <w:t>604</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5</w:t>
            </w:r>
            <w:r w:rsidR="004C4282">
              <w:rPr>
                <w:rFonts w:ascii="Calibri" w:hAnsi="Calibri" w:cs="Calibri"/>
              </w:rPr>
              <w:t xml:space="preserve"> </w:t>
            </w:r>
            <w:r w:rsidRPr="00F8728A">
              <w:rPr>
                <w:rFonts w:ascii="Calibri" w:hAnsi="Calibri" w:cs="Calibri"/>
              </w:rPr>
              <w:t>181</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4C4282">
              <w:rPr>
                <w:rFonts w:ascii="Calibri" w:hAnsi="Calibri" w:cs="Calibri"/>
              </w:rPr>
              <w:t xml:space="preserve"> </w:t>
            </w:r>
            <w:r w:rsidRPr="00F8728A">
              <w:rPr>
                <w:rFonts w:ascii="Calibri" w:hAnsi="Calibri" w:cs="Calibri"/>
              </w:rPr>
              <w:t>388</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София (Столична)</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4</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481</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306</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175</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 xml:space="preserve">София </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17</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220</w:t>
            </w:r>
            <w:r w:rsidR="004C4282">
              <w:rPr>
                <w:rFonts w:ascii="Calibri" w:hAnsi="Calibri" w:cs="Calibri"/>
              </w:rPr>
              <w:t xml:space="preserve"> </w:t>
            </w:r>
            <w:r w:rsidRPr="00F8728A">
              <w:rPr>
                <w:rFonts w:ascii="Calibri" w:hAnsi="Calibri" w:cs="Calibri"/>
              </w:rPr>
              <w:t>776</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219</w:t>
            </w:r>
            <w:r w:rsidR="004C4282">
              <w:rPr>
                <w:rFonts w:ascii="Calibri" w:hAnsi="Calibri" w:cs="Calibri"/>
              </w:rPr>
              <w:t xml:space="preserve"> </w:t>
            </w:r>
            <w:r w:rsidRPr="00F8728A">
              <w:rPr>
                <w:rFonts w:ascii="Calibri" w:hAnsi="Calibri" w:cs="Calibri"/>
              </w:rPr>
              <w:t>707</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Стара Загора</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Търговище</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4</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247</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240</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243</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Хасково</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2</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245</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Шумен</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4</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130</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Ямбол</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r>
    </w:tbl>
    <w:p w:rsidR="00AA4661" w:rsidRPr="00F8728A" w:rsidRDefault="00AA4661" w:rsidP="00045F19">
      <w:pPr>
        <w:pStyle w:val="Source"/>
        <w:jc w:val="center"/>
      </w:pPr>
      <w:r w:rsidRPr="00F8728A">
        <w:t>Източник: НСИ, 2017 г.</w:t>
      </w:r>
    </w:p>
    <w:p w:rsidR="00AA4661" w:rsidRPr="00F8728A" w:rsidRDefault="00AA4661" w:rsidP="00676435">
      <w:pPr>
        <w:jc w:val="both"/>
        <w:rPr>
          <w:rFonts w:cs="Arial"/>
          <w:szCs w:val="20"/>
        </w:rPr>
      </w:pPr>
    </w:p>
    <w:p w:rsidR="00AA4661" w:rsidRPr="00F8728A" w:rsidRDefault="00AA4661" w:rsidP="00676435">
      <w:pPr>
        <w:jc w:val="both"/>
        <w:rPr>
          <w:rFonts w:cs="Arial"/>
          <w:szCs w:val="20"/>
        </w:rPr>
      </w:pPr>
      <w:r w:rsidRPr="00F8728A">
        <w:br w:type="page"/>
      </w:r>
    </w:p>
    <w:p w:rsidR="00AA4661" w:rsidRPr="008E7DAC" w:rsidRDefault="004E6834" w:rsidP="00B73D7E">
      <w:pPr>
        <w:pStyle w:val="FiguresTablesCaption"/>
      </w:pPr>
      <w:bookmarkStart w:id="897" w:name="_Toc506143785"/>
      <w:bookmarkStart w:id="898" w:name="_Toc529286510"/>
      <w:bookmarkStart w:id="899" w:name="_Toc529286585"/>
      <w:r w:rsidRPr="008E7DAC">
        <w:t xml:space="preserve">Фигура </w:t>
      </w:r>
      <w:r w:rsidRPr="008E7DAC">
        <w:fldChar w:fldCharType="begin"/>
      </w:r>
      <w:r w:rsidRPr="008E7DAC">
        <w:instrText xml:space="preserve"> SEQ Figure \* ARABIC </w:instrText>
      </w:r>
      <w:r w:rsidRPr="008E7DAC">
        <w:fldChar w:fldCharType="separate"/>
      </w:r>
      <w:r w:rsidRPr="00B73D7E">
        <w:t>35</w:t>
      </w:r>
      <w:r w:rsidRPr="008E7DAC">
        <w:fldChar w:fldCharType="end"/>
      </w:r>
      <w:r w:rsidRPr="008E7DAC">
        <w:t xml:space="preserve">. </w:t>
      </w:r>
      <w:r w:rsidR="00AA4661" w:rsidRPr="008E7DAC">
        <w:t>Характеристики на свлачищата – общо за страната за периода 2010–2015 г.</w:t>
      </w:r>
      <w:bookmarkEnd w:id="897"/>
      <w:bookmarkEnd w:id="898"/>
      <w:bookmarkEnd w:id="899"/>
    </w:p>
    <w:p w:rsidR="00AA4661" w:rsidRPr="00F8728A" w:rsidRDefault="00084198" w:rsidP="00045F19">
      <w:pPr>
        <w:spacing w:after="0"/>
        <w:jc w:val="both"/>
        <w:rPr>
          <w:rFonts w:cs="Arial"/>
          <w:szCs w:val="20"/>
        </w:rPr>
      </w:pPr>
      <w:r w:rsidRPr="00B73D7E">
        <w:rPr>
          <w:rFonts w:cs="Arial"/>
          <w:noProof/>
          <w:szCs w:val="20"/>
          <w:lang w:val="en-US"/>
        </w:rPr>
        <w:drawing>
          <wp:inline distT="0" distB="0" distL="0" distR="0" wp14:anchorId="04DBE3BC" wp14:editId="02BC4937">
            <wp:extent cx="5722620" cy="3222625"/>
            <wp:effectExtent l="19050" t="19050" r="11430" b="15875"/>
            <wp:docPr id="36"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rotWithShape="1">
                    <a:blip r:embed="rId140">
                      <a:extLst>
                        <a:ext uri="{28A0092B-C50C-407E-A947-70E740481C1C}">
                          <a14:useLocalDpi xmlns:a14="http://schemas.microsoft.com/office/drawing/2010/main" val="0"/>
                        </a:ext>
                      </a:extLst>
                    </a:blip>
                    <a:srcRect l="676" t="1081" r="228" b="1210"/>
                    <a:stretch/>
                  </pic:blipFill>
                  <pic:spPr bwMode="auto">
                    <a:xfrm>
                      <a:off x="0" y="0"/>
                      <a:ext cx="5723776" cy="3223276"/>
                    </a:xfrm>
                    <a:prstGeom prst="rect">
                      <a:avLst/>
                    </a:prstGeom>
                    <a:noFill/>
                    <a:ln w="6350" cap="flat" cmpd="sng" algn="ctr">
                      <a:solidFill>
                        <a:srgbClr val="5B9BD5"/>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AA4661" w:rsidRPr="00F8728A" w:rsidRDefault="00AA4661" w:rsidP="00045F19">
      <w:pPr>
        <w:pStyle w:val="Source"/>
        <w:jc w:val="center"/>
      </w:pPr>
      <w:r w:rsidRPr="00F8728A">
        <w:t>Източник: НСИ, 2017 г., НЦТР (обработка на данните и диаграма).</w:t>
      </w:r>
    </w:p>
    <w:p w:rsidR="00AA4661" w:rsidRPr="008E7DAC" w:rsidRDefault="004E6834" w:rsidP="00B73D7E">
      <w:pPr>
        <w:pStyle w:val="FiguresTablesCaption"/>
      </w:pPr>
      <w:bookmarkStart w:id="900" w:name="_Toc506143786"/>
      <w:bookmarkStart w:id="901" w:name="_Toc529286511"/>
      <w:bookmarkStart w:id="902" w:name="_Toc529286586"/>
      <w:r w:rsidRPr="008E7DAC">
        <w:t xml:space="preserve">Фигура </w:t>
      </w:r>
      <w:r w:rsidRPr="008E7DAC">
        <w:fldChar w:fldCharType="begin"/>
      </w:r>
      <w:r w:rsidRPr="008E7DAC">
        <w:instrText xml:space="preserve"> SEQ Figure \* ARABIC </w:instrText>
      </w:r>
      <w:r w:rsidRPr="008E7DAC">
        <w:fldChar w:fldCharType="separate"/>
      </w:r>
      <w:r w:rsidRPr="00B73D7E">
        <w:t>36</w:t>
      </w:r>
      <w:r w:rsidRPr="008E7DAC">
        <w:fldChar w:fldCharType="end"/>
      </w:r>
      <w:r w:rsidRPr="008E7DAC">
        <w:t xml:space="preserve">. </w:t>
      </w:r>
      <w:r w:rsidR="00AA4661" w:rsidRPr="008E7DAC">
        <w:t xml:space="preserve">Характеристики на свлачищата – по области: </w:t>
      </w:r>
      <w:r w:rsidR="008E7DAC">
        <w:br/>
      </w:r>
      <w:r w:rsidR="00AA4661" w:rsidRPr="008E7DAC">
        <w:t>обобщение за периода 2010–2015 г.</w:t>
      </w:r>
      <w:bookmarkEnd w:id="900"/>
      <w:bookmarkEnd w:id="901"/>
      <w:bookmarkEnd w:id="902"/>
    </w:p>
    <w:p w:rsidR="00AA4661" w:rsidRPr="00F8728A" w:rsidRDefault="00084198" w:rsidP="00045F19">
      <w:pPr>
        <w:spacing w:after="0"/>
        <w:jc w:val="both"/>
      </w:pPr>
      <w:r w:rsidRPr="00B73D7E">
        <w:rPr>
          <w:noProof/>
          <w:lang w:val="en-US"/>
        </w:rPr>
        <w:drawing>
          <wp:inline distT="0" distB="0" distL="0" distR="0" wp14:anchorId="7660EF76" wp14:editId="7FCF6704">
            <wp:extent cx="5625465" cy="3958590"/>
            <wp:effectExtent l="19050" t="19050" r="0" b="3810"/>
            <wp:docPr id="37"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141">
                      <a:extLst>
                        <a:ext uri="{28A0092B-C50C-407E-A947-70E740481C1C}">
                          <a14:useLocalDpi xmlns:a14="http://schemas.microsoft.com/office/drawing/2010/main" val="0"/>
                        </a:ext>
                      </a:extLst>
                    </a:blip>
                    <a:srcRect l="871" t="1372" r="540" b="1341"/>
                    <a:stretch>
                      <a:fillRect/>
                    </a:stretch>
                  </pic:blipFill>
                  <pic:spPr bwMode="auto">
                    <a:xfrm>
                      <a:off x="0" y="0"/>
                      <a:ext cx="5625465" cy="3958590"/>
                    </a:xfrm>
                    <a:prstGeom prst="rect">
                      <a:avLst/>
                    </a:prstGeom>
                    <a:noFill/>
                    <a:ln w="6350" cmpd="sng">
                      <a:solidFill>
                        <a:srgbClr val="5B9BD5"/>
                      </a:solidFill>
                      <a:miter lim="800000"/>
                      <a:headEnd/>
                      <a:tailEnd/>
                    </a:ln>
                    <a:effectLst/>
                  </pic:spPr>
                </pic:pic>
              </a:graphicData>
            </a:graphic>
          </wp:inline>
        </w:drawing>
      </w:r>
    </w:p>
    <w:p w:rsidR="00AA4661" w:rsidRPr="00F8728A" w:rsidRDefault="00AA4661" w:rsidP="00045F19">
      <w:pPr>
        <w:pStyle w:val="Source"/>
        <w:jc w:val="center"/>
      </w:pPr>
      <w:r w:rsidRPr="00F8728A">
        <w:t>Източник: НСИ, 2017 г., НЦТР (обработка на данните и карта).</w:t>
      </w:r>
    </w:p>
    <w:p w:rsidR="000614A3" w:rsidRPr="00B73D7E" w:rsidRDefault="000614A3">
      <w:pPr>
        <w:spacing w:after="0"/>
        <w:rPr>
          <w:rFonts w:ascii="Calibri" w:eastAsia="MS Mincho" w:hAnsi="Calibri"/>
          <w:b/>
          <w:i/>
          <w:iCs/>
          <w:color w:val="44546A"/>
          <w:sz w:val="22"/>
          <w:szCs w:val="18"/>
          <w:lang w:eastAsia="x-none"/>
        </w:rPr>
      </w:pPr>
      <w:r w:rsidRPr="00F8728A">
        <w:rPr>
          <w:rFonts w:ascii="Calibri" w:hAnsi="Calibri"/>
          <w:b/>
          <w:i/>
          <w:iCs/>
          <w:color w:val="44546A"/>
          <w:sz w:val="22"/>
          <w:szCs w:val="18"/>
        </w:rPr>
        <w:br w:type="page"/>
      </w:r>
    </w:p>
    <w:p w:rsidR="00AA4661" w:rsidRPr="008E7DAC" w:rsidRDefault="004E6834" w:rsidP="00B73D7E">
      <w:pPr>
        <w:pStyle w:val="FiguresTablesCaption"/>
      </w:pPr>
      <w:bookmarkStart w:id="903" w:name="_Toc529286654"/>
      <w:r w:rsidRPr="008E7DAC">
        <w:t xml:space="preserve">Таблица </w:t>
      </w:r>
      <w:r w:rsidRPr="008E7DAC">
        <w:fldChar w:fldCharType="begin"/>
      </w:r>
      <w:r w:rsidRPr="008E7DAC">
        <w:instrText xml:space="preserve"> SEQ Table \* ARABIC </w:instrText>
      </w:r>
      <w:r w:rsidRPr="008E7DAC">
        <w:fldChar w:fldCharType="separate"/>
      </w:r>
      <w:r w:rsidRPr="00B73D7E">
        <w:t>27</w:t>
      </w:r>
      <w:r w:rsidRPr="008E7DAC">
        <w:fldChar w:fldCharType="end"/>
      </w:r>
      <w:r w:rsidRPr="008E7DAC">
        <w:t xml:space="preserve">. </w:t>
      </w:r>
      <w:r w:rsidR="00AA4661" w:rsidRPr="008E7DAC">
        <w:t>Характеристики на свлачищата (към 31.12.2017 г.)</w:t>
      </w:r>
      <w:bookmarkEnd w:id="903"/>
    </w:p>
    <w:tbl>
      <w:tblPr>
        <w:tblW w:w="9072" w:type="dxa"/>
        <w:tblInd w:w="108"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6096"/>
        <w:gridCol w:w="1417"/>
        <w:gridCol w:w="1559"/>
      </w:tblGrid>
      <w:tr w:rsidR="00AA4661" w:rsidRPr="00F8728A" w:rsidTr="00B155A6">
        <w:trPr>
          <w:trHeight w:val="315"/>
        </w:trPr>
        <w:tc>
          <w:tcPr>
            <w:tcW w:w="6096" w:type="dxa"/>
            <w:shd w:val="clear" w:color="auto" w:fill="365F91"/>
            <w:noWrap/>
          </w:tcPr>
          <w:p w:rsidR="00AA4661" w:rsidRPr="00F8728A" w:rsidRDefault="00AA4661" w:rsidP="00B155A6">
            <w:pPr>
              <w:spacing w:before="40" w:after="40"/>
              <w:rPr>
                <w:rFonts w:ascii="Calibri" w:hAnsi="Calibri" w:cs="Calibri"/>
                <w:b/>
                <w:bCs/>
                <w:color w:val="FFFFFF"/>
                <w:sz w:val="22"/>
                <w:lang w:eastAsia="bg-BG"/>
              </w:rPr>
            </w:pPr>
            <w:r w:rsidRPr="00F8728A">
              <w:rPr>
                <w:rFonts w:ascii="Calibri" w:hAnsi="Calibri" w:cs="Calibri"/>
                <w:b/>
                <w:bCs/>
                <w:color w:val="FFFFFF"/>
                <w:sz w:val="22"/>
                <w:lang w:eastAsia="bg-BG"/>
              </w:rPr>
              <w:t> </w:t>
            </w:r>
          </w:p>
        </w:tc>
        <w:tc>
          <w:tcPr>
            <w:tcW w:w="1417" w:type="dxa"/>
            <w:shd w:val="clear" w:color="auto" w:fill="365F91"/>
            <w:noWrap/>
          </w:tcPr>
          <w:p w:rsidR="00AA4661" w:rsidRPr="00F8728A" w:rsidRDefault="00AA4661" w:rsidP="00B155A6">
            <w:pPr>
              <w:spacing w:before="40" w:after="40"/>
              <w:jc w:val="center"/>
              <w:rPr>
                <w:rFonts w:ascii="Calibri" w:hAnsi="Calibri" w:cs="Calibri"/>
                <w:b/>
                <w:bCs/>
                <w:color w:val="FFFFFF"/>
                <w:sz w:val="22"/>
                <w:lang w:eastAsia="bg-BG"/>
              </w:rPr>
            </w:pPr>
            <w:r w:rsidRPr="00F8728A">
              <w:rPr>
                <w:rFonts w:ascii="Calibri" w:hAnsi="Calibri" w:cs="Calibri"/>
                <w:b/>
                <w:bCs/>
                <w:color w:val="FFFFFF"/>
                <w:sz w:val="22"/>
                <w:lang w:eastAsia="bg-BG"/>
              </w:rPr>
              <w:t>Брой</w:t>
            </w:r>
          </w:p>
        </w:tc>
        <w:tc>
          <w:tcPr>
            <w:tcW w:w="1559" w:type="dxa"/>
            <w:shd w:val="clear" w:color="auto" w:fill="365F91"/>
            <w:noWrap/>
          </w:tcPr>
          <w:p w:rsidR="00AA4661" w:rsidRPr="00F8728A" w:rsidRDefault="00AA4661" w:rsidP="00B155A6">
            <w:pPr>
              <w:spacing w:before="40" w:after="40"/>
              <w:jc w:val="center"/>
              <w:rPr>
                <w:rFonts w:ascii="Calibri" w:hAnsi="Calibri" w:cs="Calibri"/>
                <w:b/>
                <w:bCs/>
                <w:color w:val="FFFFFF"/>
                <w:sz w:val="22"/>
                <w:lang w:eastAsia="bg-BG"/>
              </w:rPr>
            </w:pPr>
            <w:r w:rsidRPr="00F8728A">
              <w:rPr>
                <w:rFonts w:ascii="Calibri" w:hAnsi="Calibri" w:cs="Calibri"/>
                <w:b/>
                <w:bCs/>
                <w:color w:val="FFFFFF"/>
                <w:sz w:val="22"/>
                <w:lang w:eastAsia="bg-BG"/>
              </w:rPr>
              <w:t>Площ (km</w:t>
            </w:r>
            <w:r w:rsidRPr="00F8728A">
              <w:rPr>
                <w:rFonts w:ascii="Calibri" w:hAnsi="Calibri" w:cs="Calibri"/>
                <w:b/>
                <w:bCs/>
                <w:color w:val="FFFFFF"/>
                <w:sz w:val="22"/>
                <w:vertAlign w:val="superscript"/>
                <w:lang w:eastAsia="bg-BG"/>
              </w:rPr>
              <w:t>2</w:t>
            </w:r>
            <w:r w:rsidRPr="00F8728A">
              <w:rPr>
                <w:rFonts w:ascii="Calibri" w:hAnsi="Calibri" w:cs="Calibri"/>
                <w:b/>
                <w:bCs/>
                <w:color w:val="FFFFFF"/>
                <w:sz w:val="22"/>
                <w:lang w:eastAsia="bg-BG"/>
              </w:rPr>
              <w:t>)</w:t>
            </w:r>
          </w:p>
        </w:tc>
      </w:tr>
      <w:tr w:rsidR="00AA4661" w:rsidRPr="00F8728A" w:rsidTr="00B155A6">
        <w:trPr>
          <w:trHeight w:val="300"/>
        </w:trPr>
        <w:tc>
          <w:tcPr>
            <w:tcW w:w="6096" w:type="dxa"/>
            <w:shd w:val="clear" w:color="auto" w:fill="D6E3BC"/>
            <w:noWrap/>
          </w:tcPr>
          <w:p w:rsidR="00AA4661" w:rsidRPr="00F8728A" w:rsidRDefault="00AA4661" w:rsidP="00B155A6">
            <w:pPr>
              <w:spacing w:before="40" w:after="40"/>
              <w:rPr>
                <w:rFonts w:ascii="Calibri" w:hAnsi="Calibri" w:cs="Calibri"/>
                <w:b/>
                <w:bCs/>
                <w:color w:val="000000"/>
                <w:sz w:val="22"/>
                <w:lang w:eastAsia="bg-BG"/>
              </w:rPr>
            </w:pPr>
            <w:r w:rsidRPr="00F8728A">
              <w:rPr>
                <w:rFonts w:ascii="Calibri" w:hAnsi="Calibri" w:cs="Calibri"/>
                <w:b/>
                <w:bCs/>
                <w:color w:val="000000"/>
                <w:sz w:val="22"/>
                <w:lang w:eastAsia="bg-BG"/>
              </w:rPr>
              <w:t>Общо за страната</w:t>
            </w:r>
          </w:p>
        </w:tc>
        <w:tc>
          <w:tcPr>
            <w:tcW w:w="1417" w:type="dxa"/>
            <w:shd w:val="clear" w:color="auto" w:fill="D6E3BC"/>
            <w:noWrap/>
          </w:tcPr>
          <w:p w:rsidR="00AA4661" w:rsidRPr="00F8728A" w:rsidRDefault="00AA4661" w:rsidP="00B155A6">
            <w:pPr>
              <w:spacing w:before="40" w:after="40"/>
              <w:jc w:val="right"/>
              <w:rPr>
                <w:rFonts w:ascii="Calibri" w:hAnsi="Calibri" w:cs="Calibri"/>
                <w:b/>
                <w:bCs/>
                <w:color w:val="000000"/>
                <w:sz w:val="22"/>
                <w:lang w:eastAsia="bg-BG"/>
              </w:rPr>
            </w:pPr>
            <w:r w:rsidRPr="00F8728A">
              <w:rPr>
                <w:rFonts w:ascii="Calibri" w:hAnsi="Calibri" w:cs="Calibri"/>
                <w:b/>
                <w:bCs/>
                <w:color w:val="000000"/>
                <w:sz w:val="22"/>
                <w:lang w:eastAsia="bg-BG"/>
              </w:rPr>
              <w:t>2</w:t>
            </w:r>
            <w:r w:rsidR="004C4282">
              <w:rPr>
                <w:rFonts w:ascii="Calibri" w:hAnsi="Calibri" w:cs="Calibri"/>
                <w:b/>
                <w:bCs/>
                <w:color w:val="000000"/>
                <w:sz w:val="22"/>
                <w:lang w:eastAsia="bg-BG"/>
              </w:rPr>
              <w:t xml:space="preserve"> </w:t>
            </w:r>
            <w:r w:rsidRPr="00F8728A">
              <w:rPr>
                <w:rFonts w:ascii="Calibri" w:hAnsi="Calibri" w:cs="Calibri"/>
                <w:b/>
                <w:bCs/>
                <w:color w:val="000000"/>
                <w:sz w:val="22"/>
                <w:lang w:eastAsia="bg-BG"/>
              </w:rPr>
              <w:t>137</w:t>
            </w:r>
          </w:p>
        </w:tc>
        <w:tc>
          <w:tcPr>
            <w:tcW w:w="1559" w:type="dxa"/>
            <w:shd w:val="clear" w:color="auto" w:fill="D6E3BC"/>
            <w:noWrap/>
          </w:tcPr>
          <w:p w:rsidR="00AA4661" w:rsidRPr="00F8728A" w:rsidRDefault="00AA4661" w:rsidP="00B155A6">
            <w:pPr>
              <w:spacing w:before="40" w:after="40"/>
              <w:jc w:val="right"/>
              <w:rPr>
                <w:rFonts w:ascii="Calibri" w:hAnsi="Calibri" w:cs="Calibri"/>
                <w:b/>
                <w:bCs/>
                <w:color w:val="000000"/>
                <w:sz w:val="22"/>
                <w:lang w:eastAsia="bg-BG"/>
              </w:rPr>
            </w:pPr>
            <w:r w:rsidRPr="00F8728A">
              <w:rPr>
                <w:rFonts w:ascii="Calibri" w:hAnsi="Calibri" w:cs="Calibri"/>
                <w:b/>
                <w:bCs/>
                <w:color w:val="000000"/>
                <w:sz w:val="22"/>
                <w:lang w:eastAsia="bg-BG"/>
              </w:rPr>
              <w:t>254,02</w:t>
            </w:r>
          </w:p>
        </w:tc>
      </w:tr>
      <w:tr w:rsidR="00AA4661" w:rsidRPr="00F8728A" w:rsidTr="00B155A6">
        <w:trPr>
          <w:trHeight w:val="300"/>
        </w:trPr>
        <w:tc>
          <w:tcPr>
            <w:tcW w:w="6096" w:type="dxa"/>
            <w:shd w:val="clear" w:color="auto" w:fill="FFFFFF"/>
            <w:noWrap/>
          </w:tcPr>
          <w:p w:rsidR="00AA4661" w:rsidRPr="00F8728A" w:rsidRDefault="00AA4661" w:rsidP="00B155A6">
            <w:pPr>
              <w:spacing w:before="40" w:after="40"/>
              <w:rPr>
                <w:rFonts w:ascii="Calibri" w:hAnsi="Calibri" w:cs="Calibri"/>
                <w:b/>
                <w:bCs/>
                <w:i/>
                <w:iCs/>
                <w:color w:val="000000"/>
                <w:sz w:val="22"/>
                <w:lang w:eastAsia="bg-BG"/>
              </w:rPr>
            </w:pPr>
            <w:r w:rsidRPr="00F8728A">
              <w:rPr>
                <w:rFonts w:ascii="Calibri" w:hAnsi="Calibri" w:cs="Calibri"/>
                <w:b/>
                <w:bCs/>
                <w:i/>
                <w:iCs/>
                <w:color w:val="000000"/>
                <w:sz w:val="22"/>
                <w:lang w:eastAsia="bg-BG"/>
              </w:rPr>
              <w:t>В неурбанизирани територии</w:t>
            </w:r>
          </w:p>
        </w:tc>
        <w:tc>
          <w:tcPr>
            <w:tcW w:w="1417"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857</w:t>
            </w:r>
          </w:p>
        </w:tc>
        <w:tc>
          <w:tcPr>
            <w:tcW w:w="1559"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89,09</w:t>
            </w:r>
          </w:p>
        </w:tc>
      </w:tr>
      <w:tr w:rsidR="00AA4661" w:rsidRPr="00F8728A" w:rsidTr="00B155A6">
        <w:trPr>
          <w:trHeight w:val="300"/>
        </w:trPr>
        <w:tc>
          <w:tcPr>
            <w:tcW w:w="6096" w:type="dxa"/>
            <w:shd w:val="clear" w:color="auto" w:fill="FFFFFF"/>
            <w:noWrap/>
          </w:tcPr>
          <w:p w:rsidR="00AA4661" w:rsidRPr="00F8728A" w:rsidRDefault="00AA4661" w:rsidP="00B155A6">
            <w:pPr>
              <w:spacing w:before="40" w:after="40"/>
              <w:rPr>
                <w:rFonts w:ascii="Calibri" w:hAnsi="Calibri" w:cs="Calibri"/>
                <w:b/>
                <w:bCs/>
                <w:i/>
                <w:iCs/>
                <w:color w:val="000000"/>
                <w:sz w:val="22"/>
                <w:lang w:eastAsia="bg-BG"/>
              </w:rPr>
            </w:pPr>
            <w:r w:rsidRPr="00F8728A">
              <w:rPr>
                <w:rFonts w:ascii="Calibri" w:hAnsi="Calibri" w:cs="Calibri"/>
                <w:b/>
                <w:bCs/>
                <w:i/>
                <w:iCs/>
                <w:color w:val="000000"/>
                <w:sz w:val="22"/>
                <w:lang w:eastAsia="bg-BG"/>
              </w:rPr>
              <w:t>Урбанизирани територии</w:t>
            </w:r>
          </w:p>
        </w:tc>
        <w:tc>
          <w:tcPr>
            <w:tcW w:w="1417"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1</w:t>
            </w:r>
            <w:r w:rsidR="004C4282">
              <w:rPr>
                <w:rFonts w:ascii="Calibri" w:hAnsi="Calibri" w:cs="Calibri"/>
                <w:color w:val="000000"/>
                <w:sz w:val="22"/>
                <w:lang w:eastAsia="bg-BG"/>
              </w:rPr>
              <w:t xml:space="preserve"> </w:t>
            </w:r>
            <w:r w:rsidRPr="00F8728A">
              <w:rPr>
                <w:rFonts w:ascii="Calibri" w:hAnsi="Calibri" w:cs="Calibri"/>
                <w:color w:val="000000"/>
                <w:sz w:val="22"/>
                <w:lang w:eastAsia="bg-BG"/>
              </w:rPr>
              <w:t>280</w:t>
            </w:r>
          </w:p>
        </w:tc>
        <w:tc>
          <w:tcPr>
            <w:tcW w:w="1559"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164,93</w:t>
            </w:r>
          </w:p>
        </w:tc>
      </w:tr>
      <w:tr w:rsidR="00AA4661" w:rsidRPr="00F8728A" w:rsidTr="00B155A6">
        <w:trPr>
          <w:trHeight w:val="300"/>
        </w:trPr>
        <w:tc>
          <w:tcPr>
            <w:tcW w:w="6096" w:type="dxa"/>
            <w:shd w:val="clear" w:color="auto" w:fill="FFFFFF"/>
            <w:noWrap/>
          </w:tcPr>
          <w:p w:rsidR="00AA4661" w:rsidRPr="00F8728A" w:rsidRDefault="00AA4661" w:rsidP="00C15499">
            <w:pPr>
              <w:spacing w:before="40" w:after="40"/>
              <w:ind w:firstLineChars="200" w:firstLine="442"/>
              <w:rPr>
                <w:rFonts w:ascii="Calibri" w:hAnsi="Calibri" w:cs="Calibri"/>
                <w:b/>
                <w:bCs/>
                <w:color w:val="000000"/>
                <w:sz w:val="22"/>
                <w:lang w:eastAsia="bg-BG"/>
              </w:rPr>
            </w:pPr>
            <w:r w:rsidRPr="00F8728A">
              <w:rPr>
                <w:rFonts w:ascii="Calibri" w:hAnsi="Calibri" w:cs="Calibri"/>
                <w:b/>
                <w:bCs/>
                <w:color w:val="000000"/>
                <w:sz w:val="22"/>
                <w:lang w:eastAsia="bg-BG"/>
              </w:rPr>
              <w:t>В детайли за урбанизирани територии</w:t>
            </w:r>
          </w:p>
        </w:tc>
        <w:tc>
          <w:tcPr>
            <w:tcW w:w="1417" w:type="dxa"/>
            <w:noWrap/>
          </w:tcPr>
          <w:p w:rsidR="00AA4661" w:rsidRPr="00F8728A" w:rsidRDefault="00AA4661" w:rsidP="00B155A6">
            <w:pPr>
              <w:spacing w:before="40" w:after="40"/>
              <w:rPr>
                <w:rFonts w:ascii="Calibri" w:hAnsi="Calibri" w:cs="Calibri"/>
                <w:color w:val="000000"/>
                <w:sz w:val="22"/>
                <w:lang w:eastAsia="bg-BG"/>
              </w:rPr>
            </w:pPr>
            <w:r w:rsidRPr="00F8728A">
              <w:rPr>
                <w:rFonts w:ascii="Calibri" w:hAnsi="Calibri" w:cs="Calibri"/>
                <w:color w:val="000000"/>
                <w:sz w:val="22"/>
                <w:lang w:eastAsia="bg-BG"/>
              </w:rPr>
              <w:t> </w:t>
            </w:r>
          </w:p>
        </w:tc>
        <w:tc>
          <w:tcPr>
            <w:tcW w:w="1559" w:type="dxa"/>
            <w:noWrap/>
          </w:tcPr>
          <w:p w:rsidR="00AA4661" w:rsidRPr="00F8728A" w:rsidRDefault="00AA4661" w:rsidP="00B155A6">
            <w:pPr>
              <w:spacing w:before="40" w:after="40"/>
              <w:rPr>
                <w:rFonts w:ascii="Calibri" w:hAnsi="Calibri" w:cs="Calibri"/>
                <w:color w:val="000000"/>
                <w:sz w:val="22"/>
                <w:lang w:eastAsia="bg-BG"/>
              </w:rPr>
            </w:pPr>
            <w:r w:rsidRPr="00F8728A">
              <w:rPr>
                <w:rFonts w:ascii="Calibri" w:hAnsi="Calibri" w:cs="Calibri"/>
                <w:color w:val="000000"/>
                <w:sz w:val="22"/>
                <w:lang w:eastAsia="bg-BG"/>
              </w:rPr>
              <w:t> </w:t>
            </w:r>
          </w:p>
        </w:tc>
      </w:tr>
      <w:tr w:rsidR="00AA4661" w:rsidRPr="00F8728A" w:rsidTr="00B155A6">
        <w:trPr>
          <w:trHeight w:val="300"/>
        </w:trPr>
        <w:tc>
          <w:tcPr>
            <w:tcW w:w="6096" w:type="dxa"/>
            <w:shd w:val="clear" w:color="auto" w:fill="FFFFFF"/>
            <w:noWrap/>
          </w:tcPr>
          <w:p w:rsidR="00AA4661" w:rsidRPr="00F8728A" w:rsidRDefault="00AA4661" w:rsidP="00212CDB">
            <w:pPr>
              <w:spacing w:before="40" w:after="40"/>
              <w:ind w:firstLineChars="400" w:firstLine="880"/>
              <w:rPr>
                <w:rFonts w:ascii="Calibri" w:hAnsi="Calibri" w:cs="Calibri"/>
                <w:b/>
                <w:bCs/>
                <w:color w:val="000000"/>
                <w:sz w:val="22"/>
                <w:lang w:eastAsia="bg-BG"/>
              </w:rPr>
            </w:pPr>
            <w:r w:rsidRPr="00F8728A">
              <w:rPr>
                <w:rFonts w:ascii="Calibri" w:hAnsi="Calibri" w:cs="Calibri"/>
                <w:bCs/>
                <w:color w:val="000000"/>
                <w:sz w:val="22"/>
                <w:lang w:eastAsia="bg-BG"/>
              </w:rPr>
              <w:t>В градове</w:t>
            </w:r>
          </w:p>
        </w:tc>
        <w:tc>
          <w:tcPr>
            <w:tcW w:w="1417"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603</w:t>
            </w:r>
          </w:p>
        </w:tc>
        <w:tc>
          <w:tcPr>
            <w:tcW w:w="1559"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67,06</w:t>
            </w:r>
          </w:p>
        </w:tc>
      </w:tr>
      <w:tr w:rsidR="00AA4661" w:rsidRPr="00F8728A" w:rsidTr="00B155A6">
        <w:trPr>
          <w:trHeight w:val="300"/>
        </w:trPr>
        <w:tc>
          <w:tcPr>
            <w:tcW w:w="6096" w:type="dxa"/>
            <w:shd w:val="clear" w:color="auto" w:fill="FFFFFF"/>
            <w:noWrap/>
          </w:tcPr>
          <w:p w:rsidR="00AA4661" w:rsidRPr="00F8728A" w:rsidRDefault="00AA4661" w:rsidP="00212CDB">
            <w:pPr>
              <w:spacing w:before="40" w:after="40"/>
              <w:ind w:firstLineChars="400" w:firstLine="880"/>
              <w:rPr>
                <w:rFonts w:ascii="Calibri" w:hAnsi="Calibri" w:cs="Calibri"/>
                <w:b/>
                <w:bCs/>
                <w:color w:val="000000"/>
                <w:sz w:val="22"/>
                <w:lang w:eastAsia="bg-BG"/>
              </w:rPr>
            </w:pPr>
            <w:r w:rsidRPr="00F8728A">
              <w:rPr>
                <w:rFonts w:ascii="Calibri" w:hAnsi="Calibri" w:cs="Calibri"/>
                <w:bCs/>
                <w:color w:val="000000"/>
                <w:sz w:val="22"/>
                <w:lang w:eastAsia="bg-BG"/>
              </w:rPr>
              <w:t>В села</w:t>
            </w:r>
          </w:p>
        </w:tc>
        <w:tc>
          <w:tcPr>
            <w:tcW w:w="1417"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624</w:t>
            </w:r>
          </w:p>
        </w:tc>
        <w:tc>
          <w:tcPr>
            <w:tcW w:w="1559"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72,89</w:t>
            </w:r>
          </w:p>
        </w:tc>
      </w:tr>
      <w:tr w:rsidR="00AA4661" w:rsidRPr="00F8728A" w:rsidTr="00B155A6">
        <w:trPr>
          <w:trHeight w:val="300"/>
        </w:trPr>
        <w:tc>
          <w:tcPr>
            <w:tcW w:w="6096" w:type="dxa"/>
            <w:shd w:val="clear" w:color="auto" w:fill="FFFFFF"/>
            <w:noWrap/>
          </w:tcPr>
          <w:p w:rsidR="00AA4661" w:rsidRPr="00F8728A" w:rsidRDefault="00AA4661" w:rsidP="00212CDB">
            <w:pPr>
              <w:spacing w:before="40" w:after="40"/>
              <w:ind w:firstLineChars="400" w:firstLine="880"/>
              <w:rPr>
                <w:rFonts w:ascii="Calibri" w:hAnsi="Calibri" w:cs="Calibri"/>
                <w:b/>
                <w:bCs/>
                <w:color w:val="000000"/>
                <w:sz w:val="22"/>
                <w:lang w:eastAsia="bg-BG"/>
              </w:rPr>
            </w:pPr>
            <w:r w:rsidRPr="00F8728A">
              <w:rPr>
                <w:rFonts w:ascii="Calibri" w:hAnsi="Calibri" w:cs="Calibri"/>
                <w:bCs/>
                <w:color w:val="000000"/>
                <w:sz w:val="22"/>
                <w:lang w:eastAsia="bg-BG"/>
              </w:rPr>
              <w:t>Курортни и вилни селища</w:t>
            </w:r>
          </w:p>
        </w:tc>
        <w:tc>
          <w:tcPr>
            <w:tcW w:w="1417"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53</w:t>
            </w:r>
          </w:p>
        </w:tc>
        <w:tc>
          <w:tcPr>
            <w:tcW w:w="1559"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24,98</w:t>
            </w:r>
          </w:p>
        </w:tc>
      </w:tr>
      <w:tr w:rsidR="00AA4661" w:rsidRPr="00F8728A" w:rsidTr="00B155A6">
        <w:trPr>
          <w:trHeight w:val="300"/>
        </w:trPr>
        <w:tc>
          <w:tcPr>
            <w:tcW w:w="6096" w:type="dxa"/>
            <w:shd w:val="clear" w:color="auto" w:fill="D6E3BC"/>
            <w:noWrap/>
          </w:tcPr>
          <w:p w:rsidR="00AA4661" w:rsidRPr="00F8728A" w:rsidRDefault="00AA4661" w:rsidP="00B155A6">
            <w:pPr>
              <w:spacing w:before="40" w:after="40"/>
              <w:rPr>
                <w:rFonts w:ascii="Calibri" w:hAnsi="Calibri" w:cs="Calibri"/>
                <w:b/>
                <w:bCs/>
                <w:color w:val="000000"/>
                <w:sz w:val="22"/>
                <w:lang w:eastAsia="bg-BG"/>
              </w:rPr>
            </w:pPr>
            <w:r w:rsidRPr="00F8728A">
              <w:rPr>
                <w:rFonts w:ascii="Calibri" w:hAnsi="Calibri" w:cs="Calibri"/>
                <w:b/>
                <w:bCs/>
                <w:color w:val="000000"/>
                <w:sz w:val="22"/>
                <w:lang w:eastAsia="bg-BG"/>
              </w:rPr>
              <w:t>Състояние на свлачищата в урбанизирани територии:</w:t>
            </w:r>
          </w:p>
        </w:tc>
        <w:tc>
          <w:tcPr>
            <w:tcW w:w="1417" w:type="dxa"/>
            <w:shd w:val="clear" w:color="auto" w:fill="D6E3BC"/>
            <w:noWrap/>
          </w:tcPr>
          <w:p w:rsidR="00AA4661" w:rsidRPr="00F8728A" w:rsidRDefault="00AA4661" w:rsidP="00B155A6">
            <w:pPr>
              <w:spacing w:before="40" w:after="40"/>
              <w:rPr>
                <w:rFonts w:ascii="Calibri" w:hAnsi="Calibri" w:cs="Calibri"/>
                <w:color w:val="000000"/>
                <w:sz w:val="22"/>
                <w:lang w:eastAsia="bg-BG"/>
              </w:rPr>
            </w:pPr>
            <w:r w:rsidRPr="00F8728A">
              <w:rPr>
                <w:rFonts w:ascii="Calibri" w:hAnsi="Calibri" w:cs="Calibri"/>
                <w:color w:val="000000"/>
                <w:sz w:val="22"/>
                <w:lang w:eastAsia="bg-BG"/>
              </w:rPr>
              <w:t> </w:t>
            </w:r>
          </w:p>
        </w:tc>
        <w:tc>
          <w:tcPr>
            <w:tcW w:w="1559" w:type="dxa"/>
            <w:shd w:val="clear" w:color="auto" w:fill="D6E3BC"/>
            <w:noWrap/>
          </w:tcPr>
          <w:p w:rsidR="00AA4661" w:rsidRPr="00F8728A" w:rsidRDefault="00AA4661" w:rsidP="00B155A6">
            <w:pPr>
              <w:spacing w:before="40" w:after="40"/>
              <w:rPr>
                <w:rFonts w:ascii="Calibri" w:hAnsi="Calibri" w:cs="Calibri"/>
                <w:color w:val="000000"/>
                <w:sz w:val="22"/>
                <w:lang w:eastAsia="bg-BG"/>
              </w:rPr>
            </w:pPr>
            <w:r w:rsidRPr="00F8728A">
              <w:rPr>
                <w:rFonts w:ascii="Calibri" w:hAnsi="Calibri" w:cs="Calibri"/>
                <w:color w:val="000000"/>
                <w:sz w:val="22"/>
                <w:lang w:eastAsia="bg-BG"/>
              </w:rPr>
              <w:t> </w:t>
            </w:r>
          </w:p>
        </w:tc>
      </w:tr>
      <w:tr w:rsidR="00AA4661" w:rsidRPr="00F8728A" w:rsidTr="00B155A6">
        <w:trPr>
          <w:trHeight w:val="300"/>
        </w:trPr>
        <w:tc>
          <w:tcPr>
            <w:tcW w:w="6096" w:type="dxa"/>
            <w:shd w:val="clear" w:color="auto" w:fill="EAF1DD"/>
            <w:noWrap/>
          </w:tcPr>
          <w:p w:rsidR="00AA4661" w:rsidRPr="00F8728A" w:rsidRDefault="00AA4661" w:rsidP="00B155A6">
            <w:pPr>
              <w:spacing w:before="40" w:after="40"/>
              <w:rPr>
                <w:rFonts w:ascii="Calibri" w:hAnsi="Calibri" w:cs="Calibri"/>
                <w:b/>
                <w:bCs/>
                <w:color w:val="000000"/>
                <w:sz w:val="22"/>
                <w:lang w:eastAsia="bg-BG"/>
              </w:rPr>
            </w:pPr>
            <w:r w:rsidRPr="00F8728A">
              <w:rPr>
                <w:rFonts w:ascii="Calibri" w:hAnsi="Calibri" w:cs="Calibri"/>
                <w:b/>
                <w:bCs/>
                <w:color w:val="000000"/>
                <w:sz w:val="22"/>
                <w:lang w:eastAsia="bg-BG"/>
              </w:rPr>
              <w:t>Стабилизирани</w:t>
            </w:r>
          </w:p>
        </w:tc>
        <w:tc>
          <w:tcPr>
            <w:tcW w:w="1417" w:type="dxa"/>
            <w:shd w:val="clear" w:color="auto" w:fill="EAF1DD"/>
            <w:noWrap/>
          </w:tcPr>
          <w:p w:rsidR="00AA4661" w:rsidRPr="00F8728A" w:rsidRDefault="00AA4661" w:rsidP="00B155A6">
            <w:pPr>
              <w:spacing w:before="40" w:after="40"/>
              <w:rPr>
                <w:rFonts w:ascii="Calibri" w:hAnsi="Calibri" w:cs="Calibri"/>
                <w:color w:val="000000"/>
                <w:sz w:val="22"/>
                <w:lang w:eastAsia="bg-BG"/>
              </w:rPr>
            </w:pPr>
            <w:r w:rsidRPr="00F8728A">
              <w:rPr>
                <w:rFonts w:ascii="Calibri" w:hAnsi="Calibri" w:cs="Calibri"/>
                <w:color w:val="000000"/>
                <w:sz w:val="22"/>
                <w:lang w:eastAsia="bg-BG"/>
              </w:rPr>
              <w:t> </w:t>
            </w:r>
          </w:p>
        </w:tc>
        <w:tc>
          <w:tcPr>
            <w:tcW w:w="1559" w:type="dxa"/>
            <w:shd w:val="clear" w:color="auto" w:fill="EAF1DD"/>
            <w:noWrap/>
          </w:tcPr>
          <w:p w:rsidR="00AA4661" w:rsidRPr="00F8728A" w:rsidRDefault="00AA4661" w:rsidP="00B155A6">
            <w:pPr>
              <w:spacing w:before="40" w:after="40"/>
              <w:rPr>
                <w:rFonts w:ascii="Calibri" w:hAnsi="Calibri" w:cs="Calibri"/>
                <w:color w:val="000000"/>
                <w:sz w:val="22"/>
                <w:lang w:eastAsia="bg-BG"/>
              </w:rPr>
            </w:pPr>
            <w:r w:rsidRPr="00F8728A">
              <w:rPr>
                <w:rFonts w:ascii="Calibri" w:hAnsi="Calibri" w:cs="Calibri"/>
                <w:color w:val="000000"/>
                <w:sz w:val="22"/>
                <w:lang w:eastAsia="bg-BG"/>
              </w:rPr>
              <w:t> </w:t>
            </w:r>
          </w:p>
        </w:tc>
      </w:tr>
      <w:tr w:rsidR="00AA4661" w:rsidRPr="00F8728A" w:rsidTr="00B155A6">
        <w:trPr>
          <w:trHeight w:val="300"/>
        </w:trPr>
        <w:tc>
          <w:tcPr>
            <w:tcW w:w="6096" w:type="dxa"/>
            <w:shd w:val="clear" w:color="auto" w:fill="FFFFFF"/>
            <w:noWrap/>
          </w:tcPr>
          <w:p w:rsidR="00AA4661" w:rsidRPr="00F8728A" w:rsidRDefault="00AA4661" w:rsidP="00C15499">
            <w:pPr>
              <w:spacing w:before="40" w:after="40"/>
              <w:ind w:firstLineChars="200" w:firstLine="442"/>
              <w:rPr>
                <w:rFonts w:ascii="Calibri" w:hAnsi="Calibri" w:cs="Calibri"/>
                <w:b/>
                <w:bCs/>
                <w:color w:val="000000"/>
                <w:sz w:val="22"/>
                <w:lang w:eastAsia="bg-BG"/>
              </w:rPr>
            </w:pPr>
            <w:r w:rsidRPr="00F8728A">
              <w:rPr>
                <w:rFonts w:ascii="Calibri" w:hAnsi="Calibri" w:cs="Calibri"/>
                <w:b/>
                <w:bCs/>
                <w:color w:val="000000"/>
                <w:sz w:val="22"/>
                <w:lang w:eastAsia="bg-BG"/>
              </w:rPr>
              <w:t>Общо за урбанизирани територии</w:t>
            </w:r>
          </w:p>
        </w:tc>
        <w:tc>
          <w:tcPr>
            <w:tcW w:w="1417" w:type="dxa"/>
            <w:noWrap/>
          </w:tcPr>
          <w:p w:rsidR="00AA4661" w:rsidRPr="00F8728A" w:rsidRDefault="00AA4661" w:rsidP="00B155A6">
            <w:pPr>
              <w:spacing w:before="40" w:after="40"/>
              <w:jc w:val="right"/>
              <w:rPr>
                <w:rFonts w:ascii="Calibri" w:hAnsi="Calibri" w:cs="Calibri"/>
                <w:b/>
                <w:bCs/>
                <w:color w:val="000000"/>
                <w:sz w:val="22"/>
                <w:lang w:eastAsia="bg-BG"/>
              </w:rPr>
            </w:pPr>
            <w:r w:rsidRPr="00F8728A">
              <w:rPr>
                <w:rFonts w:ascii="Calibri" w:hAnsi="Calibri" w:cs="Calibri"/>
                <w:b/>
                <w:bCs/>
                <w:color w:val="000000"/>
                <w:sz w:val="22"/>
                <w:lang w:eastAsia="bg-BG"/>
              </w:rPr>
              <w:t>297</w:t>
            </w:r>
          </w:p>
        </w:tc>
        <w:tc>
          <w:tcPr>
            <w:tcW w:w="1559" w:type="dxa"/>
            <w:noWrap/>
          </w:tcPr>
          <w:p w:rsidR="00AA4661" w:rsidRPr="00F8728A" w:rsidRDefault="00AA4661" w:rsidP="00B155A6">
            <w:pPr>
              <w:spacing w:before="40" w:after="40"/>
              <w:jc w:val="right"/>
              <w:rPr>
                <w:rFonts w:ascii="Calibri" w:hAnsi="Calibri" w:cs="Calibri"/>
                <w:b/>
                <w:bCs/>
                <w:color w:val="000000"/>
                <w:sz w:val="22"/>
                <w:lang w:eastAsia="bg-BG"/>
              </w:rPr>
            </w:pPr>
            <w:r w:rsidRPr="00F8728A">
              <w:rPr>
                <w:rFonts w:ascii="Calibri" w:hAnsi="Calibri" w:cs="Calibri"/>
                <w:b/>
                <w:bCs/>
                <w:color w:val="000000"/>
                <w:sz w:val="22"/>
                <w:lang w:eastAsia="bg-BG"/>
              </w:rPr>
              <w:t>54,66</w:t>
            </w:r>
          </w:p>
        </w:tc>
      </w:tr>
      <w:tr w:rsidR="00AA4661" w:rsidRPr="00F8728A" w:rsidTr="00B155A6">
        <w:trPr>
          <w:trHeight w:val="300"/>
        </w:trPr>
        <w:tc>
          <w:tcPr>
            <w:tcW w:w="6096" w:type="dxa"/>
            <w:shd w:val="clear" w:color="auto" w:fill="FFFFFF"/>
            <w:noWrap/>
          </w:tcPr>
          <w:p w:rsidR="00AA4661" w:rsidRPr="00F8728A" w:rsidRDefault="00AA4661" w:rsidP="00212CDB">
            <w:pPr>
              <w:spacing w:before="40" w:after="40"/>
              <w:ind w:firstLineChars="400" w:firstLine="880"/>
              <w:rPr>
                <w:rFonts w:ascii="Calibri" w:hAnsi="Calibri" w:cs="Calibri"/>
                <w:b/>
                <w:bCs/>
                <w:color w:val="000000"/>
                <w:sz w:val="22"/>
                <w:lang w:eastAsia="bg-BG"/>
              </w:rPr>
            </w:pPr>
            <w:r w:rsidRPr="00F8728A">
              <w:rPr>
                <w:rFonts w:ascii="Calibri" w:hAnsi="Calibri" w:cs="Calibri"/>
                <w:bCs/>
                <w:color w:val="000000"/>
                <w:sz w:val="22"/>
                <w:lang w:eastAsia="bg-BG"/>
              </w:rPr>
              <w:t>В градове</w:t>
            </w:r>
          </w:p>
        </w:tc>
        <w:tc>
          <w:tcPr>
            <w:tcW w:w="1417"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177</w:t>
            </w:r>
          </w:p>
        </w:tc>
        <w:tc>
          <w:tcPr>
            <w:tcW w:w="1559"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22,75</w:t>
            </w:r>
          </w:p>
        </w:tc>
      </w:tr>
      <w:tr w:rsidR="00AA4661" w:rsidRPr="00F8728A" w:rsidTr="00B155A6">
        <w:trPr>
          <w:trHeight w:val="300"/>
        </w:trPr>
        <w:tc>
          <w:tcPr>
            <w:tcW w:w="6096" w:type="dxa"/>
            <w:shd w:val="clear" w:color="auto" w:fill="FFFFFF"/>
            <w:noWrap/>
          </w:tcPr>
          <w:p w:rsidR="00AA4661" w:rsidRPr="00F8728A" w:rsidRDefault="00AA4661" w:rsidP="00212CDB">
            <w:pPr>
              <w:spacing w:before="40" w:after="40"/>
              <w:ind w:firstLineChars="400" w:firstLine="880"/>
              <w:rPr>
                <w:rFonts w:ascii="Calibri" w:hAnsi="Calibri" w:cs="Calibri"/>
                <w:b/>
                <w:bCs/>
                <w:color w:val="000000"/>
                <w:sz w:val="22"/>
                <w:lang w:eastAsia="bg-BG"/>
              </w:rPr>
            </w:pPr>
            <w:r w:rsidRPr="00F8728A">
              <w:rPr>
                <w:rFonts w:ascii="Calibri" w:hAnsi="Calibri" w:cs="Calibri"/>
                <w:bCs/>
                <w:color w:val="000000"/>
                <w:sz w:val="22"/>
                <w:lang w:eastAsia="bg-BG"/>
              </w:rPr>
              <w:t>В села</w:t>
            </w:r>
          </w:p>
        </w:tc>
        <w:tc>
          <w:tcPr>
            <w:tcW w:w="1417"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103</w:t>
            </w:r>
          </w:p>
        </w:tc>
        <w:tc>
          <w:tcPr>
            <w:tcW w:w="1559"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8,59</w:t>
            </w:r>
          </w:p>
        </w:tc>
      </w:tr>
      <w:tr w:rsidR="00AA4661" w:rsidRPr="00F8728A" w:rsidTr="00B155A6">
        <w:trPr>
          <w:trHeight w:val="300"/>
        </w:trPr>
        <w:tc>
          <w:tcPr>
            <w:tcW w:w="6096" w:type="dxa"/>
            <w:shd w:val="clear" w:color="auto" w:fill="FFFFFF"/>
            <w:noWrap/>
          </w:tcPr>
          <w:p w:rsidR="00AA4661" w:rsidRPr="00F8728A" w:rsidRDefault="00AA4661" w:rsidP="00212CDB">
            <w:pPr>
              <w:spacing w:before="40" w:after="40"/>
              <w:ind w:firstLineChars="400" w:firstLine="880"/>
              <w:rPr>
                <w:rFonts w:ascii="Calibri" w:hAnsi="Calibri" w:cs="Calibri"/>
                <w:b/>
                <w:bCs/>
                <w:color w:val="000000"/>
                <w:sz w:val="22"/>
                <w:lang w:eastAsia="bg-BG"/>
              </w:rPr>
            </w:pPr>
            <w:r w:rsidRPr="00F8728A">
              <w:rPr>
                <w:rFonts w:ascii="Calibri" w:hAnsi="Calibri" w:cs="Calibri"/>
                <w:bCs/>
                <w:color w:val="000000"/>
                <w:sz w:val="22"/>
                <w:lang w:eastAsia="bg-BG"/>
              </w:rPr>
              <w:t>В курортни и вилни селища</w:t>
            </w:r>
          </w:p>
        </w:tc>
        <w:tc>
          <w:tcPr>
            <w:tcW w:w="1417"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17</w:t>
            </w:r>
          </w:p>
        </w:tc>
        <w:tc>
          <w:tcPr>
            <w:tcW w:w="1559"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23,32</w:t>
            </w:r>
          </w:p>
        </w:tc>
      </w:tr>
      <w:tr w:rsidR="00AA4661" w:rsidRPr="00F8728A" w:rsidTr="00B155A6">
        <w:trPr>
          <w:trHeight w:val="300"/>
        </w:trPr>
        <w:tc>
          <w:tcPr>
            <w:tcW w:w="6096" w:type="dxa"/>
            <w:shd w:val="clear" w:color="auto" w:fill="EAF1DD"/>
            <w:noWrap/>
          </w:tcPr>
          <w:p w:rsidR="00AA4661" w:rsidRPr="00F8728A" w:rsidRDefault="00AA4661" w:rsidP="00B155A6">
            <w:pPr>
              <w:spacing w:before="40" w:after="40"/>
              <w:rPr>
                <w:rFonts w:ascii="Calibri" w:hAnsi="Calibri" w:cs="Calibri"/>
                <w:b/>
                <w:bCs/>
                <w:color w:val="000000"/>
                <w:sz w:val="22"/>
                <w:lang w:eastAsia="bg-BG"/>
              </w:rPr>
            </w:pPr>
            <w:r w:rsidRPr="00F8728A">
              <w:rPr>
                <w:rFonts w:ascii="Calibri" w:hAnsi="Calibri" w:cs="Calibri"/>
                <w:b/>
                <w:bCs/>
                <w:color w:val="000000"/>
                <w:sz w:val="22"/>
                <w:lang w:eastAsia="bg-BG"/>
              </w:rPr>
              <w:t>Потенциално опасни</w:t>
            </w:r>
          </w:p>
        </w:tc>
        <w:tc>
          <w:tcPr>
            <w:tcW w:w="1417" w:type="dxa"/>
            <w:shd w:val="clear" w:color="auto" w:fill="EAF1DD"/>
            <w:noWrap/>
          </w:tcPr>
          <w:p w:rsidR="00AA4661" w:rsidRPr="00F8728A" w:rsidRDefault="00AA4661" w:rsidP="00B155A6">
            <w:pPr>
              <w:spacing w:before="40" w:after="40"/>
              <w:rPr>
                <w:rFonts w:ascii="Calibri" w:hAnsi="Calibri" w:cs="Calibri"/>
                <w:color w:val="000000"/>
                <w:sz w:val="22"/>
                <w:lang w:eastAsia="bg-BG"/>
              </w:rPr>
            </w:pPr>
            <w:r w:rsidRPr="00F8728A">
              <w:rPr>
                <w:rFonts w:ascii="Calibri" w:hAnsi="Calibri" w:cs="Calibri"/>
                <w:color w:val="000000"/>
                <w:sz w:val="22"/>
                <w:lang w:eastAsia="bg-BG"/>
              </w:rPr>
              <w:t> </w:t>
            </w:r>
          </w:p>
        </w:tc>
        <w:tc>
          <w:tcPr>
            <w:tcW w:w="1559" w:type="dxa"/>
            <w:shd w:val="clear" w:color="auto" w:fill="EAF1DD"/>
            <w:noWrap/>
          </w:tcPr>
          <w:p w:rsidR="00AA4661" w:rsidRPr="00F8728A" w:rsidRDefault="00AA4661" w:rsidP="00B155A6">
            <w:pPr>
              <w:spacing w:before="40" w:after="40"/>
              <w:rPr>
                <w:rFonts w:ascii="Calibri" w:hAnsi="Calibri" w:cs="Calibri"/>
                <w:color w:val="000000"/>
                <w:sz w:val="22"/>
                <w:lang w:eastAsia="bg-BG"/>
              </w:rPr>
            </w:pPr>
            <w:r w:rsidRPr="00F8728A">
              <w:rPr>
                <w:rFonts w:ascii="Calibri" w:hAnsi="Calibri" w:cs="Calibri"/>
                <w:color w:val="000000"/>
                <w:sz w:val="22"/>
                <w:lang w:eastAsia="bg-BG"/>
              </w:rPr>
              <w:t> </w:t>
            </w:r>
          </w:p>
        </w:tc>
      </w:tr>
      <w:tr w:rsidR="00AA4661" w:rsidRPr="00F8728A" w:rsidTr="00B155A6">
        <w:trPr>
          <w:trHeight w:val="300"/>
        </w:trPr>
        <w:tc>
          <w:tcPr>
            <w:tcW w:w="6096" w:type="dxa"/>
            <w:shd w:val="clear" w:color="auto" w:fill="FFFFFF"/>
            <w:noWrap/>
          </w:tcPr>
          <w:p w:rsidR="00AA4661" w:rsidRPr="00F8728A" w:rsidRDefault="00AA4661" w:rsidP="00C15499">
            <w:pPr>
              <w:spacing w:before="40" w:after="40"/>
              <w:ind w:firstLineChars="200" w:firstLine="442"/>
              <w:rPr>
                <w:rFonts w:ascii="Calibri" w:hAnsi="Calibri" w:cs="Calibri"/>
                <w:b/>
                <w:bCs/>
                <w:color w:val="000000"/>
                <w:sz w:val="22"/>
                <w:lang w:eastAsia="bg-BG"/>
              </w:rPr>
            </w:pPr>
            <w:r w:rsidRPr="00F8728A">
              <w:rPr>
                <w:rFonts w:ascii="Calibri" w:hAnsi="Calibri" w:cs="Calibri"/>
                <w:b/>
                <w:bCs/>
                <w:color w:val="000000"/>
                <w:sz w:val="22"/>
                <w:lang w:eastAsia="bg-BG"/>
              </w:rPr>
              <w:t>Общо за урбанизираните територии</w:t>
            </w:r>
          </w:p>
        </w:tc>
        <w:tc>
          <w:tcPr>
            <w:tcW w:w="1417" w:type="dxa"/>
            <w:noWrap/>
          </w:tcPr>
          <w:p w:rsidR="00AA4661" w:rsidRPr="00F8728A" w:rsidRDefault="00AA4661" w:rsidP="00B155A6">
            <w:pPr>
              <w:spacing w:before="40" w:after="40"/>
              <w:jc w:val="right"/>
              <w:rPr>
                <w:rFonts w:ascii="Calibri" w:hAnsi="Calibri" w:cs="Calibri"/>
                <w:b/>
                <w:bCs/>
                <w:color w:val="000000"/>
                <w:sz w:val="22"/>
                <w:lang w:eastAsia="bg-BG"/>
              </w:rPr>
            </w:pPr>
            <w:r w:rsidRPr="00F8728A">
              <w:rPr>
                <w:rFonts w:ascii="Calibri" w:hAnsi="Calibri" w:cs="Calibri"/>
                <w:b/>
                <w:bCs/>
                <w:color w:val="000000"/>
                <w:sz w:val="22"/>
                <w:lang w:eastAsia="bg-BG"/>
              </w:rPr>
              <w:t>523</w:t>
            </w:r>
          </w:p>
        </w:tc>
        <w:tc>
          <w:tcPr>
            <w:tcW w:w="1559" w:type="dxa"/>
            <w:noWrap/>
          </w:tcPr>
          <w:p w:rsidR="00AA4661" w:rsidRPr="00F8728A" w:rsidRDefault="00AA4661" w:rsidP="00B155A6">
            <w:pPr>
              <w:spacing w:before="40" w:after="40"/>
              <w:jc w:val="right"/>
              <w:rPr>
                <w:rFonts w:ascii="Calibri" w:hAnsi="Calibri" w:cs="Calibri"/>
                <w:b/>
                <w:bCs/>
                <w:color w:val="000000"/>
                <w:sz w:val="22"/>
                <w:lang w:eastAsia="bg-BG"/>
              </w:rPr>
            </w:pPr>
            <w:r w:rsidRPr="00F8728A">
              <w:rPr>
                <w:rFonts w:ascii="Calibri" w:hAnsi="Calibri" w:cs="Calibri"/>
                <w:b/>
                <w:bCs/>
                <w:color w:val="000000"/>
                <w:sz w:val="22"/>
                <w:lang w:eastAsia="bg-BG"/>
              </w:rPr>
              <w:t>77,05</w:t>
            </w:r>
          </w:p>
        </w:tc>
      </w:tr>
      <w:tr w:rsidR="00AA4661" w:rsidRPr="00F8728A" w:rsidTr="00B155A6">
        <w:trPr>
          <w:trHeight w:val="300"/>
        </w:trPr>
        <w:tc>
          <w:tcPr>
            <w:tcW w:w="6096" w:type="dxa"/>
            <w:shd w:val="clear" w:color="auto" w:fill="FFFFFF"/>
            <w:noWrap/>
          </w:tcPr>
          <w:p w:rsidR="00AA4661" w:rsidRPr="00F8728A" w:rsidRDefault="00AA4661" w:rsidP="00212CDB">
            <w:pPr>
              <w:spacing w:before="40" w:after="40"/>
              <w:ind w:firstLineChars="400" w:firstLine="880"/>
              <w:rPr>
                <w:rFonts w:ascii="Calibri" w:hAnsi="Calibri" w:cs="Calibri"/>
                <w:b/>
                <w:bCs/>
                <w:color w:val="000000"/>
                <w:sz w:val="22"/>
                <w:lang w:eastAsia="bg-BG"/>
              </w:rPr>
            </w:pPr>
            <w:r w:rsidRPr="00F8728A">
              <w:rPr>
                <w:rFonts w:ascii="Calibri" w:hAnsi="Calibri" w:cs="Calibri"/>
                <w:bCs/>
                <w:color w:val="000000"/>
                <w:sz w:val="22"/>
                <w:lang w:eastAsia="bg-BG"/>
              </w:rPr>
              <w:t>В градове</w:t>
            </w:r>
          </w:p>
        </w:tc>
        <w:tc>
          <w:tcPr>
            <w:tcW w:w="1417"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229</w:t>
            </w:r>
          </w:p>
        </w:tc>
        <w:tc>
          <w:tcPr>
            <w:tcW w:w="1559"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34,25</w:t>
            </w:r>
          </w:p>
        </w:tc>
      </w:tr>
      <w:tr w:rsidR="00AA4661" w:rsidRPr="00F8728A" w:rsidTr="00B155A6">
        <w:trPr>
          <w:trHeight w:val="300"/>
        </w:trPr>
        <w:tc>
          <w:tcPr>
            <w:tcW w:w="6096" w:type="dxa"/>
            <w:shd w:val="clear" w:color="auto" w:fill="FFFFFF"/>
            <w:noWrap/>
          </w:tcPr>
          <w:p w:rsidR="00AA4661" w:rsidRPr="00F8728A" w:rsidRDefault="00AA4661" w:rsidP="00212CDB">
            <w:pPr>
              <w:spacing w:before="40" w:after="40"/>
              <w:ind w:firstLineChars="400" w:firstLine="880"/>
              <w:rPr>
                <w:rFonts w:ascii="Calibri" w:hAnsi="Calibri" w:cs="Calibri"/>
                <w:b/>
                <w:bCs/>
                <w:color w:val="000000"/>
                <w:sz w:val="22"/>
                <w:lang w:eastAsia="bg-BG"/>
              </w:rPr>
            </w:pPr>
            <w:r w:rsidRPr="00F8728A">
              <w:rPr>
                <w:rFonts w:ascii="Calibri" w:hAnsi="Calibri" w:cs="Calibri"/>
                <w:bCs/>
                <w:color w:val="000000"/>
                <w:sz w:val="22"/>
                <w:lang w:eastAsia="bg-BG"/>
              </w:rPr>
              <w:t>В села</w:t>
            </w:r>
          </w:p>
        </w:tc>
        <w:tc>
          <w:tcPr>
            <w:tcW w:w="1417"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279</w:t>
            </w:r>
          </w:p>
        </w:tc>
        <w:tc>
          <w:tcPr>
            <w:tcW w:w="1559"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42,30</w:t>
            </w:r>
          </w:p>
        </w:tc>
      </w:tr>
      <w:tr w:rsidR="00AA4661" w:rsidRPr="00F8728A" w:rsidTr="00B155A6">
        <w:trPr>
          <w:trHeight w:val="300"/>
        </w:trPr>
        <w:tc>
          <w:tcPr>
            <w:tcW w:w="6096" w:type="dxa"/>
            <w:shd w:val="clear" w:color="auto" w:fill="FFFFFF"/>
            <w:noWrap/>
          </w:tcPr>
          <w:p w:rsidR="00AA4661" w:rsidRPr="00F8728A" w:rsidRDefault="00AA4661" w:rsidP="00212CDB">
            <w:pPr>
              <w:spacing w:before="40" w:after="40"/>
              <w:ind w:firstLineChars="400" w:firstLine="880"/>
              <w:rPr>
                <w:rFonts w:ascii="Calibri" w:hAnsi="Calibri" w:cs="Calibri"/>
                <w:b/>
                <w:bCs/>
                <w:color w:val="000000"/>
                <w:sz w:val="22"/>
                <w:lang w:eastAsia="bg-BG"/>
              </w:rPr>
            </w:pPr>
            <w:r w:rsidRPr="00F8728A">
              <w:rPr>
                <w:rFonts w:ascii="Calibri" w:hAnsi="Calibri" w:cs="Calibri"/>
                <w:bCs/>
                <w:color w:val="000000"/>
                <w:sz w:val="22"/>
                <w:lang w:eastAsia="bg-BG"/>
              </w:rPr>
              <w:t>В курортни и вилни селища</w:t>
            </w:r>
          </w:p>
        </w:tc>
        <w:tc>
          <w:tcPr>
            <w:tcW w:w="1417"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15</w:t>
            </w:r>
          </w:p>
        </w:tc>
        <w:tc>
          <w:tcPr>
            <w:tcW w:w="1559"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0,50</w:t>
            </w:r>
          </w:p>
        </w:tc>
      </w:tr>
      <w:tr w:rsidR="00AA4661" w:rsidRPr="00F8728A" w:rsidTr="00B155A6">
        <w:trPr>
          <w:trHeight w:val="300"/>
        </w:trPr>
        <w:tc>
          <w:tcPr>
            <w:tcW w:w="6096" w:type="dxa"/>
            <w:shd w:val="clear" w:color="auto" w:fill="EAF1DD"/>
            <w:noWrap/>
          </w:tcPr>
          <w:p w:rsidR="00AA4661" w:rsidRPr="00F8728A" w:rsidRDefault="00AA4661" w:rsidP="00B155A6">
            <w:pPr>
              <w:spacing w:before="40" w:after="40"/>
              <w:rPr>
                <w:rFonts w:ascii="Calibri" w:hAnsi="Calibri" w:cs="Calibri"/>
                <w:b/>
                <w:bCs/>
                <w:color w:val="000000"/>
                <w:sz w:val="22"/>
                <w:lang w:eastAsia="bg-BG"/>
              </w:rPr>
            </w:pPr>
            <w:r w:rsidRPr="00F8728A">
              <w:rPr>
                <w:rFonts w:ascii="Calibri" w:hAnsi="Calibri" w:cs="Calibri"/>
                <w:b/>
                <w:bCs/>
                <w:color w:val="000000"/>
                <w:sz w:val="22"/>
                <w:lang w:eastAsia="bg-BG"/>
              </w:rPr>
              <w:t>Активизирани</w:t>
            </w:r>
          </w:p>
        </w:tc>
        <w:tc>
          <w:tcPr>
            <w:tcW w:w="1417" w:type="dxa"/>
            <w:shd w:val="clear" w:color="auto" w:fill="EAF1DD"/>
            <w:noWrap/>
          </w:tcPr>
          <w:p w:rsidR="00AA4661" w:rsidRPr="00F8728A" w:rsidRDefault="00AA4661" w:rsidP="00B155A6">
            <w:pPr>
              <w:spacing w:before="40" w:after="40"/>
              <w:rPr>
                <w:rFonts w:ascii="Calibri" w:hAnsi="Calibri" w:cs="Calibri"/>
                <w:color w:val="000000"/>
                <w:sz w:val="22"/>
                <w:lang w:eastAsia="bg-BG"/>
              </w:rPr>
            </w:pPr>
            <w:r w:rsidRPr="00F8728A">
              <w:rPr>
                <w:rFonts w:ascii="Calibri" w:hAnsi="Calibri" w:cs="Calibri"/>
                <w:color w:val="000000"/>
                <w:sz w:val="22"/>
                <w:lang w:eastAsia="bg-BG"/>
              </w:rPr>
              <w:t> </w:t>
            </w:r>
          </w:p>
        </w:tc>
        <w:tc>
          <w:tcPr>
            <w:tcW w:w="1559" w:type="dxa"/>
            <w:shd w:val="clear" w:color="auto" w:fill="EAF1DD"/>
            <w:noWrap/>
          </w:tcPr>
          <w:p w:rsidR="00AA4661" w:rsidRPr="00F8728A" w:rsidRDefault="00AA4661" w:rsidP="00B155A6">
            <w:pPr>
              <w:spacing w:before="40" w:after="40"/>
              <w:rPr>
                <w:rFonts w:ascii="Calibri" w:hAnsi="Calibri" w:cs="Calibri"/>
                <w:color w:val="000000"/>
                <w:sz w:val="22"/>
                <w:lang w:eastAsia="bg-BG"/>
              </w:rPr>
            </w:pPr>
            <w:r w:rsidRPr="00F8728A">
              <w:rPr>
                <w:rFonts w:ascii="Calibri" w:hAnsi="Calibri" w:cs="Calibri"/>
                <w:color w:val="000000"/>
                <w:sz w:val="22"/>
                <w:lang w:eastAsia="bg-BG"/>
              </w:rPr>
              <w:t> </w:t>
            </w:r>
          </w:p>
        </w:tc>
      </w:tr>
      <w:tr w:rsidR="00AA4661" w:rsidRPr="00F8728A" w:rsidTr="00B155A6">
        <w:trPr>
          <w:trHeight w:val="300"/>
        </w:trPr>
        <w:tc>
          <w:tcPr>
            <w:tcW w:w="6096" w:type="dxa"/>
            <w:shd w:val="clear" w:color="auto" w:fill="FFFFFF"/>
            <w:noWrap/>
          </w:tcPr>
          <w:p w:rsidR="00AA4661" w:rsidRPr="00F8728A" w:rsidRDefault="00AA4661" w:rsidP="00C15499">
            <w:pPr>
              <w:spacing w:before="40" w:after="40"/>
              <w:ind w:firstLineChars="200" w:firstLine="442"/>
              <w:rPr>
                <w:rFonts w:ascii="Calibri" w:hAnsi="Calibri" w:cs="Calibri"/>
                <w:b/>
                <w:bCs/>
                <w:color w:val="000000"/>
                <w:sz w:val="22"/>
                <w:lang w:eastAsia="bg-BG"/>
              </w:rPr>
            </w:pPr>
            <w:r w:rsidRPr="00F8728A">
              <w:rPr>
                <w:rFonts w:ascii="Calibri" w:hAnsi="Calibri" w:cs="Calibri"/>
                <w:b/>
                <w:bCs/>
                <w:color w:val="000000"/>
                <w:sz w:val="22"/>
                <w:lang w:eastAsia="bg-BG"/>
              </w:rPr>
              <w:t>Общо за урбанизираните територии</w:t>
            </w:r>
          </w:p>
        </w:tc>
        <w:tc>
          <w:tcPr>
            <w:tcW w:w="1417" w:type="dxa"/>
            <w:noWrap/>
          </w:tcPr>
          <w:p w:rsidR="00AA4661" w:rsidRPr="00F8728A" w:rsidRDefault="00AA4661" w:rsidP="00B155A6">
            <w:pPr>
              <w:spacing w:before="40" w:after="40"/>
              <w:jc w:val="right"/>
              <w:rPr>
                <w:rFonts w:ascii="Calibri" w:hAnsi="Calibri" w:cs="Calibri"/>
                <w:b/>
                <w:bCs/>
                <w:color w:val="000000"/>
                <w:sz w:val="22"/>
                <w:lang w:eastAsia="bg-BG"/>
              </w:rPr>
            </w:pPr>
            <w:r w:rsidRPr="00F8728A">
              <w:rPr>
                <w:rFonts w:ascii="Calibri" w:hAnsi="Calibri" w:cs="Calibri"/>
                <w:b/>
                <w:bCs/>
                <w:color w:val="000000"/>
                <w:sz w:val="22"/>
                <w:lang w:eastAsia="bg-BG"/>
              </w:rPr>
              <w:t>451</w:t>
            </w:r>
          </w:p>
        </w:tc>
        <w:tc>
          <w:tcPr>
            <w:tcW w:w="1559" w:type="dxa"/>
            <w:noWrap/>
          </w:tcPr>
          <w:p w:rsidR="00AA4661" w:rsidRPr="00F8728A" w:rsidRDefault="00AA4661" w:rsidP="00B155A6">
            <w:pPr>
              <w:spacing w:before="40" w:after="40"/>
              <w:jc w:val="right"/>
              <w:rPr>
                <w:rFonts w:ascii="Calibri" w:hAnsi="Calibri" w:cs="Calibri"/>
                <w:b/>
                <w:bCs/>
                <w:color w:val="000000"/>
                <w:sz w:val="22"/>
                <w:lang w:eastAsia="bg-BG"/>
              </w:rPr>
            </w:pPr>
            <w:r w:rsidRPr="00F8728A">
              <w:rPr>
                <w:rFonts w:ascii="Calibri" w:hAnsi="Calibri" w:cs="Calibri"/>
                <w:b/>
                <w:bCs/>
                <w:color w:val="000000"/>
                <w:sz w:val="22"/>
                <w:lang w:eastAsia="bg-BG"/>
              </w:rPr>
              <w:t>33,21</w:t>
            </w:r>
          </w:p>
        </w:tc>
      </w:tr>
      <w:tr w:rsidR="00AA4661" w:rsidRPr="00F8728A" w:rsidTr="00B155A6">
        <w:trPr>
          <w:trHeight w:val="300"/>
        </w:trPr>
        <w:tc>
          <w:tcPr>
            <w:tcW w:w="6096" w:type="dxa"/>
            <w:shd w:val="clear" w:color="auto" w:fill="FFFFFF"/>
            <w:noWrap/>
          </w:tcPr>
          <w:p w:rsidR="00AA4661" w:rsidRPr="00F8728A" w:rsidRDefault="00AA4661" w:rsidP="00212CDB">
            <w:pPr>
              <w:spacing w:before="40" w:after="40"/>
              <w:ind w:firstLineChars="400" w:firstLine="880"/>
              <w:rPr>
                <w:rFonts w:ascii="Calibri" w:hAnsi="Calibri" w:cs="Calibri"/>
                <w:b/>
                <w:bCs/>
                <w:color w:val="000000"/>
                <w:sz w:val="22"/>
                <w:lang w:eastAsia="bg-BG"/>
              </w:rPr>
            </w:pPr>
            <w:r w:rsidRPr="00F8728A">
              <w:rPr>
                <w:rFonts w:ascii="Calibri" w:hAnsi="Calibri" w:cs="Calibri"/>
                <w:bCs/>
                <w:color w:val="000000"/>
                <w:sz w:val="22"/>
                <w:lang w:eastAsia="bg-BG"/>
              </w:rPr>
              <w:t>В градове</w:t>
            </w:r>
          </w:p>
        </w:tc>
        <w:tc>
          <w:tcPr>
            <w:tcW w:w="1417"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189</w:t>
            </w:r>
          </w:p>
        </w:tc>
        <w:tc>
          <w:tcPr>
            <w:tcW w:w="1559"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10,05</w:t>
            </w:r>
          </w:p>
        </w:tc>
      </w:tr>
      <w:tr w:rsidR="00AA4661" w:rsidRPr="00F8728A" w:rsidTr="00B155A6">
        <w:trPr>
          <w:trHeight w:val="300"/>
        </w:trPr>
        <w:tc>
          <w:tcPr>
            <w:tcW w:w="6096" w:type="dxa"/>
            <w:shd w:val="clear" w:color="auto" w:fill="FFFFFF"/>
            <w:noWrap/>
          </w:tcPr>
          <w:p w:rsidR="00AA4661" w:rsidRPr="00F8728A" w:rsidRDefault="00AA4661" w:rsidP="00212CDB">
            <w:pPr>
              <w:spacing w:before="40" w:after="40"/>
              <w:ind w:firstLineChars="400" w:firstLine="880"/>
              <w:rPr>
                <w:rFonts w:ascii="Calibri" w:hAnsi="Calibri" w:cs="Calibri"/>
                <w:b/>
                <w:bCs/>
                <w:color w:val="000000"/>
                <w:sz w:val="22"/>
                <w:lang w:eastAsia="bg-BG"/>
              </w:rPr>
            </w:pPr>
            <w:r w:rsidRPr="00F8728A">
              <w:rPr>
                <w:rFonts w:ascii="Calibri" w:hAnsi="Calibri" w:cs="Calibri"/>
                <w:bCs/>
                <w:color w:val="000000"/>
                <w:sz w:val="22"/>
                <w:lang w:eastAsia="bg-BG"/>
              </w:rPr>
              <w:t>В села</w:t>
            </w:r>
          </w:p>
        </w:tc>
        <w:tc>
          <w:tcPr>
            <w:tcW w:w="1417"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241</w:t>
            </w:r>
          </w:p>
        </w:tc>
        <w:tc>
          <w:tcPr>
            <w:tcW w:w="1559"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22,00</w:t>
            </w:r>
          </w:p>
        </w:tc>
      </w:tr>
      <w:tr w:rsidR="00AA4661" w:rsidRPr="00F8728A" w:rsidTr="00B155A6">
        <w:trPr>
          <w:trHeight w:val="300"/>
        </w:trPr>
        <w:tc>
          <w:tcPr>
            <w:tcW w:w="6096" w:type="dxa"/>
            <w:shd w:val="clear" w:color="auto" w:fill="FFFFFF"/>
            <w:noWrap/>
          </w:tcPr>
          <w:p w:rsidR="00AA4661" w:rsidRPr="00F8728A" w:rsidRDefault="00AA4661" w:rsidP="00212CDB">
            <w:pPr>
              <w:spacing w:before="40" w:after="40"/>
              <w:ind w:firstLineChars="400" w:firstLine="880"/>
              <w:rPr>
                <w:rFonts w:ascii="Calibri" w:hAnsi="Calibri" w:cs="Calibri"/>
                <w:b/>
                <w:bCs/>
                <w:color w:val="000000"/>
                <w:sz w:val="22"/>
                <w:lang w:eastAsia="bg-BG"/>
              </w:rPr>
            </w:pPr>
            <w:r w:rsidRPr="00F8728A">
              <w:rPr>
                <w:rFonts w:ascii="Calibri" w:hAnsi="Calibri" w:cs="Calibri"/>
                <w:bCs/>
                <w:color w:val="000000"/>
                <w:sz w:val="22"/>
                <w:lang w:eastAsia="bg-BG"/>
              </w:rPr>
              <w:t>В  курортни и вилни селища</w:t>
            </w:r>
          </w:p>
        </w:tc>
        <w:tc>
          <w:tcPr>
            <w:tcW w:w="1417"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21</w:t>
            </w:r>
          </w:p>
        </w:tc>
        <w:tc>
          <w:tcPr>
            <w:tcW w:w="1559"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1,16</w:t>
            </w:r>
          </w:p>
        </w:tc>
      </w:tr>
      <w:tr w:rsidR="00AA4661" w:rsidRPr="00F8728A" w:rsidTr="00B155A6">
        <w:trPr>
          <w:trHeight w:val="300"/>
        </w:trPr>
        <w:tc>
          <w:tcPr>
            <w:tcW w:w="6096" w:type="dxa"/>
            <w:shd w:val="clear" w:color="auto" w:fill="EAF1DD"/>
            <w:noWrap/>
          </w:tcPr>
          <w:p w:rsidR="00AA4661" w:rsidRPr="00F8728A" w:rsidRDefault="00AA4661" w:rsidP="00B155A6">
            <w:pPr>
              <w:spacing w:before="40" w:after="40"/>
              <w:rPr>
                <w:rFonts w:ascii="Calibri" w:hAnsi="Calibri" w:cs="Calibri"/>
                <w:b/>
                <w:bCs/>
                <w:color w:val="000000"/>
                <w:sz w:val="22"/>
                <w:lang w:eastAsia="bg-BG"/>
              </w:rPr>
            </w:pPr>
            <w:r w:rsidRPr="00F8728A">
              <w:rPr>
                <w:rFonts w:ascii="Calibri" w:hAnsi="Calibri" w:cs="Calibri"/>
                <w:b/>
                <w:bCs/>
                <w:color w:val="000000"/>
                <w:sz w:val="22"/>
                <w:lang w:eastAsia="bg-BG"/>
              </w:rPr>
              <w:t>Периодично активни</w:t>
            </w:r>
          </w:p>
        </w:tc>
        <w:tc>
          <w:tcPr>
            <w:tcW w:w="1417" w:type="dxa"/>
            <w:shd w:val="clear" w:color="auto" w:fill="EAF1DD"/>
            <w:noWrap/>
          </w:tcPr>
          <w:p w:rsidR="00AA4661" w:rsidRPr="00F8728A" w:rsidRDefault="00AA4661" w:rsidP="00B155A6">
            <w:pPr>
              <w:spacing w:before="40" w:after="40"/>
              <w:rPr>
                <w:rFonts w:ascii="Calibri" w:hAnsi="Calibri" w:cs="Calibri"/>
                <w:color w:val="000000"/>
                <w:sz w:val="22"/>
                <w:lang w:eastAsia="bg-BG"/>
              </w:rPr>
            </w:pPr>
            <w:r w:rsidRPr="00F8728A">
              <w:rPr>
                <w:rFonts w:ascii="Calibri" w:hAnsi="Calibri" w:cs="Calibri"/>
                <w:color w:val="000000"/>
                <w:sz w:val="22"/>
                <w:lang w:eastAsia="bg-BG"/>
              </w:rPr>
              <w:t> </w:t>
            </w:r>
          </w:p>
        </w:tc>
        <w:tc>
          <w:tcPr>
            <w:tcW w:w="1559" w:type="dxa"/>
            <w:shd w:val="clear" w:color="auto" w:fill="EAF1DD"/>
            <w:noWrap/>
          </w:tcPr>
          <w:p w:rsidR="00AA4661" w:rsidRPr="00F8728A" w:rsidRDefault="00AA4661" w:rsidP="00B155A6">
            <w:pPr>
              <w:spacing w:before="40" w:after="40"/>
              <w:rPr>
                <w:rFonts w:ascii="Calibri" w:hAnsi="Calibri" w:cs="Calibri"/>
                <w:color w:val="000000"/>
                <w:sz w:val="22"/>
                <w:lang w:eastAsia="bg-BG"/>
              </w:rPr>
            </w:pPr>
            <w:r w:rsidRPr="00F8728A">
              <w:rPr>
                <w:rFonts w:ascii="Calibri" w:hAnsi="Calibri" w:cs="Calibri"/>
                <w:color w:val="000000"/>
                <w:sz w:val="22"/>
                <w:lang w:eastAsia="bg-BG"/>
              </w:rPr>
              <w:t> </w:t>
            </w:r>
          </w:p>
        </w:tc>
      </w:tr>
      <w:tr w:rsidR="00AA4661" w:rsidRPr="00F8728A" w:rsidTr="00B155A6">
        <w:trPr>
          <w:trHeight w:val="300"/>
        </w:trPr>
        <w:tc>
          <w:tcPr>
            <w:tcW w:w="6096" w:type="dxa"/>
            <w:shd w:val="clear" w:color="auto" w:fill="FFFFFF"/>
            <w:noWrap/>
          </w:tcPr>
          <w:p w:rsidR="00AA4661" w:rsidRPr="00F8728A" w:rsidRDefault="00AA4661" w:rsidP="00C15499">
            <w:pPr>
              <w:spacing w:before="40" w:after="40"/>
              <w:ind w:firstLineChars="200" w:firstLine="442"/>
              <w:rPr>
                <w:rFonts w:ascii="Calibri" w:hAnsi="Calibri" w:cs="Calibri"/>
                <w:b/>
                <w:bCs/>
                <w:color w:val="000000"/>
                <w:sz w:val="22"/>
                <w:lang w:eastAsia="bg-BG"/>
              </w:rPr>
            </w:pPr>
            <w:r w:rsidRPr="00F8728A">
              <w:rPr>
                <w:rFonts w:ascii="Calibri" w:hAnsi="Calibri" w:cs="Calibri"/>
                <w:b/>
                <w:bCs/>
                <w:color w:val="000000"/>
                <w:sz w:val="22"/>
                <w:lang w:eastAsia="bg-BG"/>
              </w:rPr>
              <w:t>Общо за урбанизираните територии</w:t>
            </w:r>
          </w:p>
        </w:tc>
        <w:tc>
          <w:tcPr>
            <w:tcW w:w="1417" w:type="dxa"/>
            <w:noWrap/>
          </w:tcPr>
          <w:p w:rsidR="00AA4661" w:rsidRPr="00F8728A" w:rsidRDefault="00AA4661" w:rsidP="00B155A6">
            <w:pPr>
              <w:spacing w:before="40" w:after="40"/>
              <w:jc w:val="right"/>
              <w:rPr>
                <w:rFonts w:ascii="Calibri" w:hAnsi="Calibri" w:cs="Calibri"/>
                <w:b/>
                <w:bCs/>
                <w:color w:val="000000"/>
                <w:sz w:val="22"/>
                <w:lang w:eastAsia="bg-BG"/>
              </w:rPr>
            </w:pPr>
            <w:r w:rsidRPr="00F8728A">
              <w:rPr>
                <w:rFonts w:ascii="Calibri" w:hAnsi="Calibri" w:cs="Calibri"/>
                <w:b/>
                <w:bCs/>
                <w:color w:val="000000"/>
                <w:sz w:val="22"/>
                <w:lang w:eastAsia="bg-BG"/>
              </w:rPr>
              <w:t>9</w:t>
            </w:r>
          </w:p>
        </w:tc>
        <w:tc>
          <w:tcPr>
            <w:tcW w:w="1559" w:type="dxa"/>
            <w:noWrap/>
          </w:tcPr>
          <w:p w:rsidR="00AA4661" w:rsidRPr="00F8728A" w:rsidRDefault="00AA4661" w:rsidP="00B155A6">
            <w:pPr>
              <w:spacing w:before="40" w:after="40"/>
              <w:jc w:val="right"/>
              <w:rPr>
                <w:rFonts w:ascii="Calibri" w:hAnsi="Calibri" w:cs="Calibri"/>
                <w:b/>
                <w:bCs/>
                <w:color w:val="000000"/>
                <w:sz w:val="22"/>
                <w:lang w:eastAsia="bg-BG"/>
              </w:rPr>
            </w:pPr>
            <w:r w:rsidRPr="00F8728A">
              <w:rPr>
                <w:rFonts w:ascii="Calibri" w:hAnsi="Calibri" w:cs="Calibri"/>
                <w:b/>
                <w:bCs/>
                <w:color w:val="000000"/>
                <w:sz w:val="22"/>
                <w:lang w:eastAsia="bg-BG"/>
              </w:rPr>
              <w:t>0,02</w:t>
            </w:r>
          </w:p>
        </w:tc>
      </w:tr>
      <w:tr w:rsidR="00AA4661" w:rsidRPr="00F8728A" w:rsidTr="00B155A6">
        <w:trPr>
          <w:trHeight w:val="300"/>
        </w:trPr>
        <w:tc>
          <w:tcPr>
            <w:tcW w:w="6096" w:type="dxa"/>
            <w:shd w:val="clear" w:color="auto" w:fill="FFFFFF"/>
            <w:noWrap/>
          </w:tcPr>
          <w:p w:rsidR="00AA4661" w:rsidRPr="00F8728A" w:rsidRDefault="00AA4661" w:rsidP="00212CDB">
            <w:pPr>
              <w:spacing w:before="40" w:after="40"/>
              <w:ind w:firstLineChars="400" w:firstLine="880"/>
              <w:rPr>
                <w:rFonts w:ascii="Calibri" w:hAnsi="Calibri" w:cs="Calibri"/>
                <w:b/>
                <w:bCs/>
                <w:color w:val="000000"/>
                <w:sz w:val="22"/>
                <w:lang w:eastAsia="bg-BG"/>
              </w:rPr>
            </w:pPr>
            <w:r w:rsidRPr="00F8728A">
              <w:rPr>
                <w:rFonts w:ascii="Calibri" w:hAnsi="Calibri" w:cs="Calibri"/>
                <w:bCs/>
                <w:color w:val="000000"/>
                <w:sz w:val="22"/>
                <w:lang w:eastAsia="bg-BG"/>
              </w:rPr>
              <w:t>В градове</w:t>
            </w:r>
          </w:p>
        </w:tc>
        <w:tc>
          <w:tcPr>
            <w:tcW w:w="1417"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8</w:t>
            </w:r>
          </w:p>
        </w:tc>
        <w:tc>
          <w:tcPr>
            <w:tcW w:w="1559"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0,01</w:t>
            </w:r>
          </w:p>
        </w:tc>
      </w:tr>
      <w:tr w:rsidR="00AA4661" w:rsidRPr="00F8728A" w:rsidTr="00B155A6">
        <w:trPr>
          <w:trHeight w:val="300"/>
        </w:trPr>
        <w:tc>
          <w:tcPr>
            <w:tcW w:w="6096" w:type="dxa"/>
            <w:shd w:val="clear" w:color="auto" w:fill="FFFFFF"/>
            <w:noWrap/>
          </w:tcPr>
          <w:p w:rsidR="00AA4661" w:rsidRPr="00F8728A" w:rsidRDefault="00AA4661" w:rsidP="00212CDB">
            <w:pPr>
              <w:spacing w:before="40" w:after="40"/>
              <w:ind w:firstLineChars="400" w:firstLine="880"/>
              <w:rPr>
                <w:rFonts w:ascii="Calibri" w:hAnsi="Calibri" w:cs="Calibri"/>
                <w:b/>
                <w:bCs/>
                <w:color w:val="000000"/>
                <w:sz w:val="22"/>
                <w:lang w:eastAsia="bg-BG"/>
              </w:rPr>
            </w:pPr>
            <w:r w:rsidRPr="00F8728A">
              <w:rPr>
                <w:rFonts w:ascii="Calibri" w:hAnsi="Calibri" w:cs="Calibri"/>
                <w:bCs/>
                <w:color w:val="000000"/>
                <w:sz w:val="22"/>
                <w:lang w:eastAsia="bg-BG"/>
              </w:rPr>
              <w:t>В села</w:t>
            </w:r>
          </w:p>
        </w:tc>
        <w:tc>
          <w:tcPr>
            <w:tcW w:w="1417"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1</w:t>
            </w:r>
          </w:p>
        </w:tc>
        <w:tc>
          <w:tcPr>
            <w:tcW w:w="1559"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0,00</w:t>
            </w:r>
          </w:p>
        </w:tc>
      </w:tr>
      <w:tr w:rsidR="00AA4661" w:rsidRPr="00F8728A" w:rsidTr="00B155A6">
        <w:trPr>
          <w:trHeight w:val="315"/>
        </w:trPr>
        <w:tc>
          <w:tcPr>
            <w:tcW w:w="6096" w:type="dxa"/>
            <w:shd w:val="clear" w:color="auto" w:fill="FFFFFF"/>
            <w:noWrap/>
          </w:tcPr>
          <w:p w:rsidR="00AA4661" w:rsidRPr="00F8728A" w:rsidRDefault="00AA4661" w:rsidP="00212CDB">
            <w:pPr>
              <w:spacing w:before="40" w:after="40"/>
              <w:ind w:firstLineChars="400" w:firstLine="880"/>
              <w:rPr>
                <w:rFonts w:ascii="Calibri" w:hAnsi="Calibri" w:cs="Calibri"/>
                <w:b/>
                <w:bCs/>
                <w:color w:val="000000"/>
                <w:sz w:val="22"/>
                <w:lang w:eastAsia="bg-BG"/>
              </w:rPr>
            </w:pPr>
            <w:r w:rsidRPr="00F8728A">
              <w:rPr>
                <w:rFonts w:ascii="Calibri" w:hAnsi="Calibri" w:cs="Calibri"/>
                <w:bCs/>
                <w:color w:val="000000"/>
                <w:sz w:val="22"/>
                <w:lang w:eastAsia="bg-BG"/>
              </w:rPr>
              <w:t>В курортни и вилни селища</w:t>
            </w:r>
          </w:p>
        </w:tc>
        <w:tc>
          <w:tcPr>
            <w:tcW w:w="1417"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0</w:t>
            </w:r>
          </w:p>
        </w:tc>
        <w:tc>
          <w:tcPr>
            <w:tcW w:w="1559"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0,00</w:t>
            </w:r>
          </w:p>
        </w:tc>
      </w:tr>
    </w:tbl>
    <w:p w:rsidR="00AA4661" w:rsidRPr="00F8728A" w:rsidRDefault="00AA4661" w:rsidP="00AE0176">
      <w:pPr>
        <w:spacing w:before="60" w:after="200"/>
        <w:jc w:val="center"/>
        <w:rPr>
          <w:rFonts w:ascii="Calibri" w:hAnsi="Calibri" w:cs="Calibri"/>
          <w:i/>
          <w:sz w:val="22"/>
          <w:szCs w:val="20"/>
        </w:rPr>
      </w:pPr>
      <w:r w:rsidRPr="00F8728A">
        <w:rPr>
          <w:rFonts w:ascii="Calibri" w:hAnsi="Calibri" w:cs="Calibri"/>
          <w:i/>
          <w:szCs w:val="20"/>
        </w:rPr>
        <w:t>Източник: Министерство на регионалното развитие и благоустройството (данни) НЦТР (обработка на данните).</w:t>
      </w:r>
    </w:p>
    <w:p w:rsidR="00AA4661" w:rsidRPr="00F8728A" w:rsidRDefault="00AA4661" w:rsidP="00676435">
      <w:pPr>
        <w:widowControl w:val="0"/>
        <w:spacing w:after="0"/>
        <w:jc w:val="both"/>
        <w:rPr>
          <w:rFonts w:cs="Arial"/>
          <w:szCs w:val="20"/>
        </w:rPr>
      </w:pPr>
    </w:p>
    <w:p w:rsidR="00AA4661" w:rsidRPr="00F8728A" w:rsidRDefault="00AA4661">
      <w:pPr>
        <w:widowControl w:val="0"/>
        <w:spacing w:after="0"/>
        <w:rPr>
          <w:rFonts w:ascii="Calibri" w:hAnsi="Calibri"/>
          <w:b/>
          <w:color w:val="365F91"/>
          <w:sz w:val="28"/>
          <w:szCs w:val="26"/>
          <w:lang w:eastAsia="x-none"/>
        </w:rPr>
      </w:pPr>
      <w:bookmarkStart w:id="904" w:name="_Toc486246250"/>
      <w:bookmarkStart w:id="905" w:name="_Toc486942233"/>
      <w:bookmarkStart w:id="906" w:name="_Toc501454910"/>
      <w:r w:rsidRPr="00F8728A">
        <w:br w:type="page"/>
      </w:r>
    </w:p>
    <w:p w:rsidR="00AA4661" w:rsidRPr="00B73D7E" w:rsidRDefault="00AA4661" w:rsidP="00F56BE0">
      <w:pPr>
        <w:pStyle w:val="Heading2"/>
        <w:numPr>
          <w:ilvl w:val="0"/>
          <w:numId w:val="0"/>
        </w:numPr>
        <w:rPr>
          <w:lang w:val="bg-BG"/>
        </w:rPr>
      </w:pPr>
      <w:bookmarkStart w:id="907" w:name="_Toc522030619"/>
      <w:bookmarkStart w:id="908" w:name="_Toc529285604"/>
      <w:r w:rsidRPr="00B73D7E">
        <w:rPr>
          <w:lang w:val="bg-BG"/>
        </w:rPr>
        <w:t>Земетресения</w:t>
      </w:r>
      <w:bookmarkEnd w:id="907"/>
      <w:bookmarkEnd w:id="908"/>
      <w:r w:rsidRPr="00B73D7E">
        <w:rPr>
          <w:lang w:val="bg-BG"/>
        </w:rPr>
        <w:t xml:space="preserve"> </w:t>
      </w:r>
      <w:bookmarkEnd w:id="904"/>
      <w:bookmarkEnd w:id="905"/>
      <w:bookmarkEnd w:id="906"/>
    </w:p>
    <w:p w:rsidR="00AA4661" w:rsidRPr="008E7DAC" w:rsidRDefault="00AA4661" w:rsidP="00B73D7E">
      <w:pPr>
        <w:pStyle w:val="FiguresTablesCaption"/>
      </w:pPr>
      <w:bookmarkStart w:id="909" w:name="_Toc529286655"/>
      <w:r w:rsidRPr="008E7DAC">
        <w:t xml:space="preserve">Таблица </w:t>
      </w:r>
      <w:r w:rsidRPr="008E7DAC">
        <w:fldChar w:fldCharType="begin"/>
      </w:r>
      <w:r w:rsidRPr="008E7DAC">
        <w:instrText xml:space="preserve"> SEQ Table \* ARABIC </w:instrText>
      </w:r>
      <w:r w:rsidRPr="008E7DAC">
        <w:fldChar w:fldCharType="separate"/>
      </w:r>
      <w:r w:rsidR="004E6834" w:rsidRPr="00B73D7E">
        <w:t>28</w:t>
      </w:r>
      <w:r w:rsidRPr="008E7DAC">
        <w:fldChar w:fldCharType="end"/>
      </w:r>
      <w:r w:rsidRPr="008E7DAC">
        <w:t>. Земетресения – по области: обобщение за периода 2010–2015 г.</w:t>
      </w:r>
      <w:bookmarkEnd w:id="909"/>
    </w:p>
    <w:tbl>
      <w:tblPr>
        <w:tblW w:w="8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0" w:type="dxa"/>
          <w:right w:w="70" w:type="dxa"/>
        </w:tblCellMar>
        <w:tblLook w:val="00A0" w:firstRow="1" w:lastRow="0" w:firstColumn="1" w:lastColumn="0" w:noHBand="0" w:noVBand="0"/>
      </w:tblPr>
      <w:tblGrid>
        <w:gridCol w:w="2135"/>
        <w:gridCol w:w="1571"/>
        <w:gridCol w:w="1572"/>
        <w:gridCol w:w="1572"/>
        <w:gridCol w:w="2140"/>
      </w:tblGrid>
      <w:tr w:rsidR="00AA4661" w:rsidRPr="00F8728A" w:rsidTr="00FA5865">
        <w:trPr>
          <w:jc w:val="center"/>
        </w:trPr>
        <w:tc>
          <w:tcPr>
            <w:tcW w:w="2135" w:type="dxa"/>
            <w:shd w:val="clear" w:color="000000" w:fill="244061"/>
            <w:vAlign w:val="center"/>
          </w:tcPr>
          <w:p w:rsidR="00AA4661" w:rsidRPr="00F8728A" w:rsidRDefault="00AA4661" w:rsidP="0050582F">
            <w:pPr>
              <w:spacing w:after="0"/>
              <w:jc w:val="center"/>
              <w:rPr>
                <w:rFonts w:ascii="Calibri" w:hAnsi="Calibri" w:cs="Calibri"/>
                <w:b/>
                <w:color w:val="FFFFFF"/>
                <w:szCs w:val="20"/>
              </w:rPr>
            </w:pPr>
            <w:r w:rsidRPr="00F8728A">
              <w:rPr>
                <w:rFonts w:ascii="Calibri" w:hAnsi="Calibri" w:cs="Calibri"/>
                <w:b/>
                <w:color w:val="FFFFFF"/>
                <w:szCs w:val="20"/>
              </w:rPr>
              <w:t>Области</w:t>
            </w:r>
          </w:p>
        </w:tc>
        <w:tc>
          <w:tcPr>
            <w:tcW w:w="1571" w:type="dxa"/>
            <w:shd w:val="clear" w:color="000000" w:fill="244061"/>
            <w:vAlign w:val="center"/>
          </w:tcPr>
          <w:p w:rsidR="00AA4661" w:rsidRPr="00F8728A" w:rsidRDefault="00AA4661" w:rsidP="0050582F">
            <w:pPr>
              <w:spacing w:after="0"/>
              <w:jc w:val="center"/>
              <w:rPr>
                <w:rFonts w:ascii="Calibri" w:hAnsi="Calibri" w:cs="Calibri"/>
                <w:b/>
                <w:color w:val="FFFFFF"/>
                <w:szCs w:val="20"/>
              </w:rPr>
            </w:pPr>
            <w:r w:rsidRPr="00F8728A">
              <w:rPr>
                <w:rFonts w:ascii="Calibri" w:hAnsi="Calibri" w:cs="Calibri"/>
                <w:b/>
                <w:color w:val="FFFFFF"/>
                <w:szCs w:val="20"/>
              </w:rPr>
              <w:t>Брой земетресения</w:t>
            </w:r>
          </w:p>
        </w:tc>
        <w:tc>
          <w:tcPr>
            <w:tcW w:w="1572" w:type="dxa"/>
            <w:shd w:val="clear" w:color="000000" w:fill="244061"/>
            <w:vAlign w:val="center"/>
          </w:tcPr>
          <w:p w:rsidR="00AA4661" w:rsidRPr="00F8728A" w:rsidRDefault="00AA4661" w:rsidP="0050582F">
            <w:pPr>
              <w:spacing w:after="0"/>
              <w:jc w:val="center"/>
              <w:rPr>
                <w:rFonts w:ascii="Calibri" w:hAnsi="Calibri" w:cs="Calibri"/>
                <w:b/>
                <w:color w:val="FFFFFF"/>
                <w:szCs w:val="20"/>
              </w:rPr>
            </w:pPr>
            <w:r w:rsidRPr="00F8728A">
              <w:rPr>
                <w:rFonts w:ascii="Calibri" w:hAnsi="Calibri" w:cs="Calibri"/>
                <w:b/>
                <w:color w:val="FFFFFF"/>
                <w:szCs w:val="20"/>
              </w:rPr>
              <w:t>Щети, хил. лв</w:t>
            </w:r>
          </w:p>
        </w:tc>
        <w:tc>
          <w:tcPr>
            <w:tcW w:w="1572" w:type="dxa"/>
            <w:shd w:val="clear" w:color="000000" w:fill="244061"/>
            <w:vAlign w:val="center"/>
          </w:tcPr>
          <w:p w:rsidR="00AA4661" w:rsidRPr="00F8728A" w:rsidRDefault="00AA4661" w:rsidP="0050582F">
            <w:pPr>
              <w:spacing w:after="0"/>
              <w:jc w:val="center"/>
              <w:rPr>
                <w:rFonts w:ascii="Calibri" w:hAnsi="Calibri" w:cs="Calibri"/>
                <w:b/>
                <w:color w:val="FFFFFF"/>
                <w:szCs w:val="20"/>
              </w:rPr>
            </w:pPr>
            <w:r w:rsidRPr="00F8728A">
              <w:rPr>
                <w:rFonts w:ascii="Calibri" w:hAnsi="Calibri" w:cs="Calibri"/>
                <w:b/>
                <w:color w:val="FFFFFF"/>
                <w:szCs w:val="20"/>
              </w:rPr>
              <w:t>Разходи за възстановяване, хил. лв</w:t>
            </w:r>
          </w:p>
        </w:tc>
        <w:tc>
          <w:tcPr>
            <w:tcW w:w="2140" w:type="dxa"/>
            <w:shd w:val="clear" w:color="000000" w:fill="244061"/>
            <w:vAlign w:val="center"/>
          </w:tcPr>
          <w:p w:rsidR="00AA4661" w:rsidRPr="00F8728A" w:rsidRDefault="00AA4661" w:rsidP="0050582F">
            <w:pPr>
              <w:spacing w:after="0"/>
              <w:jc w:val="center"/>
              <w:rPr>
                <w:rFonts w:ascii="Calibri" w:hAnsi="Calibri" w:cs="Calibri"/>
                <w:b/>
                <w:color w:val="FFFFFF"/>
                <w:szCs w:val="20"/>
              </w:rPr>
            </w:pPr>
            <w:r w:rsidRPr="00F8728A">
              <w:rPr>
                <w:rFonts w:ascii="Calibri" w:hAnsi="Calibri" w:cs="Calibri"/>
                <w:b/>
                <w:color w:val="FFFFFF"/>
                <w:szCs w:val="20"/>
              </w:rPr>
              <w:t>Разходи за спасяване и извънредни работи, хил. лв</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b/>
                <w:color w:val="000000"/>
                <w:szCs w:val="20"/>
              </w:rPr>
            </w:pPr>
            <w:r w:rsidRPr="00F8728A">
              <w:rPr>
                <w:rFonts w:ascii="Calibri" w:hAnsi="Calibri" w:cs="Calibri"/>
                <w:b/>
                <w:color w:val="000000"/>
                <w:szCs w:val="20"/>
              </w:rPr>
              <w:t>Земетресения – общо</w:t>
            </w:r>
          </w:p>
        </w:tc>
        <w:tc>
          <w:tcPr>
            <w:tcW w:w="1571" w:type="dxa"/>
            <w:vAlign w:val="bottom"/>
          </w:tcPr>
          <w:p w:rsidR="00AA4661" w:rsidRPr="00F8728A" w:rsidRDefault="00AA4661" w:rsidP="0050582F">
            <w:pPr>
              <w:spacing w:after="0"/>
              <w:jc w:val="right"/>
              <w:rPr>
                <w:rFonts w:ascii="Calibri" w:hAnsi="Calibri" w:cs="Calibri"/>
                <w:b/>
                <w:color w:val="000000"/>
                <w:szCs w:val="20"/>
              </w:rPr>
            </w:pPr>
            <w:r w:rsidRPr="00F8728A">
              <w:rPr>
                <w:rFonts w:ascii="Calibri" w:hAnsi="Calibri" w:cs="Calibri"/>
                <w:b/>
                <w:color w:val="000000"/>
                <w:szCs w:val="20"/>
              </w:rPr>
              <w:t>49</w:t>
            </w:r>
          </w:p>
        </w:tc>
        <w:tc>
          <w:tcPr>
            <w:tcW w:w="1572" w:type="dxa"/>
            <w:vAlign w:val="bottom"/>
          </w:tcPr>
          <w:p w:rsidR="00AA4661" w:rsidRPr="00F8728A" w:rsidRDefault="00AA4661" w:rsidP="0050582F">
            <w:pPr>
              <w:spacing w:after="0"/>
              <w:jc w:val="right"/>
              <w:rPr>
                <w:rFonts w:ascii="Calibri" w:hAnsi="Calibri" w:cs="Calibri"/>
                <w:b/>
                <w:color w:val="000000"/>
                <w:szCs w:val="20"/>
              </w:rPr>
            </w:pPr>
            <w:r w:rsidRPr="00F8728A">
              <w:rPr>
                <w:rFonts w:ascii="Calibri" w:hAnsi="Calibri" w:cs="Calibri"/>
                <w:b/>
                <w:color w:val="000000"/>
                <w:szCs w:val="20"/>
              </w:rPr>
              <w:t>60</w:t>
            </w:r>
            <w:r w:rsidR="004C4282">
              <w:rPr>
                <w:rFonts w:ascii="Calibri" w:hAnsi="Calibri" w:cs="Calibri"/>
                <w:b/>
                <w:color w:val="000000"/>
                <w:szCs w:val="20"/>
              </w:rPr>
              <w:t xml:space="preserve"> </w:t>
            </w:r>
            <w:r w:rsidRPr="00F8728A">
              <w:rPr>
                <w:rFonts w:ascii="Calibri" w:hAnsi="Calibri" w:cs="Calibri"/>
                <w:b/>
                <w:color w:val="000000"/>
                <w:szCs w:val="20"/>
              </w:rPr>
              <w:t>238</w:t>
            </w:r>
          </w:p>
        </w:tc>
        <w:tc>
          <w:tcPr>
            <w:tcW w:w="1572" w:type="dxa"/>
            <w:vAlign w:val="bottom"/>
          </w:tcPr>
          <w:p w:rsidR="00AA4661" w:rsidRPr="00F8728A" w:rsidRDefault="00AA4661" w:rsidP="0050582F">
            <w:pPr>
              <w:spacing w:after="0"/>
              <w:jc w:val="right"/>
              <w:rPr>
                <w:rFonts w:ascii="Calibri" w:hAnsi="Calibri" w:cs="Calibri"/>
                <w:b/>
                <w:color w:val="000000"/>
                <w:szCs w:val="20"/>
              </w:rPr>
            </w:pPr>
            <w:r w:rsidRPr="00F8728A">
              <w:rPr>
                <w:rFonts w:ascii="Calibri" w:hAnsi="Calibri" w:cs="Calibri"/>
                <w:b/>
                <w:color w:val="000000"/>
                <w:szCs w:val="20"/>
              </w:rPr>
              <w:t>20</w:t>
            </w:r>
            <w:r w:rsidR="004C4282">
              <w:rPr>
                <w:rFonts w:ascii="Calibri" w:hAnsi="Calibri" w:cs="Calibri"/>
                <w:b/>
                <w:color w:val="000000"/>
                <w:szCs w:val="20"/>
              </w:rPr>
              <w:t xml:space="preserve"> </w:t>
            </w:r>
            <w:r w:rsidRPr="00F8728A">
              <w:rPr>
                <w:rFonts w:ascii="Calibri" w:hAnsi="Calibri" w:cs="Calibri"/>
                <w:b/>
                <w:color w:val="000000"/>
                <w:szCs w:val="20"/>
              </w:rPr>
              <w:t>042</w:t>
            </w:r>
          </w:p>
        </w:tc>
        <w:tc>
          <w:tcPr>
            <w:tcW w:w="2140" w:type="dxa"/>
            <w:vAlign w:val="bottom"/>
          </w:tcPr>
          <w:p w:rsidR="00AA4661" w:rsidRPr="00F8728A" w:rsidRDefault="00AA4661" w:rsidP="0050582F">
            <w:pPr>
              <w:spacing w:after="0"/>
              <w:jc w:val="right"/>
              <w:rPr>
                <w:rFonts w:ascii="Calibri" w:hAnsi="Calibri" w:cs="Calibri"/>
                <w:b/>
                <w:color w:val="000000"/>
                <w:szCs w:val="20"/>
              </w:rPr>
            </w:pPr>
            <w:r w:rsidRPr="00F8728A">
              <w:rPr>
                <w:rFonts w:ascii="Calibri" w:hAnsi="Calibri" w:cs="Calibri"/>
                <w:b/>
                <w:color w:val="000000"/>
                <w:szCs w:val="20"/>
              </w:rPr>
              <w:t>15</w:t>
            </w:r>
            <w:r w:rsidR="004C4282">
              <w:rPr>
                <w:rFonts w:ascii="Calibri" w:hAnsi="Calibri" w:cs="Calibri"/>
                <w:b/>
                <w:color w:val="000000"/>
                <w:szCs w:val="20"/>
              </w:rPr>
              <w:t xml:space="preserve"> </w:t>
            </w:r>
            <w:r w:rsidRPr="00F8728A">
              <w:rPr>
                <w:rFonts w:ascii="Calibri" w:hAnsi="Calibri" w:cs="Calibri"/>
                <w:b/>
                <w:color w:val="000000"/>
                <w:szCs w:val="20"/>
              </w:rPr>
              <w:t>238</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Благоевград</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Бургас</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Варна</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6</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386</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442</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Велико Търново</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Видин</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Враца</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Габрово</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Добрич</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358</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Кърджали</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Кюстендил</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Ловеч</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Монтана</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3</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Пазарджик</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7</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w:t>
            </w:r>
            <w:r w:rsidR="004C4282">
              <w:rPr>
                <w:rFonts w:ascii="Calibri" w:hAnsi="Calibri" w:cs="Calibri"/>
                <w:color w:val="000000"/>
                <w:szCs w:val="20"/>
              </w:rPr>
              <w:t xml:space="preserve"> </w:t>
            </w:r>
            <w:r w:rsidRPr="00F8728A">
              <w:rPr>
                <w:rFonts w:ascii="Calibri" w:hAnsi="Calibri" w:cs="Calibri"/>
                <w:color w:val="000000"/>
                <w:szCs w:val="20"/>
              </w:rPr>
              <w:t>000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Перник</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9</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52</w:t>
            </w:r>
            <w:r w:rsidR="004C4282">
              <w:rPr>
                <w:rFonts w:ascii="Calibri" w:hAnsi="Calibri" w:cs="Calibri"/>
                <w:color w:val="000000"/>
                <w:szCs w:val="20"/>
              </w:rPr>
              <w:t xml:space="preserve"> </w:t>
            </w:r>
            <w:r w:rsidRPr="00F8728A">
              <w:rPr>
                <w:rFonts w:ascii="Calibri" w:hAnsi="Calibri" w:cs="Calibri"/>
                <w:color w:val="000000"/>
                <w:szCs w:val="20"/>
              </w:rPr>
              <w:t>379</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17</w:t>
            </w:r>
            <w:r w:rsidR="004C4282">
              <w:rPr>
                <w:rFonts w:ascii="Calibri" w:hAnsi="Calibri" w:cs="Calibri"/>
                <w:color w:val="000000"/>
                <w:szCs w:val="20"/>
              </w:rPr>
              <w:t xml:space="preserve"> </w:t>
            </w:r>
            <w:r w:rsidRPr="00F8728A">
              <w:rPr>
                <w:rFonts w:ascii="Calibri" w:hAnsi="Calibri" w:cs="Calibri"/>
                <w:color w:val="000000"/>
                <w:szCs w:val="20"/>
              </w:rPr>
              <w:t>179</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15</w:t>
            </w:r>
            <w:r w:rsidR="004C4282">
              <w:rPr>
                <w:rFonts w:ascii="Calibri" w:hAnsi="Calibri" w:cs="Calibri"/>
                <w:color w:val="000000"/>
                <w:szCs w:val="20"/>
              </w:rPr>
              <w:t xml:space="preserve"> </w:t>
            </w:r>
            <w:r w:rsidRPr="00F8728A">
              <w:rPr>
                <w:rFonts w:ascii="Calibri" w:hAnsi="Calibri" w:cs="Calibri"/>
                <w:color w:val="000000"/>
                <w:szCs w:val="20"/>
              </w:rPr>
              <w:t>238</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Плевен</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Пловдив</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Разград</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Русе</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Силистра</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Сливен</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6</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Смолян</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4</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София (Столична)</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3</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5</w:t>
            </w:r>
            <w:r w:rsidR="004C4282">
              <w:rPr>
                <w:rFonts w:ascii="Calibri" w:hAnsi="Calibri" w:cs="Calibri"/>
                <w:color w:val="000000"/>
                <w:szCs w:val="20"/>
              </w:rPr>
              <w:t xml:space="preserve"> </w:t>
            </w:r>
            <w:r w:rsidRPr="00F8728A">
              <w:rPr>
                <w:rFonts w:ascii="Calibri" w:hAnsi="Calibri" w:cs="Calibri"/>
                <w:color w:val="000000"/>
                <w:szCs w:val="20"/>
              </w:rPr>
              <w:t>424</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w:t>
            </w:r>
            <w:r w:rsidR="004C4282">
              <w:rPr>
                <w:rFonts w:ascii="Calibri" w:hAnsi="Calibri" w:cs="Calibri"/>
                <w:color w:val="000000"/>
                <w:szCs w:val="20"/>
              </w:rPr>
              <w:t xml:space="preserve"> </w:t>
            </w:r>
            <w:r w:rsidRPr="00F8728A">
              <w:rPr>
                <w:rFonts w:ascii="Calibri" w:hAnsi="Calibri" w:cs="Calibri"/>
                <w:color w:val="000000"/>
                <w:szCs w:val="20"/>
              </w:rPr>
              <w:t>024</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 xml:space="preserve">София </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3</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43</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39</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Стара Загора</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Търговище</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Хасково</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Шумен</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Ямбол</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bl>
    <w:p w:rsidR="00AA4661" w:rsidRPr="00F8728A" w:rsidRDefault="00AA4661" w:rsidP="00045F19">
      <w:pPr>
        <w:pStyle w:val="Source"/>
        <w:jc w:val="center"/>
      </w:pPr>
      <w:r w:rsidRPr="00F8728A">
        <w:t>Източник: НСИ, 2017 г.</w:t>
      </w:r>
    </w:p>
    <w:p w:rsidR="00AA4661" w:rsidRPr="00F8728A" w:rsidRDefault="00AA4661" w:rsidP="00676435">
      <w:pPr>
        <w:spacing w:after="160" w:line="259" w:lineRule="auto"/>
        <w:jc w:val="both"/>
        <w:rPr>
          <w:rFonts w:cs="Arial"/>
          <w:szCs w:val="20"/>
        </w:rPr>
      </w:pPr>
    </w:p>
    <w:p w:rsidR="00AA4661" w:rsidRPr="00F8728A" w:rsidRDefault="00AA4661" w:rsidP="00B73D7E">
      <w:pPr>
        <w:pStyle w:val="FiguresTablesCaption"/>
      </w:pPr>
      <w:r w:rsidRPr="00F8728A">
        <w:br w:type="page"/>
      </w:r>
      <w:bookmarkStart w:id="910" w:name="_Toc506143787"/>
      <w:bookmarkStart w:id="911" w:name="_Toc529286512"/>
      <w:bookmarkStart w:id="912" w:name="_Toc529286587"/>
      <w:r w:rsidRPr="00F8728A">
        <w:t xml:space="preserve">Фигура </w:t>
      </w:r>
      <w:r w:rsidRPr="00F8728A">
        <w:fldChar w:fldCharType="begin"/>
      </w:r>
      <w:r w:rsidRPr="00F8728A">
        <w:instrText xml:space="preserve"> SEQ Figure \* ARABIC </w:instrText>
      </w:r>
      <w:r w:rsidRPr="00F8728A">
        <w:fldChar w:fldCharType="separate"/>
      </w:r>
      <w:r w:rsidR="004E6834" w:rsidRPr="00B73D7E">
        <w:t>37</w:t>
      </w:r>
      <w:r w:rsidRPr="00F8728A">
        <w:fldChar w:fldCharType="end"/>
      </w:r>
      <w:r w:rsidRPr="00F8728A">
        <w:t>. Характеристики на земетресеният</w:t>
      </w:r>
      <w:r w:rsidR="004E6834" w:rsidRPr="00F8728A">
        <w:t xml:space="preserve">а – </w:t>
      </w:r>
      <w:r w:rsidR="008E7DAC">
        <w:br/>
      </w:r>
      <w:r w:rsidR="004E6834" w:rsidRPr="00F8728A">
        <w:t>общо за страната за периода</w:t>
      </w:r>
      <w:r w:rsidR="008E7DAC">
        <w:t xml:space="preserve"> </w:t>
      </w:r>
      <w:r w:rsidRPr="00F8728A">
        <w:t>2010–2015 г.</w:t>
      </w:r>
      <w:bookmarkEnd w:id="910"/>
      <w:bookmarkEnd w:id="911"/>
      <w:bookmarkEnd w:id="912"/>
    </w:p>
    <w:p w:rsidR="00AA4661" w:rsidRPr="00F8728A" w:rsidRDefault="00084198" w:rsidP="0092391D">
      <w:pPr>
        <w:spacing w:after="0" w:line="259" w:lineRule="auto"/>
        <w:jc w:val="center"/>
        <w:rPr>
          <w:rFonts w:cs="Arial"/>
          <w:szCs w:val="20"/>
        </w:rPr>
      </w:pPr>
      <w:r w:rsidRPr="00B73D7E">
        <w:rPr>
          <w:rFonts w:cs="Arial"/>
          <w:noProof/>
          <w:szCs w:val="20"/>
          <w:lang w:val="en-US"/>
        </w:rPr>
        <w:drawing>
          <wp:inline distT="0" distB="0" distL="0" distR="0" wp14:anchorId="7E756F57" wp14:editId="7A3D4CEB">
            <wp:extent cx="5509260" cy="3055620"/>
            <wp:effectExtent l="19050" t="19050" r="0" b="0"/>
            <wp:docPr id="38"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509260" cy="3055620"/>
                    </a:xfrm>
                    <a:prstGeom prst="rect">
                      <a:avLst/>
                    </a:prstGeom>
                    <a:noFill/>
                    <a:ln w="6350" cmpd="sng">
                      <a:solidFill>
                        <a:srgbClr val="5B9BD5"/>
                      </a:solidFill>
                      <a:miter lim="800000"/>
                      <a:headEnd/>
                      <a:tailEnd/>
                    </a:ln>
                    <a:effectLst/>
                  </pic:spPr>
                </pic:pic>
              </a:graphicData>
            </a:graphic>
          </wp:inline>
        </w:drawing>
      </w:r>
    </w:p>
    <w:p w:rsidR="00AA4661" w:rsidRPr="00F8728A" w:rsidRDefault="00AA4661" w:rsidP="00045F19">
      <w:pPr>
        <w:pStyle w:val="Source"/>
        <w:jc w:val="center"/>
      </w:pPr>
      <w:r w:rsidRPr="00F8728A">
        <w:t>Източник: НСИ, 2017 г., НЦТР (обработка на данните и диаграма).</w:t>
      </w:r>
    </w:p>
    <w:p w:rsidR="00AA4661" w:rsidRPr="00F8728A" w:rsidRDefault="00AA4661" w:rsidP="00045F19">
      <w:pPr>
        <w:pStyle w:val="Source"/>
        <w:jc w:val="center"/>
      </w:pPr>
    </w:p>
    <w:p w:rsidR="00AA4661" w:rsidRPr="008E7DAC" w:rsidRDefault="00AA4661" w:rsidP="00B73D7E">
      <w:pPr>
        <w:pStyle w:val="FiguresTablesCaption"/>
      </w:pPr>
      <w:bookmarkStart w:id="913" w:name="_Toc506143788"/>
      <w:bookmarkStart w:id="914" w:name="_Toc529286513"/>
      <w:bookmarkStart w:id="915" w:name="_Toc529286588"/>
      <w:r w:rsidRPr="008E7DAC">
        <w:t xml:space="preserve">Фигура </w:t>
      </w:r>
      <w:r w:rsidRPr="008E7DAC">
        <w:fldChar w:fldCharType="begin"/>
      </w:r>
      <w:r w:rsidRPr="008E7DAC">
        <w:instrText xml:space="preserve"> SEQ Figure \* ARABIC </w:instrText>
      </w:r>
      <w:r w:rsidRPr="008E7DAC">
        <w:fldChar w:fldCharType="separate"/>
      </w:r>
      <w:r w:rsidR="004E6834" w:rsidRPr="00B73D7E">
        <w:t>38</w:t>
      </w:r>
      <w:r w:rsidRPr="008E7DAC">
        <w:fldChar w:fldCharType="end"/>
      </w:r>
      <w:r w:rsidRPr="008E7DAC">
        <w:t xml:space="preserve">. Характеристики на земетресенията – по области: </w:t>
      </w:r>
      <w:r w:rsidR="008E7DAC">
        <w:br/>
      </w:r>
      <w:r w:rsidRPr="008E7DAC">
        <w:t>обобщение за периода 2010–2015 г.</w:t>
      </w:r>
      <w:bookmarkEnd w:id="913"/>
      <w:bookmarkEnd w:id="914"/>
      <w:bookmarkEnd w:id="915"/>
    </w:p>
    <w:p w:rsidR="00AA4661" w:rsidRPr="00F8728A" w:rsidRDefault="00084198" w:rsidP="0092391D">
      <w:pPr>
        <w:spacing w:after="0" w:line="259" w:lineRule="auto"/>
        <w:jc w:val="center"/>
        <w:rPr>
          <w:rFonts w:cs="Arial"/>
          <w:szCs w:val="20"/>
        </w:rPr>
      </w:pPr>
      <w:r w:rsidRPr="00B73D7E">
        <w:rPr>
          <w:rFonts w:cs="Arial"/>
          <w:noProof/>
          <w:szCs w:val="20"/>
          <w:lang w:val="en-US"/>
        </w:rPr>
        <w:drawing>
          <wp:inline distT="0" distB="0" distL="0" distR="0" wp14:anchorId="049C41FF" wp14:editId="799C7ABF">
            <wp:extent cx="5706110" cy="3970020"/>
            <wp:effectExtent l="19050" t="19050" r="8890" b="0"/>
            <wp:docPr id="39"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143">
                      <a:extLst>
                        <a:ext uri="{28A0092B-C50C-407E-A947-70E740481C1C}">
                          <a14:useLocalDpi xmlns:a14="http://schemas.microsoft.com/office/drawing/2010/main" val="0"/>
                        </a:ext>
                      </a:extLst>
                    </a:blip>
                    <a:srcRect l="441" t="1248" r="529" b="1372"/>
                    <a:stretch>
                      <a:fillRect/>
                    </a:stretch>
                  </pic:blipFill>
                  <pic:spPr bwMode="auto">
                    <a:xfrm>
                      <a:off x="0" y="0"/>
                      <a:ext cx="5706110" cy="3970020"/>
                    </a:xfrm>
                    <a:prstGeom prst="rect">
                      <a:avLst/>
                    </a:prstGeom>
                    <a:noFill/>
                    <a:ln w="6350" cmpd="sng">
                      <a:solidFill>
                        <a:srgbClr val="5B9BD5"/>
                      </a:solidFill>
                      <a:miter lim="800000"/>
                      <a:headEnd/>
                      <a:tailEnd/>
                    </a:ln>
                    <a:effectLst/>
                  </pic:spPr>
                </pic:pic>
              </a:graphicData>
            </a:graphic>
          </wp:inline>
        </w:drawing>
      </w:r>
    </w:p>
    <w:p w:rsidR="00AA4661" w:rsidRPr="00F8728A" w:rsidRDefault="00AA4661" w:rsidP="00045F19">
      <w:pPr>
        <w:pStyle w:val="Source"/>
        <w:jc w:val="center"/>
      </w:pPr>
      <w:r w:rsidRPr="00F8728A">
        <w:t>Източник: НСИ, 2017 г., НЦТР (обработка на данните и карта).</w:t>
      </w:r>
    </w:p>
    <w:p w:rsidR="00AA4661" w:rsidRPr="00F8728A" w:rsidRDefault="00AA4661" w:rsidP="00676435">
      <w:pPr>
        <w:jc w:val="both"/>
        <w:rPr>
          <w:rFonts w:cs="Arial"/>
          <w:szCs w:val="20"/>
        </w:rPr>
        <w:sectPr w:rsidR="00AA4661" w:rsidRPr="00F8728A" w:rsidSect="003B7DC4">
          <w:pgSz w:w="11906" w:h="16838"/>
          <w:pgMar w:top="1417" w:right="1417" w:bottom="1417" w:left="1417" w:header="708" w:footer="708" w:gutter="0"/>
          <w:cols w:space="708"/>
          <w:docGrid w:linePitch="360"/>
        </w:sectPr>
      </w:pPr>
    </w:p>
    <w:p w:rsidR="00AA4661" w:rsidRPr="00B73D7E" w:rsidRDefault="00AA4661" w:rsidP="009E0A06">
      <w:pPr>
        <w:pStyle w:val="Heading2"/>
        <w:numPr>
          <w:ilvl w:val="0"/>
          <w:numId w:val="0"/>
        </w:numPr>
        <w:spacing w:before="0"/>
        <w:rPr>
          <w:lang w:val="bg-BG"/>
        </w:rPr>
      </w:pPr>
      <w:bookmarkStart w:id="916" w:name="_Toc486246251"/>
      <w:bookmarkStart w:id="917" w:name="_Toc486942234"/>
      <w:bookmarkStart w:id="918" w:name="_Toc501454911"/>
      <w:bookmarkStart w:id="919" w:name="_Toc522030620"/>
      <w:bookmarkStart w:id="920" w:name="_Toc529285605"/>
      <w:r w:rsidRPr="00B73D7E">
        <w:rPr>
          <w:lang w:val="bg-BG"/>
        </w:rPr>
        <w:t>Потенциален сеизмичен риск</w:t>
      </w:r>
      <w:bookmarkEnd w:id="916"/>
      <w:bookmarkEnd w:id="917"/>
      <w:bookmarkEnd w:id="918"/>
      <w:bookmarkEnd w:id="919"/>
      <w:bookmarkEnd w:id="920"/>
    </w:p>
    <w:p w:rsidR="00AA4661" w:rsidRPr="008E7DAC" w:rsidRDefault="00AA4661" w:rsidP="00B73D7E">
      <w:pPr>
        <w:pStyle w:val="FiguresTablesCaption"/>
      </w:pPr>
      <w:bookmarkStart w:id="921" w:name="_Toc506143789"/>
      <w:bookmarkStart w:id="922" w:name="_Toc529286514"/>
      <w:bookmarkStart w:id="923" w:name="_Toc529286589"/>
      <w:r w:rsidRPr="008E7DAC">
        <w:t xml:space="preserve">Фигура </w:t>
      </w:r>
      <w:r w:rsidRPr="008E7DAC">
        <w:fldChar w:fldCharType="begin"/>
      </w:r>
      <w:r w:rsidRPr="008E7DAC">
        <w:instrText xml:space="preserve"> SEQ Figure \* ARABIC </w:instrText>
      </w:r>
      <w:r w:rsidRPr="008E7DAC">
        <w:fldChar w:fldCharType="separate"/>
      </w:r>
      <w:r w:rsidR="004E6834" w:rsidRPr="00B73D7E">
        <w:t>39</w:t>
      </w:r>
      <w:r w:rsidRPr="008E7DAC">
        <w:fldChar w:fldCharType="end"/>
      </w:r>
      <w:r w:rsidRPr="008E7DAC">
        <w:t>. Сеизмични рискове/характеристики за страната</w:t>
      </w:r>
      <w:bookmarkEnd w:id="921"/>
      <w:bookmarkEnd w:id="922"/>
      <w:bookmarkEnd w:id="923"/>
    </w:p>
    <w:p w:rsidR="00AA4661" w:rsidRPr="00F8728A" w:rsidRDefault="00084198" w:rsidP="009E0A06">
      <w:pPr>
        <w:spacing w:after="0"/>
        <w:jc w:val="center"/>
        <w:rPr>
          <w:rFonts w:cs="Arial"/>
          <w:szCs w:val="20"/>
        </w:rPr>
      </w:pPr>
      <w:r w:rsidRPr="00B73D7E">
        <w:rPr>
          <w:noProof/>
          <w:lang w:val="en-US"/>
        </w:rPr>
        <mc:AlternateContent>
          <mc:Choice Requires="wps">
            <w:drawing>
              <wp:anchor distT="0" distB="0" distL="114300" distR="114300" simplePos="0" relativeHeight="251658752" behindDoc="0" locked="0" layoutInCell="1" allowOverlap="1" wp14:anchorId="38FF8444" wp14:editId="3D81EBA9">
                <wp:simplePos x="0" y="0"/>
                <wp:positionH relativeFrom="column">
                  <wp:posOffset>6727825</wp:posOffset>
                </wp:positionH>
                <wp:positionV relativeFrom="paragraph">
                  <wp:posOffset>4589780</wp:posOffset>
                </wp:positionV>
                <wp:extent cx="137160" cy="83820"/>
                <wp:effectExtent l="0" t="0" r="0" b="0"/>
                <wp:wrapNone/>
                <wp:docPr id="49"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 cy="8382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FB4561" w:rsidRPr="00E71E7A" w:rsidRDefault="00FB4561" w:rsidP="00E71E7A">
                            <w:pPr>
                              <w:rPr>
                                <w:sz w:val="12"/>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1" o:spid="_x0000_s1044" type="#_x0000_t202" style="position:absolute;left:0;text-align:left;margin-left:529.75pt;margin-top:361.4pt;width:10.8pt;height:6.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" stroked="f" strokeweight=".5pt">
                <v:textbox inset="0,0,0,0">
                  <w:txbxContent>
                    <w:p w:rsidR="00FB4561" w:rsidRPr="00E71E7A" w:rsidRDefault="00FB4561" w:rsidP="00E71E7A">
                      <w:pPr>
                        <w:rPr>
                          <w:sz w:val="12"/>
                          <w:szCs w:val="16"/>
                        </w:rPr>
                      </w:pPr>
                    </w:p>
                  </w:txbxContent>
                </v:textbox>
              </v:shape>
            </w:pict>
          </mc:Fallback>
        </mc:AlternateContent>
      </w:r>
      <w:r w:rsidRPr="00B73D7E">
        <w:rPr>
          <w:rFonts w:cs="Arial"/>
          <w:noProof/>
          <w:szCs w:val="20"/>
          <w:lang w:val="en-US"/>
        </w:rPr>
        <w:drawing>
          <wp:inline distT="0" distB="0" distL="0" distR="0" wp14:anchorId="2D36CA91" wp14:editId="2A05D938">
            <wp:extent cx="6828790" cy="4733925"/>
            <wp:effectExtent l="19050" t="19050" r="0" b="9525"/>
            <wp:docPr id="40"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144">
                      <a:extLst>
                        <a:ext uri="{28A0092B-C50C-407E-A947-70E740481C1C}">
                          <a14:useLocalDpi xmlns:a14="http://schemas.microsoft.com/office/drawing/2010/main" val="0"/>
                        </a:ext>
                      </a:extLst>
                    </a:blip>
                    <a:srcRect l="966" t="1460" r="722" b="1140"/>
                    <a:stretch>
                      <a:fillRect/>
                    </a:stretch>
                  </pic:blipFill>
                  <pic:spPr bwMode="auto">
                    <a:xfrm>
                      <a:off x="0" y="0"/>
                      <a:ext cx="6828790" cy="4733925"/>
                    </a:xfrm>
                    <a:prstGeom prst="rect">
                      <a:avLst/>
                    </a:prstGeom>
                    <a:noFill/>
                    <a:ln w="9525" cmpd="sng">
                      <a:solidFill>
                        <a:srgbClr val="5B9BD5"/>
                      </a:solidFill>
                      <a:miter lim="800000"/>
                      <a:headEnd/>
                      <a:tailEnd/>
                    </a:ln>
                    <a:effectLst/>
                  </pic:spPr>
                </pic:pic>
              </a:graphicData>
            </a:graphic>
          </wp:inline>
        </w:drawing>
      </w:r>
    </w:p>
    <w:p w:rsidR="00AA4661" w:rsidRPr="00F8728A" w:rsidRDefault="00AA4661" w:rsidP="00480EBC">
      <w:pPr>
        <w:pStyle w:val="Source"/>
        <w:jc w:val="center"/>
        <w:rPr>
          <w:rFonts w:cs="Arial"/>
        </w:rPr>
        <w:sectPr w:rsidR="00AA4661" w:rsidRPr="00F8728A" w:rsidSect="003B7DC4">
          <w:pgSz w:w="16838" w:h="11906" w:orient="landscape"/>
          <w:pgMar w:top="1417" w:right="1417" w:bottom="1417" w:left="1417" w:header="708" w:footer="708" w:gutter="0"/>
          <w:cols w:space="708"/>
          <w:docGrid w:linePitch="360"/>
        </w:sectPr>
      </w:pPr>
      <w:r w:rsidRPr="00F8728A">
        <w:t>Източник: НСИ (данни за население), МРРБ и БАН (сезмични характеристики), НЦТР (обработка на данни и карта).</w:t>
      </w:r>
    </w:p>
    <w:p w:rsidR="00AA4661" w:rsidRPr="00B73D7E" w:rsidRDefault="00AA4661" w:rsidP="00F56BE0">
      <w:pPr>
        <w:pStyle w:val="Heading2"/>
        <w:numPr>
          <w:ilvl w:val="0"/>
          <w:numId w:val="0"/>
        </w:numPr>
        <w:rPr>
          <w:lang w:val="bg-BG"/>
        </w:rPr>
      </w:pPr>
      <w:bookmarkStart w:id="924" w:name="_Toc522030621"/>
      <w:bookmarkStart w:id="925" w:name="_Toc529285606"/>
      <w:bookmarkStart w:id="926" w:name="_Toc486246252"/>
      <w:bookmarkStart w:id="927" w:name="_Toc486942235"/>
      <w:bookmarkStart w:id="928" w:name="_Toc501454912"/>
      <w:r w:rsidRPr="00B73D7E">
        <w:rPr>
          <w:lang w:val="bg-BG"/>
        </w:rPr>
        <w:t>Пожари</w:t>
      </w:r>
      <w:bookmarkEnd w:id="924"/>
      <w:bookmarkEnd w:id="925"/>
      <w:r w:rsidRPr="00B73D7E">
        <w:rPr>
          <w:lang w:val="bg-BG"/>
        </w:rPr>
        <w:t xml:space="preserve"> </w:t>
      </w:r>
      <w:bookmarkEnd w:id="926"/>
      <w:bookmarkEnd w:id="927"/>
      <w:bookmarkEnd w:id="928"/>
    </w:p>
    <w:p w:rsidR="00AA4661" w:rsidRPr="008E7DAC" w:rsidRDefault="004E6834" w:rsidP="00B73D7E">
      <w:pPr>
        <w:pStyle w:val="FiguresTablesCaption"/>
      </w:pPr>
      <w:bookmarkStart w:id="929" w:name="_Toc529286656"/>
      <w:r w:rsidRPr="008E7DAC">
        <w:t xml:space="preserve">Таблица </w:t>
      </w:r>
      <w:r w:rsidRPr="008E7DAC">
        <w:fldChar w:fldCharType="begin"/>
      </w:r>
      <w:r w:rsidRPr="008E7DAC">
        <w:instrText xml:space="preserve"> SEQ Table \* ARABIC </w:instrText>
      </w:r>
      <w:r w:rsidRPr="008E7DAC">
        <w:fldChar w:fldCharType="separate"/>
      </w:r>
      <w:r w:rsidRPr="00B73D7E">
        <w:t>29</w:t>
      </w:r>
      <w:r w:rsidRPr="008E7DAC">
        <w:fldChar w:fldCharType="end"/>
      </w:r>
      <w:r w:rsidRPr="008E7DAC">
        <w:t xml:space="preserve">. </w:t>
      </w:r>
      <w:r w:rsidR="00AA4661" w:rsidRPr="008E7DAC">
        <w:t>Пожари  – по области: общо  за периода 2010–2015 г.</w:t>
      </w:r>
      <w:bookmarkEnd w:id="929"/>
    </w:p>
    <w:tbl>
      <w:tblPr>
        <w:tblW w:w="8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0" w:type="dxa"/>
          <w:right w:w="70" w:type="dxa"/>
        </w:tblCellMar>
        <w:tblLook w:val="00A0" w:firstRow="1" w:lastRow="0" w:firstColumn="1" w:lastColumn="0" w:noHBand="0" w:noVBand="0"/>
      </w:tblPr>
      <w:tblGrid>
        <w:gridCol w:w="1934"/>
        <w:gridCol w:w="1391"/>
        <w:gridCol w:w="1620"/>
        <w:gridCol w:w="1710"/>
        <w:gridCol w:w="2335"/>
      </w:tblGrid>
      <w:tr w:rsidR="00AA4661" w:rsidRPr="00F8728A" w:rsidTr="00480EBC">
        <w:trPr>
          <w:jc w:val="center"/>
        </w:trPr>
        <w:tc>
          <w:tcPr>
            <w:tcW w:w="1934" w:type="dxa"/>
            <w:shd w:val="clear" w:color="auto" w:fill="365F91"/>
            <w:vAlign w:val="center"/>
          </w:tcPr>
          <w:p w:rsidR="00AA4661" w:rsidRPr="00F8728A" w:rsidRDefault="00AA4661" w:rsidP="00480EBC">
            <w:pPr>
              <w:spacing w:after="0"/>
              <w:jc w:val="center"/>
              <w:rPr>
                <w:rFonts w:ascii="Calibri" w:hAnsi="Calibri" w:cs="Calibri"/>
                <w:b/>
                <w:color w:val="FFFFFF"/>
                <w:szCs w:val="20"/>
              </w:rPr>
            </w:pPr>
            <w:r w:rsidRPr="00F8728A">
              <w:rPr>
                <w:rFonts w:ascii="Calibri" w:hAnsi="Calibri" w:cs="Calibri"/>
                <w:b/>
                <w:color w:val="FFFFFF"/>
                <w:szCs w:val="20"/>
              </w:rPr>
              <w:t>Области</w:t>
            </w:r>
          </w:p>
        </w:tc>
        <w:tc>
          <w:tcPr>
            <w:tcW w:w="1391" w:type="dxa"/>
            <w:shd w:val="clear" w:color="auto" w:fill="365F91"/>
            <w:vAlign w:val="center"/>
          </w:tcPr>
          <w:p w:rsidR="00AA4661" w:rsidRPr="00F8728A" w:rsidRDefault="00AA4661" w:rsidP="00480EBC">
            <w:pPr>
              <w:spacing w:after="0"/>
              <w:jc w:val="center"/>
              <w:rPr>
                <w:rFonts w:ascii="Calibri" w:hAnsi="Calibri" w:cs="Calibri"/>
                <w:b/>
                <w:color w:val="FFFFFF"/>
                <w:szCs w:val="20"/>
              </w:rPr>
            </w:pPr>
            <w:r w:rsidRPr="00F8728A">
              <w:rPr>
                <w:rFonts w:ascii="Calibri" w:hAnsi="Calibri" w:cs="Calibri"/>
                <w:b/>
                <w:color w:val="FFFFFF"/>
                <w:szCs w:val="20"/>
              </w:rPr>
              <w:t>Брой пожари</w:t>
            </w:r>
          </w:p>
        </w:tc>
        <w:tc>
          <w:tcPr>
            <w:tcW w:w="1620" w:type="dxa"/>
            <w:shd w:val="clear" w:color="auto" w:fill="365F91"/>
            <w:vAlign w:val="center"/>
          </w:tcPr>
          <w:p w:rsidR="00AA4661" w:rsidRPr="00F8728A" w:rsidRDefault="00AA4661" w:rsidP="00480EBC">
            <w:pPr>
              <w:spacing w:after="0"/>
              <w:jc w:val="center"/>
              <w:rPr>
                <w:rFonts w:ascii="Calibri" w:hAnsi="Calibri" w:cs="Calibri"/>
                <w:b/>
                <w:color w:val="FFFFFF"/>
                <w:szCs w:val="20"/>
              </w:rPr>
            </w:pPr>
            <w:r w:rsidRPr="00F8728A">
              <w:rPr>
                <w:rFonts w:ascii="Calibri" w:hAnsi="Calibri" w:cs="Calibri"/>
                <w:b/>
                <w:color w:val="FFFFFF"/>
                <w:szCs w:val="20"/>
              </w:rPr>
              <w:t>Щети, хил. лв</w:t>
            </w:r>
          </w:p>
        </w:tc>
        <w:tc>
          <w:tcPr>
            <w:tcW w:w="1710" w:type="dxa"/>
            <w:shd w:val="clear" w:color="auto" w:fill="365F91"/>
            <w:vAlign w:val="center"/>
          </w:tcPr>
          <w:p w:rsidR="00AA4661" w:rsidRPr="00F8728A" w:rsidRDefault="00AA4661" w:rsidP="00480EBC">
            <w:pPr>
              <w:spacing w:after="0"/>
              <w:jc w:val="center"/>
              <w:rPr>
                <w:rFonts w:ascii="Calibri" w:hAnsi="Calibri" w:cs="Calibri"/>
                <w:b/>
                <w:color w:val="FFFFFF"/>
                <w:szCs w:val="20"/>
              </w:rPr>
            </w:pPr>
            <w:r w:rsidRPr="00F8728A">
              <w:rPr>
                <w:rFonts w:ascii="Calibri" w:hAnsi="Calibri" w:cs="Calibri"/>
                <w:b/>
                <w:color w:val="FFFFFF"/>
                <w:szCs w:val="20"/>
              </w:rPr>
              <w:t>Разходи за възстановяване, хил. лв</w:t>
            </w:r>
          </w:p>
        </w:tc>
        <w:tc>
          <w:tcPr>
            <w:tcW w:w="2335" w:type="dxa"/>
            <w:shd w:val="clear" w:color="auto" w:fill="365F91"/>
            <w:vAlign w:val="center"/>
          </w:tcPr>
          <w:p w:rsidR="00AA4661" w:rsidRPr="00F8728A" w:rsidRDefault="00AA4661" w:rsidP="00480EBC">
            <w:pPr>
              <w:spacing w:after="0"/>
              <w:jc w:val="center"/>
              <w:rPr>
                <w:rFonts w:ascii="Calibri" w:hAnsi="Calibri" w:cs="Calibri"/>
                <w:b/>
                <w:color w:val="FFFFFF"/>
                <w:szCs w:val="20"/>
              </w:rPr>
            </w:pPr>
            <w:r w:rsidRPr="00F8728A">
              <w:rPr>
                <w:rFonts w:ascii="Calibri" w:hAnsi="Calibri" w:cs="Calibri"/>
                <w:b/>
                <w:color w:val="FFFFFF"/>
                <w:szCs w:val="20"/>
              </w:rPr>
              <w:t>Разходи за спасителни и неотложни аварийнии работи, хил. лв</w:t>
            </w: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b/>
                <w:color w:val="000000"/>
                <w:szCs w:val="20"/>
              </w:rPr>
            </w:pPr>
            <w:r w:rsidRPr="00F8728A">
              <w:rPr>
                <w:rFonts w:ascii="Calibri" w:hAnsi="Calibri" w:cs="Calibri"/>
                <w:b/>
                <w:color w:val="000000"/>
                <w:szCs w:val="20"/>
              </w:rPr>
              <w:t>Пожари – общо</w:t>
            </w:r>
          </w:p>
        </w:tc>
        <w:tc>
          <w:tcPr>
            <w:tcW w:w="1391" w:type="dxa"/>
            <w:vAlign w:val="center"/>
          </w:tcPr>
          <w:p w:rsidR="00AA4661" w:rsidRPr="00F8728A" w:rsidRDefault="00AA4661" w:rsidP="0050582F">
            <w:pPr>
              <w:spacing w:after="0"/>
              <w:jc w:val="right"/>
              <w:rPr>
                <w:rFonts w:ascii="Calibri" w:hAnsi="Calibri" w:cs="Calibri"/>
                <w:b/>
                <w:color w:val="000000"/>
                <w:szCs w:val="20"/>
              </w:rPr>
            </w:pPr>
            <w:r w:rsidRPr="00F8728A">
              <w:rPr>
                <w:rFonts w:ascii="Calibri" w:hAnsi="Calibri" w:cs="Calibri"/>
                <w:b/>
                <w:color w:val="000000"/>
                <w:szCs w:val="20"/>
              </w:rPr>
              <w:t>12</w:t>
            </w:r>
            <w:r w:rsidR="004C4282">
              <w:rPr>
                <w:rFonts w:ascii="Calibri" w:hAnsi="Calibri" w:cs="Calibri"/>
                <w:b/>
                <w:color w:val="000000"/>
                <w:szCs w:val="20"/>
              </w:rPr>
              <w:t xml:space="preserve"> </w:t>
            </w:r>
            <w:r w:rsidRPr="00F8728A">
              <w:rPr>
                <w:rFonts w:ascii="Calibri" w:hAnsi="Calibri" w:cs="Calibri"/>
                <w:b/>
                <w:color w:val="000000"/>
                <w:szCs w:val="20"/>
              </w:rPr>
              <w:t>308</w:t>
            </w:r>
          </w:p>
        </w:tc>
        <w:tc>
          <w:tcPr>
            <w:tcW w:w="1620" w:type="dxa"/>
            <w:vAlign w:val="center"/>
          </w:tcPr>
          <w:p w:rsidR="00AA4661" w:rsidRPr="00F8728A" w:rsidRDefault="00AA4661" w:rsidP="0050582F">
            <w:pPr>
              <w:spacing w:after="0" w:line="276" w:lineRule="auto"/>
              <w:jc w:val="right"/>
              <w:rPr>
                <w:rFonts w:ascii="Calibri" w:hAnsi="Calibri" w:cs="Calibri"/>
                <w:b/>
              </w:rPr>
            </w:pPr>
            <w:r w:rsidRPr="00F8728A">
              <w:rPr>
                <w:rFonts w:ascii="Calibri" w:hAnsi="Calibri" w:cs="Calibri"/>
                <w:b/>
              </w:rPr>
              <w:t>10</w:t>
            </w:r>
            <w:r w:rsidR="004C4282">
              <w:rPr>
                <w:rFonts w:ascii="Calibri" w:hAnsi="Calibri" w:cs="Calibri"/>
                <w:b/>
              </w:rPr>
              <w:t xml:space="preserve"> </w:t>
            </w:r>
            <w:r w:rsidRPr="00F8728A">
              <w:rPr>
                <w:rFonts w:ascii="Calibri" w:hAnsi="Calibri" w:cs="Calibri"/>
                <w:b/>
              </w:rPr>
              <w:t>399</w:t>
            </w:r>
          </w:p>
        </w:tc>
        <w:tc>
          <w:tcPr>
            <w:tcW w:w="1710" w:type="dxa"/>
            <w:vAlign w:val="center"/>
          </w:tcPr>
          <w:p w:rsidR="00AA4661" w:rsidRPr="00F8728A" w:rsidRDefault="00AA4661" w:rsidP="0050582F">
            <w:pPr>
              <w:spacing w:after="0" w:line="276" w:lineRule="auto"/>
              <w:jc w:val="right"/>
              <w:rPr>
                <w:rFonts w:ascii="Calibri" w:hAnsi="Calibri" w:cs="Calibri"/>
                <w:b/>
              </w:rPr>
            </w:pPr>
            <w:r w:rsidRPr="00F8728A">
              <w:rPr>
                <w:rFonts w:ascii="Calibri" w:hAnsi="Calibri" w:cs="Calibri"/>
                <w:b/>
              </w:rPr>
              <w:t>1</w:t>
            </w:r>
            <w:r w:rsidR="004C4282">
              <w:rPr>
                <w:rFonts w:ascii="Calibri" w:hAnsi="Calibri" w:cs="Calibri"/>
                <w:b/>
              </w:rPr>
              <w:t xml:space="preserve"> </w:t>
            </w:r>
            <w:r w:rsidRPr="00F8728A">
              <w:rPr>
                <w:rFonts w:ascii="Calibri" w:hAnsi="Calibri" w:cs="Calibri"/>
                <w:b/>
              </w:rPr>
              <w:t>036</w:t>
            </w:r>
          </w:p>
        </w:tc>
        <w:tc>
          <w:tcPr>
            <w:tcW w:w="2335" w:type="dxa"/>
            <w:vAlign w:val="center"/>
          </w:tcPr>
          <w:p w:rsidR="00AA4661" w:rsidRPr="00F8728A" w:rsidRDefault="00AA4661" w:rsidP="0050582F">
            <w:pPr>
              <w:spacing w:after="0" w:line="276" w:lineRule="auto"/>
              <w:jc w:val="right"/>
              <w:rPr>
                <w:rFonts w:ascii="Calibri" w:hAnsi="Calibri" w:cs="Calibri"/>
                <w:b/>
              </w:rPr>
            </w:pPr>
            <w:r w:rsidRPr="00F8728A">
              <w:rPr>
                <w:rFonts w:ascii="Calibri" w:hAnsi="Calibri" w:cs="Calibri"/>
                <w:b/>
              </w:rPr>
              <w:t>1</w:t>
            </w:r>
            <w:r w:rsidR="004C4282">
              <w:rPr>
                <w:rFonts w:ascii="Calibri" w:hAnsi="Calibri" w:cs="Calibri"/>
                <w:b/>
              </w:rPr>
              <w:t xml:space="preserve"> </w:t>
            </w:r>
            <w:r w:rsidRPr="00F8728A">
              <w:rPr>
                <w:rFonts w:ascii="Calibri" w:hAnsi="Calibri" w:cs="Calibri"/>
                <w:b/>
              </w:rPr>
              <w:t>330</w:t>
            </w: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Благоевград</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550</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637</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19</w:t>
            </w:r>
          </w:p>
        </w:tc>
        <w:tc>
          <w:tcPr>
            <w:tcW w:w="2335"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22</w:t>
            </w: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Бургас</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r w:rsidR="004C4282">
              <w:rPr>
                <w:rFonts w:ascii="Calibri" w:hAnsi="Calibri" w:cs="Calibri"/>
                <w:color w:val="000000"/>
                <w:szCs w:val="20"/>
              </w:rPr>
              <w:t xml:space="preserve"> </w:t>
            </w:r>
            <w:r w:rsidRPr="00F8728A">
              <w:rPr>
                <w:rFonts w:ascii="Calibri" w:hAnsi="Calibri" w:cs="Calibri"/>
                <w:color w:val="000000"/>
                <w:szCs w:val="20"/>
              </w:rPr>
              <w:t>479</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319</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0</w:t>
            </w:r>
          </w:p>
        </w:tc>
        <w:tc>
          <w:tcPr>
            <w:tcW w:w="2335"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68</w:t>
            </w: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Варна</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661</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1</w:t>
            </w:r>
            <w:r w:rsidR="004C4282">
              <w:rPr>
                <w:rFonts w:ascii="Calibri" w:hAnsi="Calibri" w:cs="Calibri"/>
              </w:rPr>
              <w:t xml:space="preserve"> </w:t>
            </w:r>
            <w:r w:rsidRPr="00F8728A">
              <w:rPr>
                <w:rFonts w:ascii="Calibri" w:hAnsi="Calibri" w:cs="Calibri"/>
              </w:rPr>
              <w:t>204</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9</w:t>
            </w:r>
          </w:p>
        </w:tc>
        <w:tc>
          <w:tcPr>
            <w:tcW w:w="2335" w:type="dxa"/>
            <w:vAlign w:val="center"/>
          </w:tcPr>
          <w:p w:rsidR="00AA4661" w:rsidRPr="00F8728A" w:rsidRDefault="00AA4661" w:rsidP="0050582F">
            <w:pPr>
              <w:spacing w:after="0" w:line="276" w:lineRule="auto"/>
              <w:jc w:val="right"/>
              <w:rPr>
                <w:rFonts w:ascii="Calibri" w:hAnsi="Calibri" w:cs="Calibri"/>
              </w:rPr>
            </w:pP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Велико Търново</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508</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99</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0</w:t>
            </w:r>
          </w:p>
        </w:tc>
        <w:tc>
          <w:tcPr>
            <w:tcW w:w="2335"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5</w:t>
            </w: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Видин</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6</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0</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0</w:t>
            </w:r>
          </w:p>
        </w:tc>
        <w:tc>
          <w:tcPr>
            <w:tcW w:w="2335" w:type="dxa"/>
            <w:vAlign w:val="center"/>
          </w:tcPr>
          <w:p w:rsidR="00AA4661" w:rsidRPr="00F8728A" w:rsidRDefault="00AA4661" w:rsidP="0050582F">
            <w:pPr>
              <w:spacing w:after="0" w:line="276" w:lineRule="auto"/>
              <w:jc w:val="right"/>
              <w:rPr>
                <w:rFonts w:ascii="Calibri" w:hAnsi="Calibri" w:cs="Calibri"/>
              </w:rPr>
            </w:pP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Враца</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295</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872</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363</w:t>
            </w:r>
          </w:p>
        </w:tc>
        <w:tc>
          <w:tcPr>
            <w:tcW w:w="2335"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1</w:t>
            </w: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Габрово</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747</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842</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0</w:t>
            </w:r>
          </w:p>
        </w:tc>
        <w:tc>
          <w:tcPr>
            <w:tcW w:w="2335" w:type="dxa"/>
            <w:vAlign w:val="center"/>
          </w:tcPr>
          <w:p w:rsidR="00AA4661" w:rsidRPr="00F8728A" w:rsidRDefault="00AA4661" w:rsidP="0050582F">
            <w:pPr>
              <w:spacing w:after="0" w:line="276" w:lineRule="auto"/>
              <w:jc w:val="right"/>
              <w:rPr>
                <w:rFonts w:ascii="Calibri" w:hAnsi="Calibri" w:cs="Calibri"/>
              </w:rPr>
            </w:pP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Добрич</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r w:rsidR="004C4282">
              <w:rPr>
                <w:rFonts w:ascii="Calibri" w:hAnsi="Calibri" w:cs="Calibri"/>
                <w:color w:val="000000"/>
                <w:szCs w:val="20"/>
              </w:rPr>
              <w:t xml:space="preserve"> </w:t>
            </w:r>
            <w:r w:rsidRPr="00F8728A">
              <w:rPr>
                <w:rFonts w:ascii="Calibri" w:hAnsi="Calibri" w:cs="Calibri"/>
                <w:color w:val="000000"/>
                <w:szCs w:val="20"/>
              </w:rPr>
              <w:t>520</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356</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65</w:t>
            </w:r>
          </w:p>
        </w:tc>
        <w:tc>
          <w:tcPr>
            <w:tcW w:w="2335" w:type="dxa"/>
            <w:vAlign w:val="center"/>
          </w:tcPr>
          <w:p w:rsidR="00AA4661" w:rsidRPr="00F8728A" w:rsidRDefault="00AA4661" w:rsidP="0050582F">
            <w:pPr>
              <w:spacing w:after="0" w:line="276" w:lineRule="auto"/>
              <w:jc w:val="right"/>
              <w:rPr>
                <w:rFonts w:ascii="Calibri" w:hAnsi="Calibri" w:cs="Calibri"/>
              </w:rPr>
            </w:pP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Кърджали</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69</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420</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0</w:t>
            </w:r>
          </w:p>
        </w:tc>
        <w:tc>
          <w:tcPr>
            <w:tcW w:w="2335" w:type="dxa"/>
            <w:vAlign w:val="center"/>
          </w:tcPr>
          <w:p w:rsidR="00AA4661" w:rsidRPr="00F8728A" w:rsidRDefault="00AA4661" w:rsidP="0050582F">
            <w:pPr>
              <w:spacing w:after="0" w:line="276" w:lineRule="auto"/>
              <w:jc w:val="right"/>
              <w:rPr>
                <w:rFonts w:ascii="Calibri" w:hAnsi="Calibri" w:cs="Calibri"/>
              </w:rPr>
            </w:pP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Кюстендил</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706</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112</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10</w:t>
            </w:r>
          </w:p>
        </w:tc>
        <w:tc>
          <w:tcPr>
            <w:tcW w:w="2335"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48</w:t>
            </w: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Ловеч</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1</w:t>
            </w:r>
            <w:r w:rsidR="004C4282">
              <w:rPr>
                <w:rFonts w:ascii="Calibri" w:hAnsi="Calibri" w:cs="Calibri"/>
              </w:rPr>
              <w:t xml:space="preserve"> </w:t>
            </w:r>
            <w:r w:rsidRPr="00F8728A">
              <w:rPr>
                <w:rFonts w:ascii="Calibri" w:hAnsi="Calibri" w:cs="Calibri"/>
              </w:rPr>
              <w:t>163</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443</w:t>
            </w:r>
          </w:p>
        </w:tc>
        <w:tc>
          <w:tcPr>
            <w:tcW w:w="2335"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720</w:t>
            </w: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Монтана</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228</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186</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0</w:t>
            </w:r>
          </w:p>
        </w:tc>
        <w:tc>
          <w:tcPr>
            <w:tcW w:w="2335"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2</w:t>
            </w: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Пазарджик</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72</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250</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0</w:t>
            </w:r>
          </w:p>
        </w:tc>
        <w:tc>
          <w:tcPr>
            <w:tcW w:w="2335"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11</w:t>
            </w: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Перник</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70</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20</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28</w:t>
            </w:r>
          </w:p>
        </w:tc>
        <w:tc>
          <w:tcPr>
            <w:tcW w:w="2335"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1</w:t>
            </w: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Плевен</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117</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8</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0</w:t>
            </w:r>
          </w:p>
        </w:tc>
        <w:tc>
          <w:tcPr>
            <w:tcW w:w="2335" w:type="dxa"/>
            <w:vAlign w:val="center"/>
          </w:tcPr>
          <w:p w:rsidR="00AA4661" w:rsidRPr="00F8728A" w:rsidRDefault="00AA4661" w:rsidP="0050582F">
            <w:pPr>
              <w:spacing w:after="0" w:line="276" w:lineRule="auto"/>
              <w:jc w:val="right"/>
              <w:rPr>
                <w:rFonts w:ascii="Calibri" w:hAnsi="Calibri" w:cs="Calibri"/>
              </w:rPr>
            </w:pP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Пловдив</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116</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114</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9</w:t>
            </w:r>
          </w:p>
        </w:tc>
        <w:tc>
          <w:tcPr>
            <w:tcW w:w="2335"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9</w:t>
            </w: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Разград</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236</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1</w:t>
            </w:r>
            <w:r w:rsidR="004C4282">
              <w:rPr>
                <w:rFonts w:ascii="Calibri" w:hAnsi="Calibri" w:cs="Calibri"/>
              </w:rPr>
              <w:t xml:space="preserve"> </w:t>
            </w:r>
            <w:r w:rsidRPr="00F8728A">
              <w:rPr>
                <w:rFonts w:ascii="Calibri" w:hAnsi="Calibri" w:cs="Calibri"/>
              </w:rPr>
              <w:t>411</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0</w:t>
            </w:r>
          </w:p>
        </w:tc>
        <w:tc>
          <w:tcPr>
            <w:tcW w:w="2335" w:type="dxa"/>
            <w:vAlign w:val="center"/>
          </w:tcPr>
          <w:p w:rsidR="00AA4661" w:rsidRPr="00F8728A" w:rsidRDefault="00AA4661" w:rsidP="0050582F">
            <w:pPr>
              <w:spacing w:after="0" w:line="276" w:lineRule="auto"/>
              <w:jc w:val="right"/>
              <w:rPr>
                <w:rFonts w:ascii="Calibri" w:hAnsi="Calibri" w:cs="Calibri"/>
              </w:rPr>
            </w:pP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Русе</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174</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28</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28</w:t>
            </w:r>
          </w:p>
        </w:tc>
        <w:tc>
          <w:tcPr>
            <w:tcW w:w="2335" w:type="dxa"/>
            <w:vAlign w:val="center"/>
          </w:tcPr>
          <w:p w:rsidR="00AA4661" w:rsidRPr="00F8728A" w:rsidRDefault="00AA4661" w:rsidP="0050582F">
            <w:pPr>
              <w:spacing w:after="0" w:line="276" w:lineRule="auto"/>
              <w:jc w:val="right"/>
              <w:rPr>
                <w:rFonts w:ascii="Calibri" w:hAnsi="Calibri" w:cs="Calibri"/>
              </w:rPr>
            </w:pP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Силистра</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43</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36</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17</w:t>
            </w:r>
          </w:p>
        </w:tc>
        <w:tc>
          <w:tcPr>
            <w:tcW w:w="2335" w:type="dxa"/>
            <w:vAlign w:val="center"/>
          </w:tcPr>
          <w:p w:rsidR="00AA4661" w:rsidRPr="00F8728A" w:rsidRDefault="00AA4661" w:rsidP="0050582F">
            <w:pPr>
              <w:spacing w:after="0" w:line="276" w:lineRule="auto"/>
              <w:jc w:val="right"/>
              <w:rPr>
                <w:rFonts w:ascii="Calibri" w:hAnsi="Calibri" w:cs="Calibri"/>
              </w:rPr>
            </w:pP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Сливен</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611</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2</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0</w:t>
            </w:r>
          </w:p>
        </w:tc>
        <w:tc>
          <w:tcPr>
            <w:tcW w:w="2335" w:type="dxa"/>
            <w:vAlign w:val="center"/>
          </w:tcPr>
          <w:p w:rsidR="00AA4661" w:rsidRPr="00F8728A" w:rsidRDefault="00AA4661" w:rsidP="0050582F">
            <w:pPr>
              <w:spacing w:after="0" w:line="276" w:lineRule="auto"/>
              <w:jc w:val="right"/>
              <w:rPr>
                <w:rFonts w:ascii="Calibri" w:hAnsi="Calibri" w:cs="Calibri"/>
              </w:rPr>
            </w:pP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Смолян</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400</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218</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0</w:t>
            </w:r>
          </w:p>
        </w:tc>
        <w:tc>
          <w:tcPr>
            <w:tcW w:w="2335"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40</w:t>
            </w: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София (Столица)</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14</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149</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10</w:t>
            </w:r>
          </w:p>
        </w:tc>
        <w:tc>
          <w:tcPr>
            <w:tcW w:w="2335"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139</w:t>
            </w: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София</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r w:rsidR="004C4282">
              <w:rPr>
                <w:rFonts w:ascii="Calibri" w:hAnsi="Calibri" w:cs="Calibri"/>
                <w:color w:val="000000"/>
                <w:szCs w:val="20"/>
              </w:rPr>
              <w:t xml:space="preserve"> </w:t>
            </w:r>
            <w:r w:rsidRPr="00F8728A">
              <w:rPr>
                <w:rFonts w:ascii="Calibri" w:hAnsi="Calibri" w:cs="Calibri"/>
                <w:color w:val="000000"/>
                <w:szCs w:val="20"/>
              </w:rPr>
              <w:t>054</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1</w:t>
            </w:r>
            <w:r w:rsidR="004C4282">
              <w:rPr>
                <w:rFonts w:ascii="Calibri" w:hAnsi="Calibri" w:cs="Calibri"/>
              </w:rPr>
              <w:t xml:space="preserve"> </w:t>
            </w:r>
            <w:r w:rsidRPr="00F8728A">
              <w:rPr>
                <w:rFonts w:ascii="Calibri" w:hAnsi="Calibri" w:cs="Calibri"/>
              </w:rPr>
              <w:t>461</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23</w:t>
            </w:r>
          </w:p>
        </w:tc>
        <w:tc>
          <w:tcPr>
            <w:tcW w:w="2335"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34</w:t>
            </w: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Стара Загора</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w:t>
            </w:r>
            <w:r w:rsidR="004C4282">
              <w:rPr>
                <w:rFonts w:ascii="Calibri" w:hAnsi="Calibri" w:cs="Calibri"/>
                <w:color w:val="000000"/>
                <w:szCs w:val="20"/>
              </w:rPr>
              <w:t xml:space="preserve"> </w:t>
            </w:r>
            <w:r w:rsidRPr="00F8728A">
              <w:rPr>
                <w:rFonts w:ascii="Calibri" w:hAnsi="Calibri" w:cs="Calibri"/>
                <w:color w:val="000000"/>
                <w:szCs w:val="20"/>
              </w:rPr>
              <w:t>059</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287</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0</w:t>
            </w:r>
          </w:p>
        </w:tc>
        <w:tc>
          <w:tcPr>
            <w:tcW w:w="2335"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202</w:t>
            </w: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Търговище</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12</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12</w:t>
            </w:r>
          </w:p>
        </w:tc>
        <w:tc>
          <w:tcPr>
            <w:tcW w:w="2335" w:type="dxa"/>
            <w:vAlign w:val="center"/>
          </w:tcPr>
          <w:p w:rsidR="00AA4661" w:rsidRPr="00F8728A" w:rsidRDefault="00AA4661" w:rsidP="0050582F">
            <w:pPr>
              <w:spacing w:after="0" w:line="276" w:lineRule="auto"/>
              <w:jc w:val="right"/>
              <w:rPr>
                <w:rFonts w:ascii="Calibri" w:hAnsi="Calibri" w:cs="Calibri"/>
              </w:rPr>
            </w:pP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Хасково</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27</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152</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0</w:t>
            </w:r>
          </w:p>
        </w:tc>
        <w:tc>
          <w:tcPr>
            <w:tcW w:w="2335"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28</w:t>
            </w: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Шумен</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399</w:t>
            </w:r>
          </w:p>
        </w:tc>
        <w:tc>
          <w:tcPr>
            <w:tcW w:w="1620" w:type="dxa"/>
            <w:vAlign w:val="center"/>
          </w:tcPr>
          <w:p w:rsidR="00AA4661" w:rsidRPr="00F8728A" w:rsidRDefault="00AA4661" w:rsidP="0050582F">
            <w:pPr>
              <w:spacing w:after="0" w:line="276" w:lineRule="auto"/>
              <w:jc w:val="right"/>
              <w:rPr>
                <w:rFonts w:ascii="Calibri" w:hAnsi="Calibri" w:cs="Calibri"/>
              </w:rPr>
            </w:pP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0</w:t>
            </w:r>
          </w:p>
        </w:tc>
        <w:tc>
          <w:tcPr>
            <w:tcW w:w="2335" w:type="dxa"/>
            <w:vAlign w:val="center"/>
          </w:tcPr>
          <w:p w:rsidR="00AA4661" w:rsidRPr="00F8728A" w:rsidRDefault="00AA4661" w:rsidP="0050582F">
            <w:pPr>
              <w:spacing w:after="0" w:line="276" w:lineRule="auto"/>
              <w:jc w:val="right"/>
              <w:rPr>
                <w:rFonts w:ascii="Calibri" w:hAnsi="Calibri" w:cs="Calibri"/>
              </w:rPr>
            </w:pP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Ямбол</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144</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41</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0</w:t>
            </w:r>
          </w:p>
        </w:tc>
        <w:tc>
          <w:tcPr>
            <w:tcW w:w="2335"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1</w:t>
            </w:r>
            <w:r w:rsidR="004C4282">
              <w:rPr>
                <w:rFonts w:ascii="Calibri" w:hAnsi="Calibri" w:cs="Calibri"/>
              </w:rPr>
              <w:t xml:space="preserve"> </w:t>
            </w:r>
            <w:r w:rsidRPr="00F8728A">
              <w:rPr>
                <w:rFonts w:ascii="Calibri" w:hAnsi="Calibri" w:cs="Calibri"/>
              </w:rPr>
              <w:t>330</w:t>
            </w:r>
          </w:p>
        </w:tc>
      </w:tr>
    </w:tbl>
    <w:p w:rsidR="00AA4661" w:rsidRPr="00F8728A" w:rsidRDefault="00AA4661" w:rsidP="00480EBC">
      <w:pPr>
        <w:pStyle w:val="Source"/>
        <w:jc w:val="center"/>
      </w:pPr>
      <w:r w:rsidRPr="00F8728A">
        <w:t>Източник: НСИ, 2017 г.</w:t>
      </w:r>
    </w:p>
    <w:p w:rsidR="00AA4661" w:rsidRPr="00F8728A" w:rsidRDefault="00AA4661" w:rsidP="00676435">
      <w:pPr>
        <w:jc w:val="both"/>
        <w:rPr>
          <w:rFonts w:cs="Arial"/>
          <w:i/>
          <w:szCs w:val="20"/>
        </w:rPr>
      </w:pPr>
    </w:p>
    <w:p w:rsidR="00AA4661" w:rsidRPr="00F8728A" w:rsidRDefault="00AA4661" w:rsidP="00B73D7E">
      <w:pPr>
        <w:pStyle w:val="FiguresTablesCaption"/>
      </w:pPr>
      <w:r w:rsidRPr="00F8728A">
        <w:br w:type="page"/>
      </w:r>
      <w:bookmarkStart w:id="930" w:name="_Toc506143790"/>
      <w:bookmarkStart w:id="931" w:name="_Toc529286515"/>
      <w:bookmarkStart w:id="932" w:name="_Toc529286590"/>
      <w:r w:rsidR="004E6834" w:rsidRPr="00F8728A">
        <w:t xml:space="preserve">Фигура </w:t>
      </w:r>
      <w:r w:rsidR="004E6834" w:rsidRPr="00F8728A">
        <w:fldChar w:fldCharType="begin"/>
      </w:r>
      <w:r w:rsidR="004E6834" w:rsidRPr="00F8728A">
        <w:instrText xml:space="preserve"> SEQ Figure \* ARABIC </w:instrText>
      </w:r>
      <w:r w:rsidR="004E6834" w:rsidRPr="00F8728A">
        <w:fldChar w:fldCharType="separate"/>
      </w:r>
      <w:r w:rsidR="004E6834" w:rsidRPr="00B73D7E">
        <w:t>40</w:t>
      </w:r>
      <w:r w:rsidR="004E6834" w:rsidRPr="00F8728A">
        <w:fldChar w:fldCharType="end"/>
      </w:r>
      <w:r w:rsidR="004E6834" w:rsidRPr="00F8728A">
        <w:t xml:space="preserve">. </w:t>
      </w:r>
      <w:r w:rsidRPr="00F8728A">
        <w:t>Характеристики на пожарите – общо за страната за периода 2010–2015 г.</w:t>
      </w:r>
      <w:bookmarkEnd w:id="930"/>
      <w:bookmarkEnd w:id="931"/>
      <w:bookmarkEnd w:id="932"/>
    </w:p>
    <w:p w:rsidR="00AA4661" w:rsidRPr="00F8728A" w:rsidRDefault="004C4282" w:rsidP="00B73D7E">
      <w:pPr>
        <w:spacing w:after="0"/>
        <w:jc w:val="both"/>
        <w:rPr>
          <w:rFonts w:cs="Arial"/>
          <w:szCs w:val="20"/>
        </w:rPr>
      </w:pPr>
      <w:r w:rsidRPr="00B73D7E">
        <w:rPr>
          <w:noProof/>
          <w:lang w:val="en-US"/>
        </w:rPr>
        <mc:AlternateContent>
          <mc:Choice Requires="wps">
            <w:drawing>
              <wp:anchor distT="0" distB="0" distL="114300" distR="114300" simplePos="0" relativeHeight="251653632" behindDoc="0" locked="0" layoutInCell="1" allowOverlap="1" wp14:anchorId="6E103B8B" wp14:editId="7FC93B14">
                <wp:simplePos x="0" y="0"/>
                <wp:positionH relativeFrom="column">
                  <wp:posOffset>949325</wp:posOffset>
                </wp:positionH>
                <wp:positionV relativeFrom="paragraph">
                  <wp:posOffset>3115800</wp:posOffset>
                </wp:positionV>
                <wp:extent cx="4499263" cy="171162"/>
                <wp:effectExtent l="0" t="0" r="0" b="635"/>
                <wp:wrapNone/>
                <wp:docPr id="48"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263" cy="171162"/>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FB4561" w:rsidRPr="003A4E38" w:rsidRDefault="00FB4561" w:rsidP="00F20FFC">
                            <w:pPr>
                              <w:rPr>
                                <w:sz w:val="18"/>
                              </w:rPr>
                            </w:pPr>
                            <w:r>
                              <w:rPr>
                                <w:sz w:val="18"/>
                              </w:rPr>
                              <w:t>Разходи за спасяване и извънредни работи  – в хил. лв.</w:t>
                            </w:r>
                            <w:r>
                              <w:rPr>
                                <w:sz w:val="18"/>
                                <w:lang w:val="en-US"/>
                              </w:rPr>
                              <w:t xml:space="preserve"> (</w:t>
                            </w:r>
                            <w:r>
                              <w:rPr>
                                <w:sz w:val="18"/>
                              </w:rPr>
                              <w:t>дясна ос)</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6" o:spid="_x0000_s1045" type="#_x0000_t202" style="position:absolute;left:0;text-align:left;margin-left:74.75pt;margin-top:245.35pt;width:354.25pt;height:13.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" stroked="f" strokeweight=".5pt">
                <v:textbox inset="0,0,0,0">
                  <w:txbxContent>
                    <w:p w:rsidR="00FB4561" w:rsidRPr="003A4E38" w:rsidRDefault="00FB4561" w:rsidP="00F20FFC">
                      <w:pPr>
                        <w:rPr>
                          <w:sz w:val="18"/>
                        </w:rPr>
                      </w:pPr>
                      <w:r>
                        <w:rPr>
                          <w:sz w:val="18"/>
                        </w:rPr>
                        <w:t>Разходи за спасяване и извънредни работи  – в хил. лв.</w:t>
                      </w:r>
                      <w:r>
                        <w:rPr>
                          <w:sz w:val="18"/>
                          <w:lang w:val="en-US"/>
                        </w:rPr>
                        <w:t xml:space="preserve"> (</w:t>
                      </w:r>
                      <w:r>
                        <w:rPr>
                          <w:sz w:val="18"/>
                        </w:rPr>
                        <w:t>дясна ос)</w:t>
                      </w:r>
                    </w:p>
                  </w:txbxContent>
                </v:textbox>
              </v:shape>
            </w:pict>
          </mc:Fallback>
        </mc:AlternateContent>
      </w:r>
      <w:r w:rsidR="00084198" w:rsidRPr="00B73D7E">
        <w:rPr>
          <w:noProof/>
          <w:lang w:val="en-US"/>
        </w:rPr>
        <mc:AlternateContent>
          <mc:Choice Requires="wps">
            <w:drawing>
              <wp:anchor distT="0" distB="0" distL="114300" distR="114300" simplePos="0" relativeHeight="251654656" behindDoc="0" locked="0" layoutInCell="1" allowOverlap="1" wp14:anchorId="79C7434A" wp14:editId="6C6D57AE">
                <wp:simplePos x="0" y="0"/>
                <wp:positionH relativeFrom="column">
                  <wp:posOffset>951865</wp:posOffset>
                </wp:positionH>
                <wp:positionV relativeFrom="paragraph">
                  <wp:posOffset>2914650</wp:posOffset>
                </wp:positionV>
                <wp:extent cx="2842260" cy="213360"/>
                <wp:effectExtent l="3810" t="3810" r="1905" b="1905"/>
                <wp:wrapNone/>
                <wp:docPr id="47"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2260" cy="21336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FB4561" w:rsidRPr="006F308C" w:rsidRDefault="00FB4561" w:rsidP="00F20FFC">
                            <w:pPr>
                              <w:rPr>
                                <w:sz w:val="18"/>
                              </w:rPr>
                            </w:pPr>
                            <w:r>
                              <w:rPr>
                                <w:sz w:val="18"/>
                              </w:rPr>
                              <w:t>Разходи за възстановяване – в хил. лв. (дясна ос)</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7" o:spid="_x0000_s1046" type="#_x0000_t202" style="position:absolute;left:0;text-align:left;margin-left:74.95pt;margin-top:229.5pt;width:223.8pt;height:16.8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" stroked="f" strokeweight=".5pt">
                <v:textbox inset="0,0,0,0">
                  <w:txbxContent>
                    <w:p w:rsidR="00FB4561" w:rsidRPr="006F308C" w:rsidRDefault="00FB4561" w:rsidP="00F20FFC">
                      <w:pPr>
                        <w:rPr>
                          <w:sz w:val="18"/>
                        </w:rPr>
                      </w:pPr>
                      <w:r>
                        <w:rPr>
                          <w:sz w:val="18"/>
                        </w:rPr>
                        <w:t>Разходи за възстановяване – в хил. лв. (дясна ос)</w:t>
                      </w:r>
                    </w:p>
                  </w:txbxContent>
                </v:textbox>
              </v:shape>
            </w:pict>
          </mc:Fallback>
        </mc:AlternateContent>
      </w:r>
      <w:r w:rsidR="00084198" w:rsidRPr="00B73D7E">
        <w:rPr>
          <w:noProof/>
          <w:lang w:val="en-US"/>
        </w:rPr>
        <mc:AlternateContent>
          <mc:Choice Requires="wps">
            <w:drawing>
              <wp:anchor distT="0" distB="0" distL="114300" distR="114300" simplePos="0" relativeHeight="251655680" behindDoc="0" locked="0" layoutInCell="1" allowOverlap="1" wp14:anchorId="3B20E738" wp14:editId="7853328C">
                <wp:simplePos x="0" y="0"/>
                <wp:positionH relativeFrom="column">
                  <wp:posOffset>951865</wp:posOffset>
                </wp:positionH>
                <wp:positionV relativeFrom="paragraph">
                  <wp:posOffset>2747010</wp:posOffset>
                </wp:positionV>
                <wp:extent cx="2788920" cy="182880"/>
                <wp:effectExtent l="3810" t="0" r="0" b="0"/>
                <wp:wrapNone/>
                <wp:docPr id="46"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8920" cy="18288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FB4561" w:rsidRPr="006F308C" w:rsidRDefault="00FB4561" w:rsidP="00F20FFC">
                            <w:pPr>
                              <w:rPr>
                                <w:sz w:val="18"/>
                              </w:rPr>
                            </w:pPr>
                            <w:r>
                              <w:rPr>
                                <w:sz w:val="18"/>
                              </w:rPr>
                              <w:t>Щети – в хиляди леа (дясна ос)</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8" o:spid="_x0000_s1047" type="#_x0000_t202" style="position:absolute;left:0;text-align:left;margin-left:74.95pt;margin-top:216.3pt;width:219.6pt;height:14.4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" stroked="f" strokeweight=".5pt">
                <v:textbox inset="0,0,0,0">
                  <w:txbxContent>
                    <w:p w:rsidR="00FB4561" w:rsidRPr="006F308C" w:rsidRDefault="00FB4561" w:rsidP="00F20FFC">
                      <w:pPr>
                        <w:rPr>
                          <w:sz w:val="18"/>
                        </w:rPr>
                      </w:pPr>
                      <w:r>
                        <w:rPr>
                          <w:sz w:val="18"/>
                        </w:rPr>
                        <w:t>Щети – в хиляди леа (дясна ос)</w:t>
                      </w:r>
                    </w:p>
                  </w:txbxContent>
                </v:textbox>
              </v:shape>
            </w:pict>
          </mc:Fallback>
        </mc:AlternateContent>
      </w:r>
      <w:r w:rsidR="00084198" w:rsidRPr="00B73D7E">
        <w:rPr>
          <w:noProof/>
          <w:lang w:val="en-US"/>
        </w:rPr>
        <mc:AlternateContent>
          <mc:Choice Requires="wps">
            <w:drawing>
              <wp:anchor distT="0" distB="0" distL="114300" distR="114300" simplePos="0" relativeHeight="251656704" behindDoc="0" locked="0" layoutInCell="1" allowOverlap="1" wp14:anchorId="21FA6A16" wp14:editId="1EC49507">
                <wp:simplePos x="0" y="0"/>
                <wp:positionH relativeFrom="column">
                  <wp:posOffset>951865</wp:posOffset>
                </wp:positionH>
                <wp:positionV relativeFrom="paragraph">
                  <wp:posOffset>2526030</wp:posOffset>
                </wp:positionV>
                <wp:extent cx="2316480" cy="175260"/>
                <wp:effectExtent l="3810" t="0" r="3810" b="0"/>
                <wp:wrapNone/>
                <wp:docPr id="45"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6480" cy="17526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FB4561" w:rsidRPr="003A4E38" w:rsidRDefault="00FB4561" w:rsidP="00F20FFC">
                            <w:pPr>
                              <w:rPr>
                                <w:sz w:val="18"/>
                                <w:lang w:val="de-DE"/>
                              </w:rPr>
                            </w:pPr>
                            <w:r>
                              <w:rPr>
                                <w:sz w:val="18"/>
                              </w:rPr>
                              <w:t>Брой пожари (лява ос)</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9" o:spid="_x0000_s1048" type="#_x0000_t202" style="position:absolute;left:0;text-align:left;margin-left:74.95pt;margin-top:198.9pt;width:182.4pt;height:13.8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" stroked="f" strokeweight=".5pt">
                <v:textbox inset="0,0,0,0">
                  <w:txbxContent>
                    <w:p w:rsidR="00FB4561" w:rsidRPr="003A4E38" w:rsidRDefault="00FB4561" w:rsidP="00F20FFC">
                      <w:pPr>
                        <w:rPr>
                          <w:sz w:val="18"/>
                          <w:lang w:val="de-DE"/>
                        </w:rPr>
                      </w:pPr>
                      <w:r>
                        <w:rPr>
                          <w:sz w:val="18"/>
                        </w:rPr>
                        <w:t>Брой пожари (лява ос)</w:t>
                      </w:r>
                    </w:p>
                  </w:txbxContent>
                </v:textbox>
              </v:shape>
            </w:pict>
          </mc:Fallback>
        </mc:AlternateContent>
      </w:r>
      <w:r w:rsidR="00084198" w:rsidRPr="00B73D7E">
        <w:rPr>
          <w:rFonts w:cs="Arial"/>
          <w:noProof/>
          <w:szCs w:val="20"/>
          <w:lang w:val="en-US"/>
        </w:rPr>
        <w:drawing>
          <wp:inline distT="0" distB="0" distL="0" distR="0" wp14:anchorId="7005C18E" wp14:editId="27DF4805">
            <wp:extent cx="5747385" cy="3266087"/>
            <wp:effectExtent l="19050" t="19050" r="24765" b="10795"/>
            <wp:docPr id="41"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rotWithShape="1">
                    <a:blip r:embed="rId145">
                      <a:extLst>
                        <a:ext uri="{28A0092B-C50C-407E-A947-70E740481C1C}">
                          <a14:useLocalDpi xmlns:a14="http://schemas.microsoft.com/office/drawing/2010/main" val="0"/>
                        </a:ext>
                      </a:extLst>
                    </a:blip>
                    <a:srcRect l="231" t="481" r="253" b="499"/>
                    <a:stretch/>
                  </pic:blipFill>
                  <pic:spPr bwMode="auto">
                    <a:xfrm>
                      <a:off x="0" y="0"/>
                      <a:ext cx="5748018" cy="3266447"/>
                    </a:xfrm>
                    <a:prstGeom prst="rect">
                      <a:avLst/>
                    </a:prstGeom>
                    <a:noFill/>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A4661" w:rsidRPr="00F8728A" w:rsidRDefault="00AA4661" w:rsidP="00B73D7E">
      <w:pPr>
        <w:spacing w:before="60" w:after="160" w:line="259" w:lineRule="auto"/>
        <w:jc w:val="center"/>
        <w:rPr>
          <w:rFonts w:ascii="Calibri" w:hAnsi="Calibri" w:cs="Calibri"/>
          <w:i/>
          <w:sz w:val="22"/>
        </w:rPr>
      </w:pPr>
      <w:r w:rsidRPr="00F8728A">
        <w:rPr>
          <w:rFonts w:ascii="Calibri" w:hAnsi="Calibri"/>
          <w:i/>
          <w:sz w:val="22"/>
        </w:rPr>
        <w:t>Източник: НСИ, 2017 г., НЦТР (обработка на данните и диаграма)</w:t>
      </w:r>
    </w:p>
    <w:p w:rsidR="00AA4661" w:rsidRPr="00F8728A" w:rsidRDefault="00AA4661" w:rsidP="00676435">
      <w:pPr>
        <w:jc w:val="both"/>
        <w:rPr>
          <w:rFonts w:cs="Arial"/>
          <w:szCs w:val="20"/>
        </w:rPr>
      </w:pPr>
    </w:p>
    <w:p w:rsidR="00AA4661" w:rsidRPr="008E7DAC" w:rsidRDefault="004E6834" w:rsidP="00B73D7E">
      <w:pPr>
        <w:pStyle w:val="FiguresTablesCaption"/>
      </w:pPr>
      <w:bookmarkStart w:id="933" w:name="_Toc506143791"/>
      <w:bookmarkStart w:id="934" w:name="_Toc529286516"/>
      <w:bookmarkStart w:id="935" w:name="_Toc529286591"/>
      <w:r w:rsidRPr="008E7DAC">
        <w:t xml:space="preserve">Фигура </w:t>
      </w:r>
      <w:r w:rsidRPr="008E7DAC">
        <w:fldChar w:fldCharType="begin"/>
      </w:r>
      <w:r w:rsidRPr="008E7DAC">
        <w:instrText xml:space="preserve"> SEQ Figure \* ARABIC </w:instrText>
      </w:r>
      <w:r w:rsidRPr="008E7DAC">
        <w:fldChar w:fldCharType="separate"/>
      </w:r>
      <w:r w:rsidRPr="00B73D7E">
        <w:t>41</w:t>
      </w:r>
      <w:r w:rsidRPr="008E7DAC">
        <w:fldChar w:fldCharType="end"/>
      </w:r>
      <w:r w:rsidRPr="008E7DAC">
        <w:t xml:space="preserve">. </w:t>
      </w:r>
      <w:r w:rsidR="00AA4661" w:rsidRPr="008E7DAC">
        <w:t xml:space="preserve">Характеристики на пожарите – по области: </w:t>
      </w:r>
      <w:r w:rsidR="008E7DAC">
        <w:br/>
      </w:r>
      <w:r w:rsidR="00AA4661" w:rsidRPr="008E7DAC">
        <w:t>обобщение за периода 2010–2015 г.</w:t>
      </w:r>
      <w:bookmarkEnd w:id="933"/>
      <w:bookmarkEnd w:id="934"/>
      <w:bookmarkEnd w:id="935"/>
    </w:p>
    <w:p w:rsidR="00AA4661" w:rsidRPr="00F8728A" w:rsidRDefault="00084198" w:rsidP="00480EBC">
      <w:pPr>
        <w:pStyle w:val="Source"/>
        <w:spacing w:line="276" w:lineRule="auto"/>
        <w:jc w:val="center"/>
      </w:pPr>
      <w:r w:rsidRPr="00B73D7E">
        <w:rPr>
          <w:noProof/>
          <w:lang w:val="en-US"/>
        </w:rPr>
        <mc:AlternateContent>
          <mc:Choice Requires="wps">
            <w:drawing>
              <wp:anchor distT="0" distB="0" distL="114300" distR="114300" simplePos="0" relativeHeight="251657728" behindDoc="0" locked="0" layoutInCell="1" allowOverlap="1" wp14:anchorId="3E849205" wp14:editId="7EE2AA8C">
                <wp:simplePos x="0" y="0"/>
                <wp:positionH relativeFrom="column">
                  <wp:posOffset>669925</wp:posOffset>
                </wp:positionH>
                <wp:positionV relativeFrom="paragraph">
                  <wp:posOffset>102870</wp:posOffset>
                </wp:positionV>
                <wp:extent cx="3680460" cy="182880"/>
                <wp:effectExtent l="0" t="0" r="0" b="2540"/>
                <wp:wrapNone/>
                <wp:docPr id="44"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0460" cy="182880"/>
                        </a:xfrm>
                        <a:prstGeom prst="rect">
                          <a:avLst/>
                        </a:prstGeom>
                        <a:solidFill>
                          <a:srgbClr val="D8D8D8"/>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FB4561" w:rsidRPr="00A53BE6" w:rsidRDefault="00FB4561" w:rsidP="00F20FFC">
                            <w:pPr>
                              <w:rPr>
                                <w:b/>
                                <w:sz w:val="18"/>
                              </w:rPr>
                            </w:pPr>
                            <w:r>
                              <w:rPr>
                                <w:b/>
                                <w:i/>
                                <w:sz w:val="18"/>
                              </w:rPr>
                              <w:t>Пожари</w:t>
                            </w:r>
                            <w:r w:rsidRPr="00A53BE6">
                              <w:rPr>
                                <w:b/>
                                <w:sz w:val="18"/>
                              </w:rPr>
                              <w:t>: Брой и щети по области за периода 2010 – 2015г.</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2" o:spid="_x0000_s1049" type="#_x0000_t202" style="position:absolute;left:0;text-align:left;margin-left:52.75pt;margin-top:8.1pt;width:289.8pt;height:14.4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" fillcolor="#d8d8d8" stroked="f" strokeweight=".5pt">
                <v:textbox inset="0,0,0,0">
                  <w:txbxContent>
                    <w:p w:rsidR="00FB4561" w:rsidRPr="00A53BE6" w:rsidRDefault="00FB4561" w:rsidP="00F20FFC">
                      <w:pPr>
                        <w:rPr>
                          <w:b/>
                          <w:sz w:val="18"/>
                        </w:rPr>
                      </w:pPr>
                      <w:r>
                        <w:rPr>
                          <w:b/>
                          <w:i/>
                          <w:sz w:val="18"/>
                        </w:rPr>
                        <w:t>Пожари</w:t>
                      </w:r>
                      <w:r w:rsidRPr="00A53BE6">
                        <w:rPr>
                          <w:b/>
                          <w:sz w:val="18"/>
                        </w:rPr>
                        <w:t>: Брой и щети по области за периода 2010 – 2015г.</w:t>
                      </w:r>
                    </w:p>
                  </w:txbxContent>
                </v:textbox>
              </v:shape>
            </w:pict>
          </mc:Fallback>
        </mc:AlternateContent>
      </w:r>
      <w:r w:rsidRPr="00B73D7E">
        <w:rPr>
          <w:rFonts w:cs="Arial"/>
          <w:noProof/>
          <w:lang w:val="en-US"/>
        </w:rPr>
        <w:drawing>
          <wp:inline distT="0" distB="0" distL="0" distR="0" wp14:anchorId="4C4021DF" wp14:editId="53604047">
            <wp:extent cx="5706110" cy="3970020"/>
            <wp:effectExtent l="19050" t="19050" r="8890" b="0"/>
            <wp:docPr id="42"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146">
                      <a:extLst>
                        <a:ext uri="{28A0092B-C50C-407E-A947-70E740481C1C}">
                          <a14:useLocalDpi xmlns:a14="http://schemas.microsoft.com/office/drawing/2010/main" val="0"/>
                        </a:ext>
                      </a:extLst>
                    </a:blip>
                    <a:srcRect l="485" t="1263" r="551" b="1294"/>
                    <a:stretch>
                      <a:fillRect/>
                    </a:stretch>
                  </pic:blipFill>
                  <pic:spPr bwMode="auto">
                    <a:xfrm>
                      <a:off x="0" y="0"/>
                      <a:ext cx="5706110" cy="3970020"/>
                    </a:xfrm>
                    <a:prstGeom prst="rect">
                      <a:avLst/>
                    </a:prstGeom>
                    <a:noFill/>
                    <a:ln w="6350" cmpd="sng">
                      <a:solidFill>
                        <a:srgbClr val="5B9BD5"/>
                      </a:solidFill>
                      <a:miter lim="800000"/>
                      <a:headEnd/>
                      <a:tailEnd/>
                    </a:ln>
                    <a:effectLst/>
                  </pic:spPr>
                </pic:pic>
              </a:graphicData>
            </a:graphic>
          </wp:inline>
        </w:drawing>
      </w:r>
      <w:r w:rsidR="00AA4661" w:rsidRPr="00F8728A">
        <w:t>Източник: НСИ, 2017 г., НЦТР (обработка на данните и карта).</w:t>
      </w:r>
    </w:p>
    <w:p w:rsidR="00AA4661" w:rsidRPr="00B73D7E" w:rsidRDefault="00AA4661" w:rsidP="00585E1B">
      <w:pPr>
        <w:pStyle w:val="Heading1"/>
        <w:spacing w:before="0" w:after="120"/>
        <w:jc w:val="both"/>
        <w:rPr>
          <w:rFonts w:eastAsia="Times New Roman"/>
          <w:bCs w:val="0"/>
          <w:color w:val="2F5496"/>
          <w:sz w:val="32"/>
          <w:szCs w:val="32"/>
          <w:lang w:val="bg-BG" w:eastAsia="en-US"/>
        </w:rPr>
      </w:pPr>
      <w:bookmarkStart w:id="936" w:name="_Toc522030622"/>
      <w:bookmarkStart w:id="937" w:name="_Toc529285607"/>
      <w:bookmarkStart w:id="938" w:name="_Toc486246253"/>
      <w:bookmarkStart w:id="939" w:name="_Toc486942236"/>
      <w:bookmarkStart w:id="940" w:name="_Toc501454913"/>
      <w:r w:rsidRPr="00B73D7E">
        <w:rPr>
          <w:rFonts w:eastAsia="Times New Roman"/>
          <w:bCs w:val="0"/>
          <w:color w:val="2F5496"/>
          <w:sz w:val="32"/>
          <w:szCs w:val="32"/>
          <w:lang w:val="bg-BG" w:eastAsia="en-US"/>
        </w:rPr>
        <w:t xml:space="preserve">Приложение </w:t>
      </w:r>
      <w:r w:rsidR="00954A6F" w:rsidRPr="00B73D7E">
        <w:rPr>
          <w:rFonts w:eastAsia="Times New Roman"/>
          <w:bCs w:val="0"/>
          <w:color w:val="2F5496"/>
          <w:sz w:val="32"/>
          <w:szCs w:val="32"/>
          <w:lang w:val="bg-BG" w:eastAsia="en-US"/>
        </w:rPr>
        <w:t>8</w:t>
      </w:r>
      <w:r w:rsidRPr="00B73D7E">
        <w:rPr>
          <w:rFonts w:eastAsia="Times New Roman"/>
          <w:bCs w:val="0"/>
          <w:color w:val="2F5496"/>
          <w:sz w:val="32"/>
          <w:szCs w:val="32"/>
          <w:lang w:val="bg-BG" w:eastAsia="en-US"/>
        </w:rPr>
        <w:t>. Уязвимост на градската среда в зависимост от размера и местоположението на градовете</w:t>
      </w:r>
      <w:bookmarkEnd w:id="936"/>
      <w:bookmarkEnd w:id="937"/>
      <w:r w:rsidRPr="00B73D7E">
        <w:rPr>
          <w:rFonts w:eastAsia="Times New Roman"/>
          <w:bCs w:val="0"/>
          <w:color w:val="2F5496"/>
          <w:sz w:val="32"/>
          <w:szCs w:val="32"/>
          <w:lang w:val="bg-BG" w:eastAsia="en-US"/>
        </w:rPr>
        <w:t xml:space="preserve"> </w:t>
      </w:r>
      <w:bookmarkEnd w:id="938"/>
      <w:bookmarkEnd w:id="939"/>
      <w:bookmarkEnd w:id="940"/>
    </w:p>
    <w:p w:rsidR="00AA4661" w:rsidRPr="008E7DAC" w:rsidRDefault="004E6834" w:rsidP="00B73D7E">
      <w:pPr>
        <w:pStyle w:val="FiguresTablesCaption"/>
      </w:pPr>
      <w:bookmarkStart w:id="941" w:name="_Toc529286657"/>
      <w:r w:rsidRPr="008E7DAC">
        <w:t xml:space="preserve">Таблица </w:t>
      </w:r>
      <w:r w:rsidRPr="008E7DAC">
        <w:fldChar w:fldCharType="begin"/>
      </w:r>
      <w:r w:rsidRPr="008E7DAC">
        <w:instrText xml:space="preserve"> SEQ Table \* ARABIC </w:instrText>
      </w:r>
      <w:r w:rsidRPr="008E7DAC">
        <w:fldChar w:fldCharType="separate"/>
      </w:r>
      <w:r w:rsidRPr="00B73D7E">
        <w:t>30</w:t>
      </w:r>
      <w:r w:rsidRPr="008E7DAC">
        <w:fldChar w:fldCharType="end"/>
      </w:r>
      <w:r w:rsidRPr="008E7DAC">
        <w:t xml:space="preserve">. </w:t>
      </w:r>
      <w:r w:rsidR="00AA4661" w:rsidRPr="008E7DAC">
        <w:t>Оценка на уязвимостта и капацитета</w:t>
      </w:r>
      <w:bookmarkEnd w:id="941"/>
    </w:p>
    <w:tbl>
      <w:tblPr>
        <w:tblW w:w="9097"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4563"/>
        <w:gridCol w:w="1442"/>
        <w:gridCol w:w="1558"/>
        <w:gridCol w:w="1534"/>
      </w:tblGrid>
      <w:tr w:rsidR="00AA4661" w:rsidRPr="00F8728A" w:rsidTr="00FF5825">
        <w:trPr>
          <w:trHeight w:val="272"/>
          <w:tblHeader/>
          <w:jc w:val="center"/>
        </w:trPr>
        <w:tc>
          <w:tcPr>
            <w:tcW w:w="4563" w:type="dxa"/>
            <w:shd w:val="clear" w:color="auto" w:fill="365F91"/>
            <w:vAlign w:val="center"/>
          </w:tcPr>
          <w:p w:rsidR="00AA4661" w:rsidRPr="00F8728A" w:rsidRDefault="00AA4661" w:rsidP="0050582F">
            <w:pPr>
              <w:spacing w:after="0"/>
              <w:jc w:val="center"/>
              <w:rPr>
                <w:rFonts w:ascii="Calibri" w:hAnsi="Calibri" w:cs="Calibri"/>
                <w:b/>
                <w:color w:val="FFFFFF"/>
                <w:szCs w:val="20"/>
              </w:rPr>
            </w:pPr>
            <w:r w:rsidRPr="00F8728A">
              <w:rPr>
                <w:rFonts w:ascii="Calibri" w:hAnsi="Calibri" w:cs="Calibri"/>
                <w:b/>
                <w:color w:val="FFFFFF"/>
                <w:szCs w:val="20"/>
              </w:rPr>
              <w:t>Фактор</w:t>
            </w:r>
          </w:p>
        </w:tc>
        <w:tc>
          <w:tcPr>
            <w:tcW w:w="3000" w:type="dxa"/>
            <w:gridSpan w:val="2"/>
            <w:shd w:val="clear" w:color="auto" w:fill="365F91"/>
            <w:vAlign w:val="center"/>
          </w:tcPr>
          <w:p w:rsidR="00AA4661" w:rsidRPr="00F8728A" w:rsidRDefault="00AA4661" w:rsidP="0050582F">
            <w:pPr>
              <w:spacing w:after="0"/>
              <w:jc w:val="center"/>
              <w:rPr>
                <w:rFonts w:ascii="Calibri" w:hAnsi="Calibri" w:cs="Calibri"/>
                <w:b/>
                <w:color w:val="FFFFFF"/>
                <w:szCs w:val="20"/>
              </w:rPr>
            </w:pPr>
            <w:r w:rsidRPr="00F8728A">
              <w:rPr>
                <w:rFonts w:ascii="Calibri" w:hAnsi="Calibri" w:cs="Calibri"/>
                <w:b/>
                <w:color w:val="FFFFFF"/>
                <w:szCs w:val="20"/>
              </w:rPr>
              <w:t>Уязвимост</w:t>
            </w:r>
          </w:p>
        </w:tc>
        <w:tc>
          <w:tcPr>
            <w:tcW w:w="1534" w:type="dxa"/>
            <w:shd w:val="clear" w:color="auto" w:fill="365F91"/>
            <w:vAlign w:val="center"/>
          </w:tcPr>
          <w:p w:rsidR="00AA4661" w:rsidRPr="00F8728A" w:rsidRDefault="00AA4661" w:rsidP="0050582F">
            <w:pPr>
              <w:spacing w:after="0"/>
              <w:jc w:val="center"/>
              <w:rPr>
                <w:rFonts w:ascii="Calibri" w:hAnsi="Calibri" w:cs="Calibri"/>
                <w:b/>
                <w:color w:val="FFFFFF"/>
                <w:szCs w:val="20"/>
              </w:rPr>
            </w:pPr>
            <w:r w:rsidRPr="00F8728A">
              <w:rPr>
                <w:rFonts w:ascii="Calibri" w:hAnsi="Calibri" w:cs="Calibri"/>
                <w:b/>
                <w:color w:val="FFFFFF"/>
                <w:szCs w:val="20"/>
              </w:rPr>
              <w:t>Капацитет</w:t>
            </w:r>
          </w:p>
        </w:tc>
      </w:tr>
      <w:tr w:rsidR="00AA4661" w:rsidRPr="00F8728A" w:rsidTr="00FF5825">
        <w:trPr>
          <w:tblHeader/>
          <w:jc w:val="center"/>
        </w:trPr>
        <w:tc>
          <w:tcPr>
            <w:tcW w:w="4563" w:type="dxa"/>
            <w:shd w:val="clear" w:color="auto" w:fill="8DB3E2"/>
            <w:vAlign w:val="center"/>
          </w:tcPr>
          <w:p w:rsidR="00AA4661" w:rsidRPr="00F8728A" w:rsidRDefault="00AA4661" w:rsidP="0050582F">
            <w:pPr>
              <w:spacing w:after="0"/>
              <w:contextualSpacing/>
              <w:jc w:val="center"/>
              <w:rPr>
                <w:rFonts w:ascii="Calibri" w:hAnsi="Calibri" w:cs="Calibri"/>
                <w:b/>
                <w:color w:val="FFFFFF"/>
                <w:szCs w:val="20"/>
              </w:rPr>
            </w:pPr>
            <w:r w:rsidRPr="00F8728A">
              <w:rPr>
                <w:rFonts w:ascii="Calibri" w:hAnsi="Calibri" w:cs="Calibri"/>
                <w:b/>
                <w:color w:val="000000"/>
                <w:szCs w:val="20"/>
              </w:rPr>
              <w:t>Фактор/ Въздействие на климатичните промени/ По размер и местоположение на градовете</w:t>
            </w:r>
          </w:p>
        </w:tc>
        <w:tc>
          <w:tcPr>
            <w:tcW w:w="1442" w:type="dxa"/>
            <w:shd w:val="clear" w:color="auto" w:fill="8DB3E2"/>
            <w:vAlign w:val="center"/>
          </w:tcPr>
          <w:p w:rsidR="00AA4661" w:rsidRPr="00F8728A" w:rsidRDefault="00AA4661" w:rsidP="0050582F">
            <w:pPr>
              <w:spacing w:after="0"/>
              <w:contextualSpacing/>
              <w:jc w:val="center"/>
              <w:rPr>
                <w:rFonts w:ascii="Calibri" w:hAnsi="Calibri" w:cs="Calibri"/>
                <w:b/>
                <w:color w:val="000000"/>
                <w:szCs w:val="20"/>
              </w:rPr>
            </w:pPr>
            <w:r w:rsidRPr="00F8728A">
              <w:rPr>
                <w:rFonts w:ascii="Calibri" w:hAnsi="Calibri" w:cs="Calibri"/>
                <w:b/>
                <w:color w:val="000000"/>
                <w:szCs w:val="20"/>
              </w:rPr>
              <w:t xml:space="preserve">Излагане </w:t>
            </w:r>
            <w:r w:rsidRPr="00F8728A">
              <w:rPr>
                <w:rFonts w:ascii="Calibri" w:hAnsi="Calibri" w:cs="Calibri"/>
                <w:color w:val="000000"/>
                <w:szCs w:val="20"/>
              </w:rPr>
              <w:t>(мащабирано)</w:t>
            </w:r>
          </w:p>
        </w:tc>
        <w:tc>
          <w:tcPr>
            <w:tcW w:w="1558" w:type="dxa"/>
            <w:shd w:val="clear" w:color="auto" w:fill="8DB3E2"/>
            <w:vAlign w:val="center"/>
          </w:tcPr>
          <w:p w:rsidR="00AA4661" w:rsidRPr="00F8728A" w:rsidRDefault="00AA4661" w:rsidP="0050582F">
            <w:pPr>
              <w:spacing w:after="0"/>
              <w:contextualSpacing/>
              <w:jc w:val="center"/>
              <w:rPr>
                <w:rFonts w:ascii="Calibri" w:hAnsi="Calibri" w:cs="Calibri"/>
                <w:b/>
                <w:color w:val="000000"/>
                <w:szCs w:val="20"/>
              </w:rPr>
            </w:pPr>
            <w:r w:rsidRPr="00F8728A">
              <w:rPr>
                <w:rFonts w:ascii="Calibri" w:hAnsi="Calibri" w:cs="Calibri"/>
                <w:b/>
                <w:color w:val="000000"/>
                <w:szCs w:val="20"/>
              </w:rPr>
              <w:t xml:space="preserve">Чувствителност </w:t>
            </w:r>
            <w:r w:rsidRPr="00F8728A">
              <w:rPr>
                <w:rFonts w:ascii="Calibri" w:hAnsi="Calibri" w:cs="Calibri"/>
                <w:color w:val="000000"/>
                <w:szCs w:val="20"/>
              </w:rPr>
              <w:t>(мащабирано</w:t>
            </w:r>
            <w:r w:rsidRPr="00F8728A">
              <w:rPr>
                <w:rFonts w:ascii="Calibri" w:hAnsi="Calibri" w:cs="Calibri"/>
                <w:b/>
                <w:color w:val="000000"/>
                <w:szCs w:val="20"/>
              </w:rPr>
              <w:t>)</w:t>
            </w:r>
          </w:p>
        </w:tc>
        <w:tc>
          <w:tcPr>
            <w:tcW w:w="1534" w:type="dxa"/>
            <w:shd w:val="clear" w:color="auto" w:fill="8DB3E2"/>
            <w:vAlign w:val="center"/>
          </w:tcPr>
          <w:p w:rsidR="00AA4661" w:rsidRPr="00F8728A" w:rsidRDefault="00AA4661" w:rsidP="009B73C5">
            <w:pPr>
              <w:spacing w:after="0"/>
              <w:jc w:val="both"/>
              <w:rPr>
                <w:rFonts w:ascii="Calibri" w:hAnsi="Calibri" w:cs="Calibri"/>
                <w:b/>
                <w:color w:val="FFFFFF"/>
                <w:szCs w:val="20"/>
              </w:rPr>
            </w:pPr>
          </w:p>
        </w:tc>
      </w:tr>
      <w:tr w:rsidR="00AA4661" w:rsidRPr="00F8728A" w:rsidTr="00FF5825">
        <w:trPr>
          <w:jc w:val="center"/>
        </w:trPr>
        <w:tc>
          <w:tcPr>
            <w:tcW w:w="4563" w:type="dxa"/>
            <w:shd w:val="clear" w:color="auto" w:fill="D9D9D9"/>
            <w:vAlign w:val="center"/>
          </w:tcPr>
          <w:p w:rsidR="00AA4661" w:rsidRPr="00F8728A" w:rsidRDefault="00AA4661" w:rsidP="009B73C5">
            <w:pPr>
              <w:spacing w:after="0"/>
              <w:jc w:val="both"/>
              <w:rPr>
                <w:rFonts w:ascii="Calibri" w:hAnsi="Calibri" w:cs="Calibri"/>
                <w:b/>
                <w:szCs w:val="20"/>
              </w:rPr>
            </w:pPr>
            <w:r w:rsidRPr="00F8728A">
              <w:rPr>
                <w:rFonts w:ascii="Calibri" w:hAnsi="Calibri" w:cs="Calibri"/>
                <w:b/>
                <w:szCs w:val="20"/>
              </w:rPr>
              <w:t>Екстремални температури</w:t>
            </w:r>
          </w:p>
        </w:tc>
        <w:tc>
          <w:tcPr>
            <w:tcW w:w="1442" w:type="dxa"/>
            <w:shd w:val="clear" w:color="auto" w:fill="D9D9D9"/>
            <w:vAlign w:val="center"/>
          </w:tcPr>
          <w:p w:rsidR="00AA4661" w:rsidRPr="00F8728A" w:rsidRDefault="00AA4661" w:rsidP="009B73C5">
            <w:pPr>
              <w:spacing w:after="0"/>
              <w:jc w:val="both"/>
              <w:rPr>
                <w:rFonts w:ascii="Calibri" w:hAnsi="Calibri" w:cs="Calibri"/>
                <w:b/>
                <w:szCs w:val="20"/>
              </w:rPr>
            </w:pPr>
          </w:p>
        </w:tc>
        <w:tc>
          <w:tcPr>
            <w:tcW w:w="1558" w:type="dxa"/>
            <w:shd w:val="clear" w:color="auto" w:fill="D9D9D9"/>
            <w:vAlign w:val="center"/>
          </w:tcPr>
          <w:p w:rsidR="00AA4661" w:rsidRPr="00F8728A" w:rsidRDefault="00AA4661" w:rsidP="009B73C5">
            <w:pPr>
              <w:spacing w:after="0"/>
              <w:jc w:val="both"/>
              <w:rPr>
                <w:rFonts w:ascii="Calibri" w:hAnsi="Calibri" w:cs="Calibri"/>
                <w:b/>
                <w:szCs w:val="20"/>
              </w:rPr>
            </w:pPr>
          </w:p>
        </w:tc>
        <w:tc>
          <w:tcPr>
            <w:tcW w:w="1534" w:type="dxa"/>
            <w:shd w:val="clear" w:color="auto" w:fill="D9D9D9"/>
            <w:vAlign w:val="center"/>
          </w:tcPr>
          <w:p w:rsidR="00AA4661" w:rsidRPr="00F8728A" w:rsidRDefault="00AA4661" w:rsidP="009B73C5">
            <w:pPr>
              <w:spacing w:after="0"/>
              <w:jc w:val="both"/>
              <w:rPr>
                <w:rFonts w:ascii="Calibri" w:hAnsi="Calibri" w:cs="Calibri"/>
                <w:b/>
                <w:szCs w:val="20"/>
              </w:rPr>
            </w:pPr>
          </w:p>
        </w:tc>
      </w:tr>
      <w:tr w:rsidR="00AA4661" w:rsidRPr="00F8728A" w:rsidTr="00FF5825">
        <w:trPr>
          <w:jc w:val="center"/>
        </w:trPr>
        <w:tc>
          <w:tcPr>
            <w:tcW w:w="4563" w:type="dxa"/>
            <w:shd w:val="clear" w:color="auto" w:fill="B8CCE4"/>
            <w:vAlign w:val="center"/>
          </w:tcPr>
          <w:p w:rsidR="00AA4661" w:rsidRPr="00F8728A" w:rsidRDefault="00AA4661" w:rsidP="009B73C5">
            <w:pPr>
              <w:spacing w:after="0"/>
              <w:jc w:val="both"/>
              <w:rPr>
                <w:rFonts w:ascii="Calibri" w:hAnsi="Calibri" w:cs="Calibri"/>
                <w:b/>
                <w:szCs w:val="20"/>
              </w:rPr>
            </w:pPr>
            <w:r w:rsidRPr="00F8728A">
              <w:rPr>
                <w:rFonts w:ascii="Calibri" w:hAnsi="Calibri" w:cs="Calibri"/>
                <w:b/>
                <w:szCs w:val="20"/>
              </w:rPr>
              <w:t>Градове, разположени в равнини</w:t>
            </w:r>
          </w:p>
        </w:tc>
        <w:tc>
          <w:tcPr>
            <w:tcW w:w="1442" w:type="dxa"/>
            <w:vAlign w:val="center"/>
          </w:tcPr>
          <w:p w:rsidR="00AA4661" w:rsidRPr="00F8728A" w:rsidRDefault="00AA4661" w:rsidP="00DE6347">
            <w:pPr>
              <w:spacing w:after="0"/>
              <w:jc w:val="center"/>
              <w:rPr>
                <w:rFonts w:ascii="Calibri" w:hAnsi="Calibri" w:cs="Calibri"/>
                <w:b/>
                <w:i/>
                <w:szCs w:val="20"/>
              </w:rPr>
            </w:pPr>
          </w:p>
        </w:tc>
        <w:tc>
          <w:tcPr>
            <w:tcW w:w="1558" w:type="dxa"/>
            <w:vAlign w:val="center"/>
          </w:tcPr>
          <w:p w:rsidR="00AA4661" w:rsidRPr="00F8728A" w:rsidRDefault="00AA4661" w:rsidP="00DE6347">
            <w:pPr>
              <w:spacing w:after="0"/>
              <w:jc w:val="center"/>
              <w:rPr>
                <w:rFonts w:ascii="Calibri" w:hAnsi="Calibri" w:cs="Calibri"/>
                <w:b/>
                <w:i/>
                <w:szCs w:val="20"/>
              </w:rPr>
            </w:pPr>
          </w:p>
        </w:tc>
        <w:tc>
          <w:tcPr>
            <w:tcW w:w="1534" w:type="dxa"/>
            <w:vAlign w:val="center"/>
          </w:tcPr>
          <w:p w:rsidR="00AA4661" w:rsidRPr="00F8728A" w:rsidRDefault="00AA4661" w:rsidP="00DE6347">
            <w:pPr>
              <w:spacing w:after="0"/>
              <w:jc w:val="center"/>
              <w:rPr>
                <w:rFonts w:ascii="Calibri" w:hAnsi="Calibri" w:cs="Calibri"/>
                <w:b/>
                <w:i/>
                <w:szCs w:val="20"/>
              </w:rPr>
            </w:pP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Големи</w:t>
            </w:r>
            <w:r w:rsidRPr="00F8728A">
              <w:rPr>
                <w:rFonts w:ascii="Calibri" w:hAnsi="Calibri" w:cs="Calibri"/>
              </w:rPr>
              <w:t xml:space="preserve"> (над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 xml:space="preserve">Средни </w:t>
            </w:r>
            <w:r w:rsidRPr="00F8728A">
              <w:rPr>
                <w:rFonts w:ascii="Calibri" w:hAnsi="Calibri" w:cs="Calibri"/>
              </w:rPr>
              <w:t>(&gt; 30</w:t>
            </w:r>
            <w:r w:rsidR="001E50A7">
              <w:rPr>
                <w:rFonts w:ascii="Calibri" w:hAnsi="Calibri" w:cs="Calibri"/>
              </w:rPr>
              <w:t xml:space="preserve"> </w:t>
            </w:r>
            <w:r w:rsidRPr="00F8728A">
              <w:rPr>
                <w:rFonts w:ascii="Calibri" w:hAnsi="Calibri" w:cs="Calibri"/>
              </w:rPr>
              <w:t>000 и &lt;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Малки</w:t>
            </w:r>
            <w:r w:rsidRPr="00F8728A">
              <w:rPr>
                <w:rFonts w:ascii="Calibri" w:hAnsi="Calibri" w:cs="Calibri"/>
              </w:rPr>
              <w:t xml:space="preserve"> (&lt; 30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B8CCE4"/>
            <w:vAlign w:val="center"/>
          </w:tcPr>
          <w:p w:rsidR="00AA4661" w:rsidRPr="00F8728A" w:rsidRDefault="00AA4661" w:rsidP="0050582F">
            <w:pPr>
              <w:spacing w:after="0"/>
              <w:rPr>
                <w:rFonts w:ascii="Calibri" w:hAnsi="Calibri" w:cs="Calibri"/>
                <w:b/>
                <w:szCs w:val="20"/>
              </w:rPr>
            </w:pPr>
            <w:r w:rsidRPr="00F8728A">
              <w:rPr>
                <w:rFonts w:ascii="Calibri" w:hAnsi="Calibri" w:cs="Calibri"/>
                <w:b/>
                <w:szCs w:val="20"/>
              </w:rPr>
              <w:t>Градове, разположени в планински и полупланински територии</w:t>
            </w:r>
          </w:p>
        </w:tc>
        <w:tc>
          <w:tcPr>
            <w:tcW w:w="1442" w:type="dxa"/>
            <w:vAlign w:val="center"/>
          </w:tcPr>
          <w:p w:rsidR="00AA4661" w:rsidRPr="00F8728A" w:rsidRDefault="00AA4661" w:rsidP="00DE6347">
            <w:pPr>
              <w:spacing w:after="0"/>
              <w:jc w:val="center"/>
              <w:rPr>
                <w:rFonts w:ascii="Calibri" w:hAnsi="Calibri" w:cs="Calibri"/>
                <w:szCs w:val="20"/>
              </w:rPr>
            </w:pPr>
          </w:p>
        </w:tc>
        <w:tc>
          <w:tcPr>
            <w:tcW w:w="1558" w:type="dxa"/>
            <w:vAlign w:val="center"/>
          </w:tcPr>
          <w:p w:rsidR="00AA4661" w:rsidRPr="00F8728A" w:rsidRDefault="00AA4661" w:rsidP="00DE6347">
            <w:pPr>
              <w:spacing w:after="0"/>
              <w:jc w:val="center"/>
              <w:rPr>
                <w:rFonts w:ascii="Calibri" w:hAnsi="Calibri" w:cs="Calibri"/>
                <w:szCs w:val="20"/>
              </w:rPr>
            </w:pPr>
          </w:p>
        </w:tc>
        <w:tc>
          <w:tcPr>
            <w:tcW w:w="1534" w:type="dxa"/>
            <w:vAlign w:val="center"/>
          </w:tcPr>
          <w:p w:rsidR="00AA4661" w:rsidRPr="00F8728A" w:rsidRDefault="00AA4661" w:rsidP="00DE6347">
            <w:pPr>
              <w:spacing w:after="0"/>
              <w:jc w:val="center"/>
              <w:rPr>
                <w:rFonts w:ascii="Calibri" w:hAnsi="Calibri" w:cs="Calibri"/>
                <w:szCs w:val="20"/>
              </w:rPr>
            </w:pP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Големи</w:t>
            </w:r>
            <w:r w:rsidRPr="00F8728A">
              <w:rPr>
                <w:rFonts w:ascii="Calibri" w:hAnsi="Calibri" w:cs="Calibri"/>
              </w:rPr>
              <w:t xml:space="preserve"> (над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 xml:space="preserve">Средни </w:t>
            </w:r>
            <w:r w:rsidRPr="00F8728A">
              <w:rPr>
                <w:rFonts w:ascii="Calibri" w:hAnsi="Calibri" w:cs="Calibri"/>
              </w:rPr>
              <w:t>(&gt; 30</w:t>
            </w:r>
            <w:r w:rsidR="001E50A7">
              <w:rPr>
                <w:rFonts w:ascii="Calibri" w:hAnsi="Calibri" w:cs="Calibri"/>
              </w:rPr>
              <w:t xml:space="preserve"> </w:t>
            </w:r>
            <w:r w:rsidRPr="00F8728A">
              <w:rPr>
                <w:rFonts w:ascii="Calibri" w:hAnsi="Calibri" w:cs="Calibri"/>
              </w:rPr>
              <w:t>000 и &lt;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Малки</w:t>
            </w:r>
            <w:r w:rsidRPr="00F8728A">
              <w:rPr>
                <w:rFonts w:ascii="Calibri" w:hAnsi="Calibri" w:cs="Calibri"/>
              </w:rPr>
              <w:t xml:space="preserve"> (&lt; 30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0</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0</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B8CCE4"/>
            <w:vAlign w:val="center"/>
          </w:tcPr>
          <w:p w:rsidR="00AA4661" w:rsidRPr="00F8728A" w:rsidRDefault="00AA4661" w:rsidP="009B73C5">
            <w:pPr>
              <w:spacing w:after="0"/>
              <w:jc w:val="both"/>
              <w:rPr>
                <w:rFonts w:ascii="Calibri" w:hAnsi="Calibri" w:cs="Calibri"/>
                <w:b/>
                <w:szCs w:val="20"/>
              </w:rPr>
            </w:pPr>
            <w:r w:rsidRPr="00F8728A">
              <w:rPr>
                <w:rFonts w:ascii="Calibri" w:hAnsi="Calibri" w:cs="Calibri"/>
                <w:b/>
                <w:szCs w:val="20"/>
              </w:rPr>
              <w:t>Градове по Черноморието</w:t>
            </w:r>
          </w:p>
        </w:tc>
        <w:tc>
          <w:tcPr>
            <w:tcW w:w="1442" w:type="dxa"/>
            <w:vAlign w:val="center"/>
          </w:tcPr>
          <w:p w:rsidR="00AA4661" w:rsidRPr="00F8728A" w:rsidRDefault="00AA4661" w:rsidP="00DE6347">
            <w:pPr>
              <w:spacing w:after="0"/>
              <w:jc w:val="center"/>
              <w:rPr>
                <w:rFonts w:ascii="Calibri" w:hAnsi="Calibri" w:cs="Calibri"/>
                <w:szCs w:val="20"/>
              </w:rPr>
            </w:pPr>
          </w:p>
        </w:tc>
        <w:tc>
          <w:tcPr>
            <w:tcW w:w="1558" w:type="dxa"/>
            <w:vAlign w:val="center"/>
          </w:tcPr>
          <w:p w:rsidR="00AA4661" w:rsidRPr="00F8728A" w:rsidRDefault="00AA4661" w:rsidP="00DE6347">
            <w:pPr>
              <w:spacing w:after="0"/>
              <w:jc w:val="center"/>
              <w:rPr>
                <w:rFonts w:ascii="Calibri" w:hAnsi="Calibri" w:cs="Calibri"/>
                <w:szCs w:val="20"/>
              </w:rPr>
            </w:pPr>
          </w:p>
        </w:tc>
        <w:tc>
          <w:tcPr>
            <w:tcW w:w="1534" w:type="dxa"/>
            <w:vAlign w:val="center"/>
          </w:tcPr>
          <w:p w:rsidR="00AA4661" w:rsidRPr="00F8728A" w:rsidRDefault="00AA4661" w:rsidP="00DE6347">
            <w:pPr>
              <w:spacing w:after="0"/>
              <w:jc w:val="center"/>
              <w:rPr>
                <w:rFonts w:ascii="Calibri" w:hAnsi="Calibri" w:cs="Calibri"/>
                <w:szCs w:val="20"/>
              </w:rPr>
            </w:pP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Големи</w:t>
            </w:r>
            <w:r w:rsidRPr="00F8728A">
              <w:rPr>
                <w:rFonts w:ascii="Calibri" w:hAnsi="Calibri" w:cs="Calibri"/>
              </w:rPr>
              <w:t xml:space="preserve"> (над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 xml:space="preserve">Средни </w:t>
            </w:r>
            <w:r w:rsidRPr="00F8728A">
              <w:rPr>
                <w:rFonts w:ascii="Calibri" w:hAnsi="Calibri" w:cs="Calibri"/>
              </w:rPr>
              <w:t>(&gt; 30</w:t>
            </w:r>
            <w:r w:rsidR="001E50A7">
              <w:rPr>
                <w:rFonts w:ascii="Calibri" w:hAnsi="Calibri" w:cs="Calibri"/>
              </w:rPr>
              <w:t xml:space="preserve"> </w:t>
            </w:r>
            <w:r w:rsidRPr="00F8728A">
              <w:rPr>
                <w:rFonts w:ascii="Calibri" w:hAnsi="Calibri" w:cs="Calibri"/>
              </w:rPr>
              <w:t>000 и &lt;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Малки</w:t>
            </w:r>
            <w:r w:rsidRPr="00F8728A">
              <w:rPr>
                <w:rFonts w:ascii="Calibri" w:hAnsi="Calibri" w:cs="Calibri"/>
              </w:rPr>
              <w:t xml:space="preserve"> (&lt; 30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0</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0</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9B73C5">
            <w:pPr>
              <w:spacing w:after="0"/>
              <w:jc w:val="both"/>
              <w:rPr>
                <w:rFonts w:ascii="Calibri" w:hAnsi="Calibri" w:cs="Calibri"/>
                <w:b/>
                <w:szCs w:val="20"/>
              </w:rPr>
            </w:pPr>
            <w:r w:rsidRPr="00F8728A">
              <w:rPr>
                <w:rFonts w:ascii="Calibri" w:hAnsi="Calibri" w:cs="Calibri"/>
                <w:b/>
                <w:szCs w:val="20"/>
              </w:rPr>
              <w:t xml:space="preserve">Градове на р. Дунав </w:t>
            </w:r>
          </w:p>
        </w:tc>
        <w:tc>
          <w:tcPr>
            <w:tcW w:w="1442" w:type="dxa"/>
            <w:vAlign w:val="center"/>
          </w:tcPr>
          <w:p w:rsidR="00AA4661" w:rsidRPr="00F8728A" w:rsidRDefault="00AA4661" w:rsidP="00DE6347">
            <w:pPr>
              <w:spacing w:after="0"/>
              <w:jc w:val="center"/>
              <w:rPr>
                <w:rFonts w:ascii="Calibri" w:hAnsi="Calibri" w:cs="Calibri"/>
                <w:szCs w:val="20"/>
              </w:rPr>
            </w:pPr>
          </w:p>
        </w:tc>
        <w:tc>
          <w:tcPr>
            <w:tcW w:w="1558" w:type="dxa"/>
            <w:vAlign w:val="center"/>
          </w:tcPr>
          <w:p w:rsidR="00AA4661" w:rsidRPr="00F8728A" w:rsidRDefault="00AA4661" w:rsidP="00DE6347">
            <w:pPr>
              <w:spacing w:after="0"/>
              <w:jc w:val="center"/>
              <w:rPr>
                <w:rFonts w:ascii="Calibri" w:hAnsi="Calibri" w:cs="Calibri"/>
                <w:szCs w:val="20"/>
              </w:rPr>
            </w:pPr>
          </w:p>
        </w:tc>
        <w:tc>
          <w:tcPr>
            <w:tcW w:w="1534" w:type="dxa"/>
            <w:vAlign w:val="center"/>
          </w:tcPr>
          <w:p w:rsidR="00AA4661" w:rsidRPr="00F8728A" w:rsidRDefault="00AA4661" w:rsidP="00DE6347">
            <w:pPr>
              <w:spacing w:after="0"/>
              <w:jc w:val="center"/>
              <w:rPr>
                <w:rFonts w:ascii="Calibri" w:hAnsi="Calibri" w:cs="Calibri"/>
                <w:szCs w:val="20"/>
              </w:rPr>
            </w:pP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Големи</w:t>
            </w:r>
            <w:r w:rsidRPr="00F8728A">
              <w:rPr>
                <w:rFonts w:ascii="Calibri" w:hAnsi="Calibri" w:cs="Calibri"/>
              </w:rPr>
              <w:t xml:space="preserve"> (над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 xml:space="preserve">Средни </w:t>
            </w:r>
            <w:r w:rsidRPr="00F8728A">
              <w:rPr>
                <w:rFonts w:ascii="Calibri" w:hAnsi="Calibri" w:cs="Calibri"/>
              </w:rPr>
              <w:t>(&gt; 30</w:t>
            </w:r>
            <w:r w:rsidR="001E50A7">
              <w:rPr>
                <w:rFonts w:ascii="Calibri" w:hAnsi="Calibri" w:cs="Calibri"/>
              </w:rPr>
              <w:t xml:space="preserve"> </w:t>
            </w:r>
            <w:r w:rsidRPr="00F8728A">
              <w:rPr>
                <w:rFonts w:ascii="Calibri" w:hAnsi="Calibri" w:cs="Calibri"/>
              </w:rPr>
              <w:t>000 и &lt;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Малки</w:t>
            </w:r>
            <w:r w:rsidRPr="00F8728A">
              <w:rPr>
                <w:rFonts w:ascii="Calibri" w:hAnsi="Calibri" w:cs="Calibri"/>
              </w:rPr>
              <w:t xml:space="preserve"> (&lt; 30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D9D9D9"/>
            <w:vAlign w:val="center"/>
          </w:tcPr>
          <w:p w:rsidR="00AA4661" w:rsidRPr="00F8728A" w:rsidRDefault="00AA4661" w:rsidP="009B73C5">
            <w:pPr>
              <w:spacing w:after="0"/>
              <w:jc w:val="both"/>
              <w:rPr>
                <w:rFonts w:ascii="Calibri" w:hAnsi="Calibri" w:cs="Calibri"/>
                <w:b/>
                <w:szCs w:val="20"/>
              </w:rPr>
            </w:pPr>
            <w:r w:rsidRPr="00F8728A">
              <w:rPr>
                <w:rFonts w:ascii="Calibri" w:hAnsi="Calibri" w:cs="Calibri"/>
                <w:b/>
                <w:szCs w:val="20"/>
              </w:rPr>
              <w:t>Наводнение/ буря</w:t>
            </w:r>
          </w:p>
        </w:tc>
        <w:tc>
          <w:tcPr>
            <w:tcW w:w="1442" w:type="dxa"/>
            <w:shd w:val="clear" w:color="auto" w:fill="D9D9D9"/>
            <w:vAlign w:val="center"/>
          </w:tcPr>
          <w:p w:rsidR="00AA4661" w:rsidRPr="00F8728A" w:rsidRDefault="00AA4661" w:rsidP="00DE6347">
            <w:pPr>
              <w:spacing w:after="0"/>
              <w:jc w:val="center"/>
              <w:rPr>
                <w:rFonts w:ascii="Calibri" w:hAnsi="Calibri" w:cs="Calibri"/>
                <w:b/>
                <w:szCs w:val="20"/>
              </w:rPr>
            </w:pPr>
          </w:p>
        </w:tc>
        <w:tc>
          <w:tcPr>
            <w:tcW w:w="1558" w:type="dxa"/>
            <w:shd w:val="clear" w:color="auto" w:fill="D9D9D9"/>
            <w:vAlign w:val="center"/>
          </w:tcPr>
          <w:p w:rsidR="00AA4661" w:rsidRPr="00F8728A" w:rsidRDefault="00AA4661" w:rsidP="00DE6347">
            <w:pPr>
              <w:spacing w:after="0"/>
              <w:jc w:val="center"/>
              <w:rPr>
                <w:rFonts w:ascii="Calibri" w:hAnsi="Calibri" w:cs="Calibri"/>
                <w:b/>
                <w:szCs w:val="20"/>
              </w:rPr>
            </w:pPr>
          </w:p>
        </w:tc>
        <w:tc>
          <w:tcPr>
            <w:tcW w:w="1534" w:type="dxa"/>
            <w:shd w:val="clear" w:color="auto" w:fill="D9D9D9"/>
            <w:vAlign w:val="center"/>
          </w:tcPr>
          <w:p w:rsidR="00AA4661" w:rsidRPr="00F8728A" w:rsidRDefault="00AA4661" w:rsidP="00DE6347">
            <w:pPr>
              <w:spacing w:after="0"/>
              <w:jc w:val="center"/>
              <w:rPr>
                <w:rFonts w:ascii="Calibri" w:hAnsi="Calibri" w:cs="Calibri"/>
                <w:b/>
                <w:szCs w:val="20"/>
              </w:rPr>
            </w:pPr>
          </w:p>
        </w:tc>
      </w:tr>
      <w:tr w:rsidR="00AA4661" w:rsidRPr="00F8728A" w:rsidTr="00FF5825">
        <w:trPr>
          <w:jc w:val="center"/>
        </w:trPr>
        <w:tc>
          <w:tcPr>
            <w:tcW w:w="4563" w:type="dxa"/>
            <w:shd w:val="clear" w:color="auto" w:fill="B8CCE4"/>
            <w:vAlign w:val="center"/>
          </w:tcPr>
          <w:p w:rsidR="00AA4661" w:rsidRPr="00F8728A" w:rsidRDefault="00AA4661" w:rsidP="009B73C5">
            <w:pPr>
              <w:spacing w:after="0"/>
              <w:jc w:val="both"/>
              <w:rPr>
                <w:rFonts w:ascii="Calibri" w:hAnsi="Calibri" w:cs="Calibri"/>
                <w:b/>
                <w:szCs w:val="20"/>
              </w:rPr>
            </w:pPr>
            <w:r w:rsidRPr="00F8728A">
              <w:rPr>
                <w:rFonts w:ascii="Calibri" w:hAnsi="Calibri" w:cs="Calibri"/>
                <w:b/>
                <w:szCs w:val="20"/>
              </w:rPr>
              <w:t>Градове, разположени в равнини</w:t>
            </w:r>
          </w:p>
        </w:tc>
        <w:tc>
          <w:tcPr>
            <w:tcW w:w="1442" w:type="dxa"/>
            <w:vAlign w:val="center"/>
          </w:tcPr>
          <w:p w:rsidR="00AA4661" w:rsidRPr="00F8728A" w:rsidRDefault="00AA4661" w:rsidP="00DE6347">
            <w:pPr>
              <w:spacing w:after="0"/>
              <w:jc w:val="center"/>
              <w:rPr>
                <w:rFonts w:ascii="Calibri" w:hAnsi="Calibri" w:cs="Calibri"/>
                <w:b/>
                <w:i/>
                <w:szCs w:val="20"/>
              </w:rPr>
            </w:pPr>
          </w:p>
        </w:tc>
        <w:tc>
          <w:tcPr>
            <w:tcW w:w="1558" w:type="dxa"/>
            <w:vAlign w:val="center"/>
          </w:tcPr>
          <w:p w:rsidR="00AA4661" w:rsidRPr="00F8728A" w:rsidRDefault="00AA4661" w:rsidP="00DE6347">
            <w:pPr>
              <w:spacing w:after="0"/>
              <w:jc w:val="center"/>
              <w:rPr>
                <w:rFonts w:ascii="Calibri" w:hAnsi="Calibri" w:cs="Calibri"/>
                <w:b/>
                <w:i/>
                <w:szCs w:val="20"/>
              </w:rPr>
            </w:pPr>
          </w:p>
        </w:tc>
        <w:tc>
          <w:tcPr>
            <w:tcW w:w="1534" w:type="dxa"/>
            <w:vAlign w:val="center"/>
          </w:tcPr>
          <w:p w:rsidR="00AA4661" w:rsidRPr="00F8728A" w:rsidRDefault="00AA4661" w:rsidP="00DE6347">
            <w:pPr>
              <w:spacing w:after="0"/>
              <w:jc w:val="center"/>
              <w:rPr>
                <w:rFonts w:ascii="Calibri" w:hAnsi="Calibri" w:cs="Calibri"/>
                <w:b/>
                <w:i/>
                <w:szCs w:val="20"/>
              </w:rPr>
            </w:pP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Големи</w:t>
            </w:r>
            <w:r w:rsidRPr="00F8728A">
              <w:rPr>
                <w:rFonts w:ascii="Calibri" w:hAnsi="Calibri" w:cs="Calibri"/>
              </w:rPr>
              <w:t xml:space="preserve"> (над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 xml:space="preserve">Средни </w:t>
            </w:r>
            <w:r w:rsidRPr="00F8728A">
              <w:rPr>
                <w:rFonts w:ascii="Calibri" w:hAnsi="Calibri" w:cs="Calibri"/>
              </w:rPr>
              <w:t>(&gt; 30</w:t>
            </w:r>
            <w:r w:rsidR="001E50A7">
              <w:rPr>
                <w:rFonts w:ascii="Calibri" w:hAnsi="Calibri" w:cs="Calibri"/>
              </w:rPr>
              <w:t xml:space="preserve"> </w:t>
            </w:r>
            <w:r w:rsidRPr="00F8728A">
              <w:rPr>
                <w:rFonts w:ascii="Calibri" w:hAnsi="Calibri" w:cs="Calibri"/>
              </w:rPr>
              <w:t>000 и &lt;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Малки</w:t>
            </w:r>
            <w:r w:rsidRPr="00F8728A">
              <w:rPr>
                <w:rFonts w:ascii="Calibri" w:hAnsi="Calibri" w:cs="Calibri"/>
              </w:rPr>
              <w:t xml:space="preserve"> (&lt; 30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B8CCE4"/>
            <w:vAlign w:val="center"/>
          </w:tcPr>
          <w:p w:rsidR="00AA4661" w:rsidRPr="00F8728A" w:rsidRDefault="00AA4661" w:rsidP="0050582F">
            <w:pPr>
              <w:spacing w:after="0"/>
              <w:rPr>
                <w:rFonts w:ascii="Calibri" w:hAnsi="Calibri" w:cs="Calibri"/>
                <w:b/>
                <w:szCs w:val="20"/>
              </w:rPr>
            </w:pPr>
            <w:r w:rsidRPr="00F8728A">
              <w:rPr>
                <w:rFonts w:ascii="Calibri" w:hAnsi="Calibri" w:cs="Calibri"/>
                <w:b/>
                <w:szCs w:val="20"/>
              </w:rPr>
              <w:t>Градове, разположени в планински и полупланински териториии</w:t>
            </w:r>
          </w:p>
        </w:tc>
        <w:tc>
          <w:tcPr>
            <w:tcW w:w="1442" w:type="dxa"/>
            <w:vAlign w:val="center"/>
          </w:tcPr>
          <w:p w:rsidR="00AA4661" w:rsidRPr="00F8728A" w:rsidRDefault="00AA4661" w:rsidP="00DE6347">
            <w:pPr>
              <w:spacing w:after="0"/>
              <w:jc w:val="center"/>
              <w:rPr>
                <w:rFonts w:ascii="Calibri" w:hAnsi="Calibri" w:cs="Calibri"/>
                <w:szCs w:val="20"/>
              </w:rPr>
            </w:pPr>
          </w:p>
        </w:tc>
        <w:tc>
          <w:tcPr>
            <w:tcW w:w="1558" w:type="dxa"/>
            <w:vAlign w:val="center"/>
          </w:tcPr>
          <w:p w:rsidR="00AA4661" w:rsidRPr="00F8728A" w:rsidRDefault="00AA4661" w:rsidP="00DE6347">
            <w:pPr>
              <w:spacing w:after="0"/>
              <w:jc w:val="center"/>
              <w:rPr>
                <w:rFonts w:ascii="Calibri" w:hAnsi="Calibri" w:cs="Calibri"/>
                <w:szCs w:val="20"/>
              </w:rPr>
            </w:pPr>
          </w:p>
        </w:tc>
        <w:tc>
          <w:tcPr>
            <w:tcW w:w="1534" w:type="dxa"/>
            <w:vAlign w:val="center"/>
          </w:tcPr>
          <w:p w:rsidR="00AA4661" w:rsidRPr="00F8728A" w:rsidRDefault="00AA4661" w:rsidP="00DE6347">
            <w:pPr>
              <w:spacing w:after="0"/>
              <w:jc w:val="center"/>
              <w:rPr>
                <w:rFonts w:ascii="Calibri" w:hAnsi="Calibri" w:cs="Calibri"/>
                <w:szCs w:val="20"/>
              </w:rPr>
            </w:pP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Големи</w:t>
            </w:r>
            <w:r w:rsidRPr="00F8728A">
              <w:rPr>
                <w:rFonts w:ascii="Calibri" w:hAnsi="Calibri" w:cs="Calibri"/>
              </w:rPr>
              <w:t xml:space="preserve"> (над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 xml:space="preserve">Средни </w:t>
            </w:r>
            <w:r w:rsidRPr="00F8728A">
              <w:rPr>
                <w:rFonts w:ascii="Calibri" w:hAnsi="Calibri" w:cs="Calibri"/>
              </w:rPr>
              <w:t>(&gt; 30</w:t>
            </w:r>
            <w:r w:rsidR="001E50A7">
              <w:rPr>
                <w:rFonts w:ascii="Calibri" w:hAnsi="Calibri" w:cs="Calibri"/>
              </w:rPr>
              <w:t xml:space="preserve"> </w:t>
            </w:r>
            <w:r w:rsidRPr="00F8728A">
              <w:rPr>
                <w:rFonts w:ascii="Calibri" w:hAnsi="Calibri" w:cs="Calibri"/>
              </w:rPr>
              <w:t>000 и &lt;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Малки</w:t>
            </w:r>
            <w:r w:rsidRPr="00F8728A">
              <w:rPr>
                <w:rFonts w:ascii="Calibri" w:hAnsi="Calibri" w:cs="Calibri"/>
              </w:rPr>
              <w:t xml:space="preserve"> (&lt; 30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B8CCE4"/>
            <w:vAlign w:val="center"/>
          </w:tcPr>
          <w:p w:rsidR="00AA4661" w:rsidRPr="00F8728A" w:rsidRDefault="00AA4661" w:rsidP="009B73C5">
            <w:pPr>
              <w:spacing w:after="0"/>
              <w:jc w:val="both"/>
              <w:rPr>
                <w:rFonts w:ascii="Calibri" w:hAnsi="Calibri" w:cs="Calibri"/>
                <w:b/>
                <w:szCs w:val="20"/>
              </w:rPr>
            </w:pPr>
            <w:r w:rsidRPr="00F8728A">
              <w:rPr>
                <w:rFonts w:ascii="Calibri" w:hAnsi="Calibri" w:cs="Calibri"/>
                <w:b/>
                <w:szCs w:val="20"/>
              </w:rPr>
              <w:t>Градове по Черноморието</w:t>
            </w:r>
          </w:p>
        </w:tc>
        <w:tc>
          <w:tcPr>
            <w:tcW w:w="1442" w:type="dxa"/>
            <w:vAlign w:val="center"/>
          </w:tcPr>
          <w:p w:rsidR="00AA4661" w:rsidRPr="00F8728A" w:rsidRDefault="00AA4661" w:rsidP="00DE6347">
            <w:pPr>
              <w:spacing w:after="0"/>
              <w:jc w:val="center"/>
              <w:rPr>
                <w:rFonts w:ascii="Calibri" w:hAnsi="Calibri" w:cs="Calibri"/>
                <w:szCs w:val="20"/>
              </w:rPr>
            </w:pPr>
          </w:p>
        </w:tc>
        <w:tc>
          <w:tcPr>
            <w:tcW w:w="1558" w:type="dxa"/>
            <w:vAlign w:val="center"/>
          </w:tcPr>
          <w:p w:rsidR="00AA4661" w:rsidRPr="00F8728A" w:rsidRDefault="00AA4661" w:rsidP="00DE6347">
            <w:pPr>
              <w:spacing w:after="0"/>
              <w:jc w:val="center"/>
              <w:rPr>
                <w:rFonts w:ascii="Calibri" w:hAnsi="Calibri" w:cs="Calibri"/>
                <w:szCs w:val="20"/>
              </w:rPr>
            </w:pPr>
          </w:p>
        </w:tc>
        <w:tc>
          <w:tcPr>
            <w:tcW w:w="1534" w:type="dxa"/>
            <w:vAlign w:val="center"/>
          </w:tcPr>
          <w:p w:rsidR="00AA4661" w:rsidRPr="00F8728A" w:rsidRDefault="00AA4661" w:rsidP="00DE6347">
            <w:pPr>
              <w:spacing w:after="0"/>
              <w:jc w:val="center"/>
              <w:rPr>
                <w:rFonts w:ascii="Calibri" w:hAnsi="Calibri" w:cs="Calibri"/>
                <w:szCs w:val="20"/>
              </w:rPr>
            </w:pP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Големи</w:t>
            </w:r>
            <w:r w:rsidRPr="00F8728A">
              <w:rPr>
                <w:rFonts w:ascii="Calibri" w:hAnsi="Calibri" w:cs="Calibri"/>
              </w:rPr>
              <w:t xml:space="preserve"> (над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 xml:space="preserve">Средни </w:t>
            </w:r>
            <w:r w:rsidRPr="00F8728A">
              <w:rPr>
                <w:rFonts w:ascii="Calibri" w:hAnsi="Calibri" w:cs="Calibri"/>
              </w:rPr>
              <w:t>(&gt; 30</w:t>
            </w:r>
            <w:r w:rsidR="001E50A7">
              <w:rPr>
                <w:rFonts w:ascii="Calibri" w:hAnsi="Calibri" w:cs="Calibri"/>
              </w:rPr>
              <w:t xml:space="preserve"> </w:t>
            </w:r>
            <w:r w:rsidRPr="00F8728A">
              <w:rPr>
                <w:rFonts w:ascii="Calibri" w:hAnsi="Calibri" w:cs="Calibri"/>
              </w:rPr>
              <w:t>000 и &lt;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Малки</w:t>
            </w:r>
            <w:r w:rsidRPr="00F8728A">
              <w:rPr>
                <w:rFonts w:ascii="Calibri" w:hAnsi="Calibri" w:cs="Calibri"/>
              </w:rPr>
              <w:t xml:space="preserve"> (&lt; 30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B8CCE4"/>
            <w:vAlign w:val="center"/>
          </w:tcPr>
          <w:p w:rsidR="00AA4661" w:rsidRPr="00F8728A" w:rsidRDefault="00AA4661" w:rsidP="009B73C5">
            <w:pPr>
              <w:spacing w:after="0"/>
              <w:jc w:val="both"/>
              <w:rPr>
                <w:rFonts w:ascii="Calibri" w:hAnsi="Calibri" w:cs="Calibri"/>
                <w:b/>
                <w:szCs w:val="20"/>
              </w:rPr>
            </w:pPr>
            <w:r w:rsidRPr="00F8728A">
              <w:rPr>
                <w:rFonts w:ascii="Calibri" w:hAnsi="Calibri" w:cs="Calibri"/>
                <w:b/>
                <w:szCs w:val="20"/>
              </w:rPr>
              <w:t xml:space="preserve">Градове на р. Дунав </w:t>
            </w:r>
          </w:p>
        </w:tc>
        <w:tc>
          <w:tcPr>
            <w:tcW w:w="1442" w:type="dxa"/>
            <w:vAlign w:val="center"/>
          </w:tcPr>
          <w:p w:rsidR="00AA4661" w:rsidRPr="00F8728A" w:rsidRDefault="00AA4661" w:rsidP="00DE6347">
            <w:pPr>
              <w:spacing w:after="0"/>
              <w:jc w:val="center"/>
              <w:rPr>
                <w:rFonts w:ascii="Calibri" w:hAnsi="Calibri" w:cs="Calibri"/>
                <w:szCs w:val="20"/>
              </w:rPr>
            </w:pPr>
          </w:p>
        </w:tc>
        <w:tc>
          <w:tcPr>
            <w:tcW w:w="1558" w:type="dxa"/>
            <w:vAlign w:val="center"/>
          </w:tcPr>
          <w:p w:rsidR="00AA4661" w:rsidRPr="00F8728A" w:rsidRDefault="00AA4661" w:rsidP="00DE6347">
            <w:pPr>
              <w:spacing w:after="0"/>
              <w:jc w:val="center"/>
              <w:rPr>
                <w:rFonts w:ascii="Calibri" w:hAnsi="Calibri" w:cs="Calibri"/>
                <w:szCs w:val="20"/>
              </w:rPr>
            </w:pPr>
          </w:p>
        </w:tc>
        <w:tc>
          <w:tcPr>
            <w:tcW w:w="1534" w:type="dxa"/>
            <w:vAlign w:val="center"/>
          </w:tcPr>
          <w:p w:rsidR="00AA4661" w:rsidRPr="00F8728A" w:rsidRDefault="00AA4661" w:rsidP="00DE6347">
            <w:pPr>
              <w:spacing w:after="0"/>
              <w:jc w:val="center"/>
              <w:rPr>
                <w:rFonts w:ascii="Calibri" w:hAnsi="Calibri" w:cs="Calibri"/>
                <w:szCs w:val="20"/>
              </w:rPr>
            </w:pP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Големи</w:t>
            </w:r>
            <w:r w:rsidRPr="00F8728A">
              <w:rPr>
                <w:rFonts w:ascii="Calibri" w:hAnsi="Calibri" w:cs="Calibri"/>
              </w:rPr>
              <w:t xml:space="preserve"> (над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 xml:space="preserve">Средни </w:t>
            </w:r>
            <w:r w:rsidRPr="00F8728A">
              <w:rPr>
                <w:rFonts w:ascii="Calibri" w:hAnsi="Calibri" w:cs="Calibri"/>
              </w:rPr>
              <w:t>(&gt; 30</w:t>
            </w:r>
            <w:r w:rsidR="001E50A7">
              <w:rPr>
                <w:rFonts w:ascii="Calibri" w:hAnsi="Calibri" w:cs="Calibri"/>
              </w:rPr>
              <w:t xml:space="preserve"> </w:t>
            </w:r>
            <w:r w:rsidRPr="00F8728A">
              <w:rPr>
                <w:rFonts w:ascii="Calibri" w:hAnsi="Calibri" w:cs="Calibri"/>
              </w:rPr>
              <w:t>000 и &lt;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Малки</w:t>
            </w:r>
            <w:r w:rsidRPr="00F8728A">
              <w:rPr>
                <w:rFonts w:ascii="Calibri" w:hAnsi="Calibri" w:cs="Calibri"/>
              </w:rPr>
              <w:t xml:space="preserve"> (&lt; 30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D9D9D9"/>
            <w:vAlign w:val="center"/>
          </w:tcPr>
          <w:p w:rsidR="00AA4661" w:rsidRPr="00F8728A" w:rsidRDefault="00AA4661" w:rsidP="009B73C5">
            <w:pPr>
              <w:spacing w:after="0"/>
              <w:jc w:val="both"/>
              <w:rPr>
                <w:rFonts w:ascii="Calibri" w:hAnsi="Calibri" w:cs="Calibri"/>
                <w:b/>
                <w:szCs w:val="20"/>
              </w:rPr>
            </w:pPr>
            <w:r w:rsidRPr="00F8728A">
              <w:rPr>
                <w:rFonts w:ascii="Calibri" w:hAnsi="Calibri" w:cs="Calibri"/>
                <w:b/>
                <w:szCs w:val="20"/>
              </w:rPr>
              <w:t>Природни/ горски пожари</w:t>
            </w:r>
          </w:p>
        </w:tc>
        <w:tc>
          <w:tcPr>
            <w:tcW w:w="1442" w:type="dxa"/>
            <w:shd w:val="clear" w:color="auto" w:fill="D9D9D9"/>
            <w:vAlign w:val="center"/>
          </w:tcPr>
          <w:p w:rsidR="00AA4661" w:rsidRPr="00F8728A" w:rsidRDefault="00AA4661" w:rsidP="00DE6347">
            <w:pPr>
              <w:spacing w:after="0"/>
              <w:jc w:val="center"/>
              <w:rPr>
                <w:rFonts w:ascii="Calibri" w:hAnsi="Calibri" w:cs="Calibri"/>
                <w:b/>
                <w:szCs w:val="20"/>
              </w:rPr>
            </w:pPr>
          </w:p>
        </w:tc>
        <w:tc>
          <w:tcPr>
            <w:tcW w:w="1558" w:type="dxa"/>
            <w:shd w:val="clear" w:color="auto" w:fill="D9D9D9"/>
            <w:vAlign w:val="center"/>
          </w:tcPr>
          <w:p w:rsidR="00AA4661" w:rsidRPr="00F8728A" w:rsidRDefault="00AA4661" w:rsidP="00DE6347">
            <w:pPr>
              <w:spacing w:after="0"/>
              <w:jc w:val="center"/>
              <w:rPr>
                <w:rFonts w:ascii="Calibri" w:hAnsi="Calibri" w:cs="Calibri"/>
                <w:b/>
                <w:szCs w:val="20"/>
              </w:rPr>
            </w:pPr>
          </w:p>
        </w:tc>
        <w:tc>
          <w:tcPr>
            <w:tcW w:w="1534" w:type="dxa"/>
            <w:shd w:val="clear" w:color="auto" w:fill="D9D9D9"/>
            <w:vAlign w:val="center"/>
          </w:tcPr>
          <w:p w:rsidR="00AA4661" w:rsidRPr="00F8728A" w:rsidRDefault="00AA4661" w:rsidP="00DE6347">
            <w:pPr>
              <w:spacing w:after="0"/>
              <w:jc w:val="center"/>
              <w:rPr>
                <w:rFonts w:ascii="Calibri" w:hAnsi="Calibri" w:cs="Calibri"/>
                <w:b/>
                <w:szCs w:val="20"/>
              </w:rPr>
            </w:pPr>
          </w:p>
        </w:tc>
      </w:tr>
      <w:tr w:rsidR="00AA4661" w:rsidRPr="00F8728A" w:rsidTr="00FF5825">
        <w:trPr>
          <w:jc w:val="center"/>
        </w:trPr>
        <w:tc>
          <w:tcPr>
            <w:tcW w:w="4563" w:type="dxa"/>
            <w:shd w:val="clear" w:color="auto" w:fill="B8CCE4"/>
            <w:vAlign w:val="center"/>
          </w:tcPr>
          <w:p w:rsidR="00AA4661" w:rsidRPr="00F8728A" w:rsidRDefault="00AA4661" w:rsidP="009B73C5">
            <w:pPr>
              <w:spacing w:after="0"/>
              <w:jc w:val="both"/>
              <w:rPr>
                <w:rFonts w:ascii="Calibri" w:hAnsi="Calibri" w:cs="Calibri"/>
                <w:b/>
                <w:szCs w:val="20"/>
              </w:rPr>
            </w:pPr>
            <w:r w:rsidRPr="00F8728A">
              <w:rPr>
                <w:rFonts w:ascii="Calibri" w:hAnsi="Calibri" w:cs="Calibri"/>
                <w:b/>
                <w:szCs w:val="20"/>
              </w:rPr>
              <w:t>Градове, разположени в равнини</w:t>
            </w:r>
          </w:p>
        </w:tc>
        <w:tc>
          <w:tcPr>
            <w:tcW w:w="1442" w:type="dxa"/>
            <w:vAlign w:val="center"/>
          </w:tcPr>
          <w:p w:rsidR="00AA4661" w:rsidRPr="00F8728A" w:rsidRDefault="00AA4661" w:rsidP="00DE6347">
            <w:pPr>
              <w:spacing w:after="0"/>
              <w:jc w:val="center"/>
              <w:rPr>
                <w:rFonts w:ascii="Calibri" w:hAnsi="Calibri" w:cs="Calibri"/>
                <w:b/>
                <w:i/>
                <w:szCs w:val="20"/>
              </w:rPr>
            </w:pPr>
          </w:p>
        </w:tc>
        <w:tc>
          <w:tcPr>
            <w:tcW w:w="1558" w:type="dxa"/>
            <w:vAlign w:val="center"/>
          </w:tcPr>
          <w:p w:rsidR="00AA4661" w:rsidRPr="00F8728A" w:rsidRDefault="00AA4661" w:rsidP="00DE6347">
            <w:pPr>
              <w:spacing w:after="0"/>
              <w:jc w:val="center"/>
              <w:rPr>
                <w:rFonts w:ascii="Calibri" w:hAnsi="Calibri" w:cs="Calibri"/>
                <w:b/>
                <w:i/>
                <w:szCs w:val="20"/>
              </w:rPr>
            </w:pPr>
          </w:p>
        </w:tc>
        <w:tc>
          <w:tcPr>
            <w:tcW w:w="1534" w:type="dxa"/>
            <w:vAlign w:val="center"/>
          </w:tcPr>
          <w:p w:rsidR="00AA4661" w:rsidRPr="00F8728A" w:rsidRDefault="00AA4661" w:rsidP="00DE6347">
            <w:pPr>
              <w:spacing w:after="0"/>
              <w:jc w:val="center"/>
              <w:rPr>
                <w:rFonts w:ascii="Calibri" w:hAnsi="Calibri" w:cs="Calibri"/>
                <w:b/>
                <w:i/>
                <w:szCs w:val="20"/>
              </w:rPr>
            </w:pP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Големи</w:t>
            </w:r>
            <w:r w:rsidRPr="00F8728A">
              <w:rPr>
                <w:rFonts w:ascii="Calibri" w:hAnsi="Calibri" w:cs="Calibri"/>
              </w:rPr>
              <w:t xml:space="preserve"> (над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 xml:space="preserve">Средни </w:t>
            </w:r>
            <w:r w:rsidRPr="00F8728A">
              <w:rPr>
                <w:rFonts w:ascii="Calibri" w:hAnsi="Calibri" w:cs="Calibri"/>
              </w:rPr>
              <w:t>(&gt; 30</w:t>
            </w:r>
            <w:r w:rsidR="001E50A7">
              <w:rPr>
                <w:rFonts w:ascii="Calibri" w:hAnsi="Calibri" w:cs="Calibri"/>
              </w:rPr>
              <w:t xml:space="preserve"> </w:t>
            </w:r>
            <w:r w:rsidRPr="00F8728A">
              <w:rPr>
                <w:rFonts w:ascii="Calibri" w:hAnsi="Calibri" w:cs="Calibri"/>
              </w:rPr>
              <w:t>000 и &lt;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Малки</w:t>
            </w:r>
            <w:r w:rsidRPr="00F8728A">
              <w:rPr>
                <w:rFonts w:ascii="Calibri" w:hAnsi="Calibri" w:cs="Calibri"/>
              </w:rPr>
              <w:t xml:space="preserve"> (&lt; 30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B8CCE4"/>
            <w:vAlign w:val="center"/>
          </w:tcPr>
          <w:p w:rsidR="00AA4661" w:rsidRPr="00F8728A" w:rsidRDefault="00AA4661" w:rsidP="0050582F">
            <w:pPr>
              <w:spacing w:after="0"/>
              <w:rPr>
                <w:rFonts w:ascii="Calibri" w:hAnsi="Calibri" w:cs="Calibri"/>
                <w:b/>
                <w:szCs w:val="20"/>
              </w:rPr>
            </w:pPr>
            <w:r w:rsidRPr="00F8728A">
              <w:rPr>
                <w:rFonts w:ascii="Calibri" w:hAnsi="Calibri" w:cs="Calibri"/>
                <w:b/>
                <w:szCs w:val="20"/>
              </w:rPr>
              <w:t>Градове, разположени в планински и полупланински територии</w:t>
            </w:r>
          </w:p>
        </w:tc>
        <w:tc>
          <w:tcPr>
            <w:tcW w:w="1442" w:type="dxa"/>
            <w:vAlign w:val="center"/>
          </w:tcPr>
          <w:p w:rsidR="00AA4661" w:rsidRPr="00F8728A" w:rsidRDefault="00AA4661" w:rsidP="00DE6347">
            <w:pPr>
              <w:spacing w:after="0"/>
              <w:jc w:val="center"/>
              <w:rPr>
                <w:rFonts w:ascii="Calibri" w:hAnsi="Calibri" w:cs="Calibri"/>
                <w:szCs w:val="20"/>
              </w:rPr>
            </w:pPr>
          </w:p>
        </w:tc>
        <w:tc>
          <w:tcPr>
            <w:tcW w:w="1558" w:type="dxa"/>
            <w:vAlign w:val="center"/>
          </w:tcPr>
          <w:p w:rsidR="00AA4661" w:rsidRPr="00F8728A" w:rsidRDefault="00AA4661" w:rsidP="00DE6347">
            <w:pPr>
              <w:spacing w:after="0"/>
              <w:jc w:val="center"/>
              <w:rPr>
                <w:rFonts w:ascii="Calibri" w:hAnsi="Calibri" w:cs="Calibri"/>
                <w:szCs w:val="20"/>
              </w:rPr>
            </w:pPr>
          </w:p>
        </w:tc>
        <w:tc>
          <w:tcPr>
            <w:tcW w:w="1534" w:type="dxa"/>
            <w:vAlign w:val="center"/>
          </w:tcPr>
          <w:p w:rsidR="00AA4661" w:rsidRPr="00F8728A" w:rsidRDefault="00AA4661" w:rsidP="00DE6347">
            <w:pPr>
              <w:spacing w:after="0"/>
              <w:jc w:val="center"/>
              <w:rPr>
                <w:rFonts w:ascii="Calibri" w:hAnsi="Calibri" w:cs="Calibri"/>
                <w:szCs w:val="20"/>
              </w:rPr>
            </w:pP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Големи</w:t>
            </w:r>
            <w:r w:rsidRPr="00F8728A">
              <w:rPr>
                <w:rFonts w:ascii="Calibri" w:hAnsi="Calibri" w:cs="Calibri"/>
              </w:rPr>
              <w:t xml:space="preserve"> (над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 xml:space="preserve">Средни </w:t>
            </w:r>
            <w:r w:rsidRPr="00F8728A">
              <w:rPr>
                <w:rFonts w:ascii="Calibri" w:hAnsi="Calibri" w:cs="Calibri"/>
              </w:rPr>
              <w:t>(&gt; 30</w:t>
            </w:r>
            <w:r w:rsidR="001E50A7">
              <w:rPr>
                <w:rFonts w:ascii="Calibri" w:hAnsi="Calibri" w:cs="Calibri"/>
              </w:rPr>
              <w:t xml:space="preserve"> </w:t>
            </w:r>
            <w:r w:rsidRPr="00F8728A">
              <w:rPr>
                <w:rFonts w:ascii="Calibri" w:hAnsi="Calibri" w:cs="Calibri"/>
              </w:rPr>
              <w:t>000 и &lt;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Малки</w:t>
            </w:r>
            <w:r w:rsidRPr="00F8728A">
              <w:rPr>
                <w:rFonts w:ascii="Calibri" w:hAnsi="Calibri" w:cs="Calibri"/>
              </w:rPr>
              <w:t xml:space="preserve"> (&lt; 30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B8CCE4"/>
            <w:vAlign w:val="center"/>
          </w:tcPr>
          <w:p w:rsidR="00AA4661" w:rsidRPr="00F8728A" w:rsidRDefault="00AA4661" w:rsidP="009B73C5">
            <w:pPr>
              <w:spacing w:after="0"/>
              <w:jc w:val="both"/>
              <w:rPr>
                <w:rFonts w:ascii="Calibri" w:hAnsi="Calibri" w:cs="Calibri"/>
                <w:b/>
                <w:szCs w:val="20"/>
              </w:rPr>
            </w:pPr>
            <w:r w:rsidRPr="00F8728A">
              <w:rPr>
                <w:rFonts w:ascii="Calibri" w:hAnsi="Calibri" w:cs="Calibri"/>
                <w:b/>
                <w:szCs w:val="20"/>
              </w:rPr>
              <w:t>Градове по Черноморието</w:t>
            </w:r>
          </w:p>
        </w:tc>
        <w:tc>
          <w:tcPr>
            <w:tcW w:w="1442" w:type="dxa"/>
            <w:vAlign w:val="center"/>
          </w:tcPr>
          <w:p w:rsidR="00AA4661" w:rsidRPr="00F8728A" w:rsidRDefault="00AA4661" w:rsidP="00DE6347">
            <w:pPr>
              <w:spacing w:after="0"/>
              <w:jc w:val="center"/>
              <w:rPr>
                <w:rFonts w:ascii="Calibri" w:hAnsi="Calibri" w:cs="Calibri"/>
                <w:szCs w:val="20"/>
              </w:rPr>
            </w:pPr>
          </w:p>
        </w:tc>
        <w:tc>
          <w:tcPr>
            <w:tcW w:w="1558" w:type="dxa"/>
            <w:vAlign w:val="center"/>
          </w:tcPr>
          <w:p w:rsidR="00AA4661" w:rsidRPr="00F8728A" w:rsidRDefault="00AA4661" w:rsidP="00DE6347">
            <w:pPr>
              <w:spacing w:after="0"/>
              <w:jc w:val="center"/>
              <w:rPr>
                <w:rFonts w:ascii="Calibri" w:hAnsi="Calibri" w:cs="Calibri"/>
                <w:szCs w:val="20"/>
              </w:rPr>
            </w:pPr>
          </w:p>
        </w:tc>
        <w:tc>
          <w:tcPr>
            <w:tcW w:w="1534" w:type="dxa"/>
            <w:vAlign w:val="center"/>
          </w:tcPr>
          <w:p w:rsidR="00AA4661" w:rsidRPr="00F8728A" w:rsidRDefault="00AA4661" w:rsidP="00DE6347">
            <w:pPr>
              <w:spacing w:after="0"/>
              <w:jc w:val="center"/>
              <w:rPr>
                <w:rFonts w:ascii="Calibri" w:hAnsi="Calibri" w:cs="Calibri"/>
                <w:szCs w:val="20"/>
              </w:rPr>
            </w:pP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Големи</w:t>
            </w:r>
            <w:r w:rsidRPr="00F8728A">
              <w:rPr>
                <w:rFonts w:ascii="Calibri" w:hAnsi="Calibri" w:cs="Calibri"/>
              </w:rPr>
              <w:t xml:space="preserve"> (над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 xml:space="preserve">Средни </w:t>
            </w:r>
            <w:r w:rsidRPr="00F8728A">
              <w:rPr>
                <w:rFonts w:ascii="Calibri" w:hAnsi="Calibri" w:cs="Calibri"/>
              </w:rPr>
              <w:t>(&gt; 30</w:t>
            </w:r>
            <w:r w:rsidR="001E50A7">
              <w:rPr>
                <w:rFonts w:ascii="Calibri" w:hAnsi="Calibri" w:cs="Calibri"/>
              </w:rPr>
              <w:t xml:space="preserve"> </w:t>
            </w:r>
            <w:r w:rsidRPr="00F8728A">
              <w:rPr>
                <w:rFonts w:ascii="Calibri" w:hAnsi="Calibri" w:cs="Calibri"/>
              </w:rPr>
              <w:t>000 и &lt;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Малки</w:t>
            </w:r>
            <w:r w:rsidRPr="00F8728A">
              <w:rPr>
                <w:rFonts w:ascii="Calibri" w:hAnsi="Calibri" w:cs="Calibri"/>
              </w:rPr>
              <w:t xml:space="preserve"> (&lt; 30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9B73C5">
            <w:pPr>
              <w:spacing w:after="0"/>
              <w:jc w:val="both"/>
              <w:rPr>
                <w:rFonts w:ascii="Calibri" w:hAnsi="Calibri" w:cs="Calibri"/>
                <w:b/>
                <w:szCs w:val="20"/>
              </w:rPr>
            </w:pPr>
            <w:r w:rsidRPr="00F8728A">
              <w:rPr>
                <w:rFonts w:ascii="Calibri" w:hAnsi="Calibri" w:cs="Calibri"/>
                <w:b/>
                <w:szCs w:val="20"/>
              </w:rPr>
              <w:t xml:space="preserve">Градове на р. Дунав </w:t>
            </w:r>
          </w:p>
        </w:tc>
        <w:tc>
          <w:tcPr>
            <w:tcW w:w="1442" w:type="dxa"/>
            <w:vAlign w:val="center"/>
          </w:tcPr>
          <w:p w:rsidR="00AA4661" w:rsidRPr="00F8728A" w:rsidRDefault="00AA4661" w:rsidP="00DE6347">
            <w:pPr>
              <w:spacing w:after="0"/>
              <w:jc w:val="center"/>
              <w:rPr>
                <w:rFonts w:ascii="Calibri" w:hAnsi="Calibri" w:cs="Calibri"/>
                <w:szCs w:val="20"/>
              </w:rPr>
            </w:pPr>
          </w:p>
        </w:tc>
        <w:tc>
          <w:tcPr>
            <w:tcW w:w="1558" w:type="dxa"/>
            <w:vAlign w:val="center"/>
          </w:tcPr>
          <w:p w:rsidR="00AA4661" w:rsidRPr="00F8728A" w:rsidRDefault="00AA4661" w:rsidP="00DE6347">
            <w:pPr>
              <w:spacing w:after="0"/>
              <w:jc w:val="center"/>
              <w:rPr>
                <w:rFonts w:ascii="Calibri" w:hAnsi="Calibri" w:cs="Calibri"/>
                <w:szCs w:val="20"/>
              </w:rPr>
            </w:pPr>
          </w:p>
        </w:tc>
        <w:tc>
          <w:tcPr>
            <w:tcW w:w="1534" w:type="dxa"/>
            <w:vAlign w:val="center"/>
          </w:tcPr>
          <w:p w:rsidR="00AA4661" w:rsidRPr="00F8728A" w:rsidRDefault="00AA4661" w:rsidP="00DE6347">
            <w:pPr>
              <w:spacing w:after="0"/>
              <w:jc w:val="center"/>
              <w:rPr>
                <w:rFonts w:ascii="Calibri" w:hAnsi="Calibri" w:cs="Calibri"/>
                <w:szCs w:val="20"/>
              </w:rPr>
            </w:pP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Големи</w:t>
            </w:r>
            <w:r w:rsidRPr="00F8728A">
              <w:rPr>
                <w:rFonts w:ascii="Calibri" w:hAnsi="Calibri" w:cs="Calibri"/>
              </w:rPr>
              <w:t xml:space="preserve"> (над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 xml:space="preserve">Средни </w:t>
            </w:r>
            <w:r w:rsidRPr="00F8728A">
              <w:rPr>
                <w:rFonts w:ascii="Calibri" w:hAnsi="Calibri" w:cs="Calibri"/>
              </w:rPr>
              <w:t>(&gt; 30</w:t>
            </w:r>
            <w:r w:rsidR="001E50A7">
              <w:rPr>
                <w:rFonts w:ascii="Calibri" w:hAnsi="Calibri" w:cs="Calibri"/>
              </w:rPr>
              <w:t xml:space="preserve"> </w:t>
            </w:r>
            <w:r w:rsidRPr="00F8728A">
              <w:rPr>
                <w:rFonts w:ascii="Calibri" w:hAnsi="Calibri" w:cs="Calibri"/>
              </w:rPr>
              <w:t>000 и &lt;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Малки</w:t>
            </w:r>
            <w:r w:rsidRPr="00F8728A">
              <w:rPr>
                <w:rFonts w:ascii="Calibri" w:hAnsi="Calibri" w:cs="Calibri"/>
              </w:rPr>
              <w:t xml:space="preserve"> (&lt; 30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D9D9D9"/>
            <w:vAlign w:val="center"/>
          </w:tcPr>
          <w:p w:rsidR="00AA4661" w:rsidRPr="00F8728A" w:rsidRDefault="00AA4661" w:rsidP="009B73C5">
            <w:pPr>
              <w:spacing w:after="0"/>
              <w:jc w:val="both"/>
              <w:rPr>
                <w:rFonts w:ascii="Calibri" w:hAnsi="Calibri" w:cs="Calibri"/>
                <w:b/>
                <w:szCs w:val="20"/>
              </w:rPr>
            </w:pPr>
            <w:r w:rsidRPr="00F8728A">
              <w:rPr>
                <w:rFonts w:ascii="Calibri" w:hAnsi="Calibri" w:cs="Calibri"/>
                <w:b/>
                <w:szCs w:val="20"/>
              </w:rPr>
              <w:t xml:space="preserve">Проблеми с водата в градовете </w:t>
            </w:r>
          </w:p>
        </w:tc>
        <w:tc>
          <w:tcPr>
            <w:tcW w:w="1442" w:type="dxa"/>
            <w:shd w:val="clear" w:color="auto" w:fill="D9D9D9"/>
            <w:vAlign w:val="center"/>
          </w:tcPr>
          <w:p w:rsidR="00AA4661" w:rsidRPr="00F8728A" w:rsidRDefault="00AA4661" w:rsidP="00DE6347">
            <w:pPr>
              <w:spacing w:after="0"/>
              <w:jc w:val="center"/>
              <w:rPr>
                <w:rFonts w:ascii="Calibri" w:hAnsi="Calibri" w:cs="Calibri"/>
                <w:b/>
                <w:szCs w:val="20"/>
              </w:rPr>
            </w:pPr>
          </w:p>
        </w:tc>
        <w:tc>
          <w:tcPr>
            <w:tcW w:w="1558" w:type="dxa"/>
            <w:shd w:val="clear" w:color="auto" w:fill="D9D9D9"/>
            <w:vAlign w:val="center"/>
          </w:tcPr>
          <w:p w:rsidR="00AA4661" w:rsidRPr="00F8728A" w:rsidRDefault="00AA4661" w:rsidP="00DE6347">
            <w:pPr>
              <w:spacing w:after="0"/>
              <w:jc w:val="center"/>
              <w:rPr>
                <w:rFonts w:ascii="Calibri" w:hAnsi="Calibri" w:cs="Calibri"/>
                <w:b/>
                <w:szCs w:val="20"/>
              </w:rPr>
            </w:pPr>
          </w:p>
        </w:tc>
        <w:tc>
          <w:tcPr>
            <w:tcW w:w="1534" w:type="dxa"/>
            <w:shd w:val="clear" w:color="auto" w:fill="D9D9D9"/>
            <w:vAlign w:val="center"/>
          </w:tcPr>
          <w:p w:rsidR="00AA4661" w:rsidRPr="00F8728A" w:rsidRDefault="00AA4661" w:rsidP="00DE6347">
            <w:pPr>
              <w:spacing w:after="0"/>
              <w:jc w:val="center"/>
              <w:rPr>
                <w:rFonts w:ascii="Calibri" w:hAnsi="Calibri" w:cs="Calibri"/>
                <w:b/>
                <w:szCs w:val="20"/>
              </w:rPr>
            </w:pPr>
          </w:p>
        </w:tc>
      </w:tr>
      <w:tr w:rsidR="00AA4661" w:rsidRPr="00F8728A" w:rsidTr="00FF5825">
        <w:trPr>
          <w:jc w:val="center"/>
        </w:trPr>
        <w:tc>
          <w:tcPr>
            <w:tcW w:w="4563" w:type="dxa"/>
            <w:shd w:val="clear" w:color="auto" w:fill="B8CCE4"/>
            <w:vAlign w:val="center"/>
          </w:tcPr>
          <w:p w:rsidR="00AA4661" w:rsidRPr="00F8728A" w:rsidRDefault="00AA4661" w:rsidP="009B73C5">
            <w:pPr>
              <w:spacing w:after="0"/>
              <w:jc w:val="both"/>
              <w:rPr>
                <w:rFonts w:ascii="Calibri" w:hAnsi="Calibri" w:cs="Calibri"/>
                <w:b/>
                <w:szCs w:val="20"/>
              </w:rPr>
            </w:pPr>
            <w:r w:rsidRPr="00F8728A">
              <w:rPr>
                <w:rFonts w:ascii="Calibri" w:hAnsi="Calibri" w:cs="Calibri"/>
                <w:b/>
                <w:szCs w:val="20"/>
              </w:rPr>
              <w:t>Градове, разположени в равнини</w:t>
            </w:r>
          </w:p>
        </w:tc>
        <w:tc>
          <w:tcPr>
            <w:tcW w:w="1442" w:type="dxa"/>
            <w:vAlign w:val="center"/>
          </w:tcPr>
          <w:p w:rsidR="00AA4661" w:rsidRPr="00F8728A" w:rsidRDefault="00AA4661" w:rsidP="00DE6347">
            <w:pPr>
              <w:spacing w:after="0"/>
              <w:jc w:val="center"/>
              <w:rPr>
                <w:rFonts w:ascii="Calibri" w:hAnsi="Calibri" w:cs="Calibri"/>
                <w:b/>
                <w:i/>
                <w:szCs w:val="20"/>
              </w:rPr>
            </w:pPr>
          </w:p>
        </w:tc>
        <w:tc>
          <w:tcPr>
            <w:tcW w:w="1558" w:type="dxa"/>
            <w:vAlign w:val="center"/>
          </w:tcPr>
          <w:p w:rsidR="00AA4661" w:rsidRPr="00F8728A" w:rsidRDefault="00AA4661" w:rsidP="00DE6347">
            <w:pPr>
              <w:spacing w:after="0"/>
              <w:jc w:val="center"/>
              <w:rPr>
                <w:rFonts w:ascii="Calibri" w:hAnsi="Calibri" w:cs="Calibri"/>
                <w:b/>
                <w:i/>
                <w:szCs w:val="20"/>
              </w:rPr>
            </w:pPr>
          </w:p>
        </w:tc>
        <w:tc>
          <w:tcPr>
            <w:tcW w:w="1534" w:type="dxa"/>
            <w:vAlign w:val="center"/>
          </w:tcPr>
          <w:p w:rsidR="00AA4661" w:rsidRPr="00F8728A" w:rsidRDefault="00AA4661" w:rsidP="00DE6347">
            <w:pPr>
              <w:spacing w:after="0"/>
              <w:jc w:val="center"/>
              <w:rPr>
                <w:rFonts w:ascii="Calibri" w:hAnsi="Calibri" w:cs="Calibri"/>
                <w:b/>
                <w:i/>
                <w:szCs w:val="20"/>
              </w:rPr>
            </w:pP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Големи</w:t>
            </w:r>
            <w:r w:rsidRPr="00F8728A">
              <w:rPr>
                <w:rFonts w:ascii="Calibri" w:hAnsi="Calibri" w:cs="Calibri"/>
              </w:rPr>
              <w:t xml:space="preserve"> (над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 xml:space="preserve">Средни </w:t>
            </w:r>
            <w:r w:rsidRPr="00F8728A">
              <w:rPr>
                <w:rFonts w:ascii="Calibri" w:hAnsi="Calibri" w:cs="Calibri"/>
              </w:rPr>
              <w:t>(&gt; 30</w:t>
            </w:r>
            <w:r w:rsidR="001E50A7">
              <w:rPr>
                <w:rFonts w:ascii="Calibri" w:hAnsi="Calibri" w:cs="Calibri"/>
              </w:rPr>
              <w:t xml:space="preserve"> </w:t>
            </w:r>
            <w:r w:rsidRPr="00F8728A">
              <w:rPr>
                <w:rFonts w:ascii="Calibri" w:hAnsi="Calibri" w:cs="Calibri"/>
              </w:rPr>
              <w:t>000 и &lt;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Малки</w:t>
            </w:r>
            <w:r w:rsidRPr="00F8728A">
              <w:rPr>
                <w:rFonts w:ascii="Calibri" w:hAnsi="Calibri" w:cs="Calibri"/>
              </w:rPr>
              <w:t xml:space="preserve"> (&lt; 30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B8CCE4"/>
            <w:vAlign w:val="center"/>
          </w:tcPr>
          <w:p w:rsidR="00AA4661" w:rsidRPr="00F8728A" w:rsidRDefault="00AA4661" w:rsidP="0050582F">
            <w:pPr>
              <w:spacing w:after="0"/>
              <w:rPr>
                <w:rFonts w:ascii="Calibri" w:hAnsi="Calibri" w:cs="Calibri"/>
                <w:b/>
                <w:szCs w:val="20"/>
              </w:rPr>
            </w:pPr>
            <w:r w:rsidRPr="00F8728A">
              <w:rPr>
                <w:rFonts w:ascii="Calibri" w:hAnsi="Calibri" w:cs="Calibri"/>
                <w:b/>
                <w:szCs w:val="20"/>
              </w:rPr>
              <w:t>Градове, разположени в планински и полупланински територии</w:t>
            </w:r>
          </w:p>
        </w:tc>
        <w:tc>
          <w:tcPr>
            <w:tcW w:w="1442" w:type="dxa"/>
            <w:vAlign w:val="center"/>
          </w:tcPr>
          <w:p w:rsidR="00AA4661" w:rsidRPr="00F8728A" w:rsidRDefault="00AA4661" w:rsidP="00DE6347">
            <w:pPr>
              <w:spacing w:after="0"/>
              <w:jc w:val="center"/>
              <w:rPr>
                <w:rFonts w:ascii="Calibri" w:hAnsi="Calibri" w:cs="Calibri"/>
                <w:szCs w:val="20"/>
              </w:rPr>
            </w:pPr>
          </w:p>
        </w:tc>
        <w:tc>
          <w:tcPr>
            <w:tcW w:w="1558" w:type="dxa"/>
            <w:vAlign w:val="center"/>
          </w:tcPr>
          <w:p w:rsidR="00AA4661" w:rsidRPr="00F8728A" w:rsidRDefault="00AA4661" w:rsidP="00DE6347">
            <w:pPr>
              <w:spacing w:after="0"/>
              <w:jc w:val="center"/>
              <w:rPr>
                <w:rFonts w:ascii="Calibri" w:hAnsi="Calibri" w:cs="Calibri"/>
                <w:szCs w:val="20"/>
              </w:rPr>
            </w:pPr>
          </w:p>
        </w:tc>
        <w:tc>
          <w:tcPr>
            <w:tcW w:w="1534" w:type="dxa"/>
            <w:vAlign w:val="center"/>
          </w:tcPr>
          <w:p w:rsidR="00AA4661" w:rsidRPr="00F8728A" w:rsidRDefault="00AA4661" w:rsidP="00DE6347">
            <w:pPr>
              <w:spacing w:after="0"/>
              <w:jc w:val="center"/>
              <w:rPr>
                <w:rFonts w:ascii="Calibri" w:hAnsi="Calibri" w:cs="Calibri"/>
                <w:szCs w:val="20"/>
              </w:rPr>
            </w:pP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Големи</w:t>
            </w:r>
            <w:r w:rsidRPr="00F8728A">
              <w:rPr>
                <w:rFonts w:ascii="Calibri" w:hAnsi="Calibri" w:cs="Calibri"/>
              </w:rPr>
              <w:t xml:space="preserve"> (над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 xml:space="preserve">Средни </w:t>
            </w:r>
            <w:r w:rsidRPr="00F8728A">
              <w:rPr>
                <w:rFonts w:ascii="Calibri" w:hAnsi="Calibri" w:cs="Calibri"/>
              </w:rPr>
              <w:t>(&gt; 30</w:t>
            </w:r>
            <w:r w:rsidR="001E50A7">
              <w:rPr>
                <w:rFonts w:ascii="Calibri" w:hAnsi="Calibri" w:cs="Calibri"/>
              </w:rPr>
              <w:t xml:space="preserve"> </w:t>
            </w:r>
            <w:r w:rsidRPr="00F8728A">
              <w:rPr>
                <w:rFonts w:ascii="Calibri" w:hAnsi="Calibri" w:cs="Calibri"/>
              </w:rPr>
              <w:t>000 и &lt;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Малки</w:t>
            </w:r>
            <w:r w:rsidRPr="00F8728A">
              <w:rPr>
                <w:rFonts w:ascii="Calibri" w:hAnsi="Calibri" w:cs="Calibri"/>
              </w:rPr>
              <w:t xml:space="preserve"> (&lt; 30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B8CCE4"/>
            <w:vAlign w:val="center"/>
          </w:tcPr>
          <w:p w:rsidR="00AA4661" w:rsidRPr="00F8728A" w:rsidRDefault="00AA4661" w:rsidP="009B73C5">
            <w:pPr>
              <w:spacing w:after="0"/>
              <w:jc w:val="both"/>
              <w:rPr>
                <w:rFonts w:ascii="Calibri" w:hAnsi="Calibri" w:cs="Calibri"/>
                <w:b/>
                <w:szCs w:val="20"/>
              </w:rPr>
            </w:pPr>
            <w:r w:rsidRPr="00F8728A">
              <w:rPr>
                <w:rFonts w:ascii="Calibri" w:hAnsi="Calibri" w:cs="Calibri"/>
                <w:b/>
                <w:szCs w:val="20"/>
              </w:rPr>
              <w:t>Градове по Черноморието</w:t>
            </w:r>
          </w:p>
        </w:tc>
        <w:tc>
          <w:tcPr>
            <w:tcW w:w="1442" w:type="dxa"/>
            <w:vAlign w:val="center"/>
          </w:tcPr>
          <w:p w:rsidR="00AA4661" w:rsidRPr="00F8728A" w:rsidRDefault="00AA4661" w:rsidP="00DE6347">
            <w:pPr>
              <w:spacing w:after="0"/>
              <w:jc w:val="center"/>
              <w:rPr>
                <w:rFonts w:ascii="Calibri" w:hAnsi="Calibri" w:cs="Calibri"/>
                <w:szCs w:val="20"/>
              </w:rPr>
            </w:pPr>
          </w:p>
        </w:tc>
        <w:tc>
          <w:tcPr>
            <w:tcW w:w="1558" w:type="dxa"/>
            <w:vAlign w:val="center"/>
          </w:tcPr>
          <w:p w:rsidR="00AA4661" w:rsidRPr="00F8728A" w:rsidRDefault="00AA4661" w:rsidP="00DE6347">
            <w:pPr>
              <w:spacing w:after="0"/>
              <w:jc w:val="center"/>
              <w:rPr>
                <w:rFonts w:ascii="Calibri" w:hAnsi="Calibri" w:cs="Calibri"/>
                <w:szCs w:val="20"/>
              </w:rPr>
            </w:pPr>
          </w:p>
        </w:tc>
        <w:tc>
          <w:tcPr>
            <w:tcW w:w="1534" w:type="dxa"/>
            <w:vAlign w:val="center"/>
          </w:tcPr>
          <w:p w:rsidR="00AA4661" w:rsidRPr="00F8728A" w:rsidRDefault="00AA4661" w:rsidP="00DE6347">
            <w:pPr>
              <w:spacing w:after="0"/>
              <w:jc w:val="center"/>
              <w:rPr>
                <w:rFonts w:ascii="Calibri" w:hAnsi="Calibri" w:cs="Calibri"/>
                <w:szCs w:val="20"/>
              </w:rPr>
            </w:pP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Големи</w:t>
            </w:r>
            <w:r w:rsidRPr="00F8728A">
              <w:rPr>
                <w:rFonts w:ascii="Calibri" w:hAnsi="Calibri" w:cs="Calibri"/>
              </w:rPr>
              <w:t xml:space="preserve"> (над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 xml:space="preserve">Средни </w:t>
            </w:r>
            <w:r w:rsidRPr="00F8728A">
              <w:rPr>
                <w:rFonts w:ascii="Calibri" w:hAnsi="Calibri" w:cs="Calibri"/>
              </w:rPr>
              <w:t>(&gt; 30</w:t>
            </w:r>
            <w:r w:rsidR="001E50A7">
              <w:rPr>
                <w:rFonts w:ascii="Calibri" w:hAnsi="Calibri" w:cs="Calibri"/>
              </w:rPr>
              <w:t xml:space="preserve"> </w:t>
            </w:r>
            <w:r w:rsidRPr="00F8728A">
              <w:rPr>
                <w:rFonts w:ascii="Calibri" w:hAnsi="Calibri" w:cs="Calibri"/>
              </w:rPr>
              <w:t>000 и &lt;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Малки</w:t>
            </w:r>
            <w:r w:rsidRPr="00F8728A">
              <w:rPr>
                <w:rFonts w:ascii="Calibri" w:hAnsi="Calibri" w:cs="Calibri"/>
              </w:rPr>
              <w:t xml:space="preserve"> (&lt; 30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B8CCE4"/>
            <w:vAlign w:val="center"/>
          </w:tcPr>
          <w:p w:rsidR="00AA4661" w:rsidRPr="00F8728A" w:rsidRDefault="00AA4661" w:rsidP="009B73C5">
            <w:pPr>
              <w:spacing w:after="0"/>
              <w:jc w:val="both"/>
              <w:rPr>
                <w:rFonts w:ascii="Calibri" w:hAnsi="Calibri" w:cs="Calibri"/>
                <w:b/>
                <w:szCs w:val="20"/>
              </w:rPr>
            </w:pPr>
            <w:r w:rsidRPr="00F8728A">
              <w:rPr>
                <w:rFonts w:ascii="Calibri" w:hAnsi="Calibri" w:cs="Calibri"/>
                <w:b/>
                <w:szCs w:val="20"/>
              </w:rPr>
              <w:t>Градове на р. Дунав</w:t>
            </w:r>
          </w:p>
        </w:tc>
        <w:tc>
          <w:tcPr>
            <w:tcW w:w="1442" w:type="dxa"/>
            <w:vAlign w:val="center"/>
          </w:tcPr>
          <w:p w:rsidR="00AA4661" w:rsidRPr="00F8728A" w:rsidRDefault="00AA4661" w:rsidP="00DE6347">
            <w:pPr>
              <w:spacing w:after="0"/>
              <w:jc w:val="center"/>
              <w:rPr>
                <w:rFonts w:ascii="Calibri" w:hAnsi="Calibri" w:cs="Calibri"/>
                <w:szCs w:val="20"/>
              </w:rPr>
            </w:pPr>
          </w:p>
        </w:tc>
        <w:tc>
          <w:tcPr>
            <w:tcW w:w="1558" w:type="dxa"/>
            <w:vAlign w:val="center"/>
          </w:tcPr>
          <w:p w:rsidR="00AA4661" w:rsidRPr="00F8728A" w:rsidRDefault="00AA4661" w:rsidP="00DE6347">
            <w:pPr>
              <w:spacing w:after="0"/>
              <w:jc w:val="center"/>
              <w:rPr>
                <w:rFonts w:ascii="Calibri" w:hAnsi="Calibri" w:cs="Calibri"/>
                <w:szCs w:val="20"/>
              </w:rPr>
            </w:pPr>
          </w:p>
        </w:tc>
        <w:tc>
          <w:tcPr>
            <w:tcW w:w="1534" w:type="dxa"/>
            <w:vAlign w:val="center"/>
          </w:tcPr>
          <w:p w:rsidR="00AA4661" w:rsidRPr="00F8728A" w:rsidRDefault="00AA4661" w:rsidP="00DE6347">
            <w:pPr>
              <w:spacing w:after="0"/>
              <w:jc w:val="center"/>
              <w:rPr>
                <w:rFonts w:ascii="Calibri" w:hAnsi="Calibri" w:cs="Calibri"/>
                <w:szCs w:val="20"/>
              </w:rPr>
            </w:pP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Големи</w:t>
            </w:r>
            <w:r w:rsidRPr="00F8728A">
              <w:rPr>
                <w:rFonts w:ascii="Calibri" w:hAnsi="Calibri" w:cs="Calibri"/>
              </w:rPr>
              <w:t xml:space="preserve"> (над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 xml:space="preserve">Средни </w:t>
            </w:r>
            <w:r w:rsidRPr="00F8728A">
              <w:rPr>
                <w:rFonts w:ascii="Calibri" w:hAnsi="Calibri" w:cs="Calibri"/>
              </w:rPr>
              <w:t>(&gt; 30</w:t>
            </w:r>
            <w:r w:rsidR="001E50A7">
              <w:rPr>
                <w:rFonts w:ascii="Calibri" w:hAnsi="Calibri" w:cs="Calibri"/>
              </w:rPr>
              <w:t xml:space="preserve"> </w:t>
            </w:r>
            <w:r w:rsidRPr="00F8728A">
              <w:rPr>
                <w:rFonts w:ascii="Calibri" w:hAnsi="Calibri" w:cs="Calibri"/>
              </w:rPr>
              <w:t>000 и &lt;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Малки</w:t>
            </w:r>
            <w:r w:rsidRPr="00F8728A">
              <w:rPr>
                <w:rFonts w:ascii="Calibri" w:hAnsi="Calibri" w:cs="Calibri"/>
              </w:rPr>
              <w:t xml:space="preserve"> (&lt; 30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D9D9D9"/>
            <w:vAlign w:val="center"/>
          </w:tcPr>
          <w:p w:rsidR="00AA4661" w:rsidRPr="00F8728A" w:rsidRDefault="00AA4661" w:rsidP="009B73C5">
            <w:pPr>
              <w:spacing w:after="0"/>
              <w:jc w:val="both"/>
              <w:rPr>
                <w:rFonts w:ascii="Calibri" w:hAnsi="Calibri" w:cs="Calibri"/>
                <w:b/>
                <w:szCs w:val="20"/>
              </w:rPr>
            </w:pPr>
            <w:r w:rsidRPr="00F8728A">
              <w:rPr>
                <w:rFonts w:ascii="Calibri" w:hAnsi="Calibri" w:cs="Calibri"/>
                <w:b/>
                <w:szCs w:val="20"/>
              </w:rPr>
              <w:t>Земетресения</w:t>
            </w:r>
          </w:p>
        </w:tc>
        <w:tc>
          <w:tcPr>
            <w:tcW w:w="1442" w:type="dxa"/>
            <w:shd w:val="clear" w:color="auto" w:fill="D9D9D9"/>
            <w:vAlign w:val="center"/>
          </w:tcPr>
          <w:p w:rsidR="00AA4661" w:rsidRPr="00F8728A" w:rsidRDefault="00AA4661" w:rsidP="00DE6347">
            <w:pPr>
              <w:spacing w:after="0"/>
              <w:jc w:val="center"/>
              <w:rPr>
                <w:rFonts w:ascii="Calibri" w:hAnsi="Calibri" w:cs="Calibri"/>
                <w:b/>
                <w:szCs w:val="20"/>
              </w:rPr>
            </w:pPr>
          </w:p>
        </w:tc>
        <w:tc>
          <w:tcPr>
            <w:tcW w:w="1558" w:type="dxa"/>
            <w:shd w:val="clear" w:color="auto" w:fill="D9D9D9"/>
            <w:vAlign w:val="center"/>
          </w:tcPr>
          <w:p w:rsidR="00AA4661" w:rsidRPr="00F8728A" w:rsidRDefault="00AA4661" w:rsidP="00DE6347">
            <w:pPr>
              <w:spacing w:after="0"/>
              <w:jc w:val="center"/>
              <w:rPr>
                <w:rFonts w:ascii="Calibri" w:hAnsi="Calibri" w:cs="Calibri"/>
                <w:b/>
                <w:szCs w:val="20"/>
              </w:rPr>
            </w:pPr>
          </w:p>
        </w:tc>
        <w:tc>
          <w:tcPr>
            <w:tcW w:w="1534" w:type="dxa"/>
            <w:shd w:val="clear" w:color="auto" w:fill="D9D9D9"/>
            <w:vAlign w:val="center"/>
          </w:tcPr>
          <w:p w:rsidR="00AA4661" w:rsidRPr="00F8728A" w:rsidRDefault="00AA4661" w:rsidP="00DE6347">
            <w:pPr>
              <w:spacing w:after="0"/>
              <w:jc w:val="center"/>
              <w:rPr>
                <w:rFonts w:ascii="Calibri" w:hAnsi="Calibri" w:cs="Calibri"/>
                <w:b/>
                <w:szCs w:val="20"/>
              </w:rPr>
            </w:pPr>
          </w:p>
        </w:tc>
      </w:tr>
      <w:tr w:rsidR="00AA4661" w:rsidRPr="00F8728A" w:rsidTr="00FF5825">
        <w:trPr>
          <w:jc w:val="center"/>
        </w:trPr>
        <w:tc>
          <w:tcPr>
            <w:tcW w:w="4563" w:type="dxa"/>
            <w:shd w:val="clear" w:color="auto" w:fill="B8CCE4"/>
            <w:vAlign w:val="center"/>
          </w:tcPr>
          <w:p w:rsidR="00AA4661" w:rsidRPr="00F8728A" w:rsidRDefault="00AA4661" w:rsidP="009B73C5">
            <w:pPr>
              <w:spacing w:after="0"/>
              <w:jc w:val="both"/>
              <w:rPr>
                <w:rFonts w:ascii="Calibri" w:hAnsi="Calibri" w:cs="Calibri"/>
                <w:b/>
                <w:szCs w:val="20"/>
              </w:rPr>
            </w:pPr>
            <w:r w:rsidRPr="00F8728A">
              <w:rPr>
                <w:rFonts w:ascii="Calibri" w:hAnsi="Calibri" w:cs="Calibri"/>
                <w:b/>
                <w:szCs w:val="20"/>
              </w:rPr>
              <w:t>Градове, разположени в равнини</w:t>
            </w:r>
          </w:p>
        </w:tc>
        <w:tc>
          <w:tcPr>
            <w:tcW w:w="1442" w:type="dxa"/>
            <w:vAlign w:val="center"/>
          </w:tcPr>
          <w:p w:rsidR="00AA4661" w:rsidRPr="00F8728A" w:rsidRDefault="00AA4661" w:rsidP="00DE6347">
            <w:pPr>
              <w:spacing w:after="0"/>
              <w:jc w:val="center"/>
              <w:rPr>
                <w:rFonts w:ascii="Calibri" w:hAnsi="Calibri" w:cs="Calibri"/>
                <w:b/>
                <w:i/>
                <w:szCs w:val="20"/>
              </w:rPr>
            </w:pPr>
          </w:p>
        </w:tc>
        <w:tc>
          <w:tcPr>
            <w:tcW w:w="1558" w:type="dxa"/>
            <w:vAlign w:val="center"/>
          </w:tcPr>
          <w:p w:rsidR="00AA4661" w:rsidRPr="00F8728A" w:rsidRDefault="00AA4661" w:rsidP="00DE6347">
            <w:pPr>
              <w:spacing w:after="0"/>
              <w:jc w:val="center"/>
              <w:rPr>
                <w:rFonts w:ascii="Calibri" w:hAnsi="Calibri" w:cs="Calibri"/>
                <w:b/>
                <w:i/>
                <w:szCs w:val="20"/>
              </w:rPr>
            </w:pPr>
          </w:p>
        </w:tc>
        <w:tc>
          <w:tcPr>
            <w:tcW w:w="1534" w:type="dxa"/>
            <w:vAlign w:val="center"/>
          </w:tcPr>
          <w:p w:rsidR="00AA4661" w:rsidRPr="00F8728A" w:rsidRDefault="00AA4661" w:rsidP="00DE6347">
            <w:pPr>
              <w:spacing w:after="0"/>
              <w:jc w:val="center"/>
              <w:rPr>
                <w:rFonts w:ascii="Calibri" w:hAnsi="Calibri" w:cs="Calibri"/>
                <w:b/>
                <w:i/>
                <w:szCs w:val="20"/>
              </w:rPr>
            </w:pP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Големи</w:t>
            </w:r>
            <w:r w:rsidRPr="00F8728A">
              <w:rPr>
                <w:rFonts w:ascii="Calibri" w:hAnsi="Calibri" w:cs="Calibri"/>
              </w:rPr>
              <w:t xml:space="preserve"> (над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 xml:space="preserve">Средни </w:t>
            </w:r>
            <w:r w:rsidRPr="00F8728A">
              <w:rPr>
                <w:rFonts w:ascii="Calibri" w:hAnsi="Calibri" w:cs="Calibri"/>
              </w:rPr>
              <w:t>(&gt; 30</w:t>
            </w:r>
            <w:r w:rsidR="001E50A7">
              <w:rPr>
                <w:rFonts w:ascii="Calibri" w:hAnsi="Calibri" w:cs="Calibri"/>
              </w:rPr>
              <w:t xml:space="preserve"> </w:t>
            </w:r>
            <w:r w:rsidRPr="00F8728A">
              <w:rPr>
                <w:rFonts w:ascii="Calibri" w:hAnsi="Calibri" w:cs="Calibri"/>
              </w:rPr>
              <w:t>000 и &lt;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Малки</w:t>
            </w:r>
            <w:r w:rsidRPr="00F8728A">
              <w:rPr>
                <w:rFonts w:ascii="Calibri" w:hAnsi="Calibri" w:cs="Calibri"/>
              </w:rPr>
              <w:t xml:space="preserve"> (&lt; 30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50582F">
            <w:pPr>
              <w:spacing w:after="0"/>
              <w:rPr>
                <w:rFonts w:ascii="Calibri" w:hAnsi="Calibri" w:cs="Calibri"/>
                <w:b/>
                <w:szCs w:val="20"/>
              </w:rPr>
            </w:pPr>
            <w:r w:rsidRPr="00F8728A">
              <w:rPr>
                <w:rFonts w:ascii="Calibri" w:hAnsi="Calibri" w:cs="Calibri"/>
                <w:b/>
                <w:szCs w:val="20"/>
              </w:rPr>
              <w:t>Градове, разположени в планински и полупланински територии</w:t>
            </w:r>
          </w:p>
        </w:tc>
        <w:tc>
          <w:tcPr>
            <w:tcW w:w="1442" w:type="dxa"/>
            <w:vAlign w:val="center"/>
          </w:tcPr>
          <w:p w:rsidR="00AA4661" w:rsidRPr="00F8728A" w:rsidRDefault="00AA4661" w:rsidP="00DE6347">
            <w:pPr>
              <w:spacing w:after="0"/>
              <w:jc w:val="center"/>
              <w:rPr>
                <w:rFonts w:ascii="Calibri" w:hAnsi="Calibri" w:cs="Calibri"/>
                <w:szCs w:val="20"/>
              </w:rPr>
            </w:pPr>
          </w:p>
        </w:tc>
        <w:tc>
          <w:tcPr>
            <w:tcW w:w="1558" w:type="dxa"/>
            <w:vAlign w:val="center"/>
          </w:tcPr>
          <w:p w:rsidR="00AA4661" w:rsidRPr="00F8728A" w:rsidRDefault="00AA4661" w:rsidP="00DE6347">
            <w:pPr>
              <w:spacing w:after="0"/>
              <w:jc w:val="center"/>
              <w:rPr>
                <w:rFonts w:ascii="Calibri" w:hAnsi="Calibri" w:cs="Calibri"/>
                <w:szCs w:val="20"/>
              </w:rPr>
            </w:pPr>
          </w:p>
        </w:tc>
        <w:tc>
          <w:tcPr>
            <w:tcW w:w="1534" w:type="dxa"/>
            <w:vAlign w:val="center"/>
          </w:tcPr>
          <w:p w:rsidR="00AA4661" w:rsidRPr="00F8728A" w:rsidRDefault="00AA4661" w:rsidP="00DE6347">
            <w:pPr>
              <w:spacing w:after="0"/>
              <w:jc w:val="center"/>
              <w:rPr>
                <w:rFonts w:ascii="Calibri" w:hAnsi="Calibri" w:cs="Calibri"/>
                <w:szCs w:val="20"/>
              </w:rPr>
            </w:pP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Големи</w:t>
            </w:r>
            <w:r w:rsidRPr="00F8728A">
              <w:rPr>
                <w:rFonts w:ascii="Calibri" w:hAnsi="Calibri" w:cs="Calibri"/>
              </w:rPr>
              <w:t xml:space="preserve"> (над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 xml:space="preserve">Средни </w:t>
            </w:r>
            <w:r w:rsidRPr="00F8728A">
              <w:rPr>
                <w:rFonts w:ascii="Calibri" w:hAnsi="Calibri" w:cs="Calibri"/>
              </w:rPr>
              <w:t>(&gt; 30</w:t>
            </w:r>
            <w:r w:rsidR="001E50A7">
              <w:rPr>
                <w:rFonts w:ascii="Calibri" w:hAnsi="Calibri" w:cs="Calibri"/>
              </w:rPr>
              <w:t xml:space="preserve"> </w:t>
            </w:r>
            <w:r w:rsidRPr="00F8728A">
              <w:rPr>
                <w:rFonts w:ascii="Calibri" w:hAnsi="Calibri" w:cs="Calibri"/>
              </w:rPr>
              <w:t>000 и &lt;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Малки</w:t>
            </w:r>
            <w:r w:rsidRPr="00F8728A">
              <w:rPr>
                <w:rFonts w:ascii="Calibri" w:hAnsi="Calibri" w:cs="Calibri"/>
              </w:rPr>
              <w:t xml:space="preserve"> (&lt; 30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B8CCE4"/>
            <w:vAlign w:val="center"/>
          </w:tcPr>
          <w:p w:rsidR="00AA4661" w:rsidRPr="00F8728A" w:rsidRDefault="00AA4661" w:rsidP="009B73C5">
            <w:pPr>
              <w:spacing w:after="0"/>
              <w:jc w:val="both"/>
              <w:rPr>
                <w:rFonts w:ascii="Calibri" w:hAnsi="Calibri" w:cs="Calibri"/>
                <w:b/>
                <w:szCs w:val="20"/>
              </w:rPr>
            </w:pPr>
            <w:r w:rsidRPr="00F8728A">
              <w:rPr>
                <w:rFonts w:ascii="Calibri" w:hAnsi="Calibri" w:cs="Calibri"/>
                <w:b/>
                <w:szCs w:val="20"/>
              </w:rPr>
              <w:t>Градове по Черноморието</w:t>
            </w:r>
          </w:p>
        </w:tc>
        <w:tc>
          <w:tcPr>
            <w:tcW w:w="1442" w:type="dxa"/>
            <w:vAlign w:val="center"/>
          </w:tcPr>
          <w:p w:rsidR="00AA4661" w:rsidRPr="00F8728A" w:rsidRDefault="00AA4661" w:rsidP="00DE6347">
            <w:pPr>
              <w:spacing w:after="0"/>
              <w:jc w:val="center"/>
              <w:rPr>
                <w:rFonts w:ascii="Calibri" w:hAnsi="Calibri" w:cs="Calibri"/>
                <w:szCs w:val="20"/>
              </w:rPr>
            </w:pPr>
          </w:p>
        </w:tc>
        <w:tc>
          <w:tcPr>
            <w:tcW w:w="1558" w:type="dxa"/>
            <w:vAlign w:val="center"/>
          </w:tcPr>
          <w:p w:rsidR="00AA4661" w:rsidRPr="00F8728A" w:rsidRDefault="00AA4661" w:rsidP="00DE6347">
            <w:pPr>
              <w:spacing w:after="0"/>
              <w:jc w:val="center"/>
              <w:rPr>
                <w:rFonts w:ascii="Calibri" w:hAnsi="Calibri" w:cs="Calibri"/>
                <w:szCs w:val="20"/>
              </w:rPr>
            </w:pPr>
          </w:p>
        </w:tc>
        <w:tc>
          <w:tcPr>
            <w:tcW w:w="1534" w:type="dxa"/>
            <w:vAlign w:val="center"/>
          </w:tcPr>
          <w:p w:rsidR="00AA4661" w:rsidRPr="00F8728A" w:rsidRDefault="00AA4661" w:rsidP="00DE6347">
            <w:pPr>
              <w:spacing w:after="0"/>
              <w:jc w:val="center"/>
              <w:rPr>
                <w:rFonts w:ascii="Calibri" w:hAnsi="Calibri" w:cs="Calibri"/>
                <w:szCs w:val="20"/>
              </w:rPr>
            </w:pP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Големи</w:t>
            </w:r>
            <w:r w:rsidRPr="00F8728A">
              <w:rPr>
                <w:rFonts w:ascii="Calibri" w:hAnsi="Calibri" w:cs="Calibri"/>
              </w:rPr>
              <w:t xml:space="preserve"> (над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 xml:space="preserve">Средни </w:t>
            </w:r>
            <w:r w:rsidRPr="00F8728A">
              <w:rPr>
                <w:rFonts w:ascii="Calibri" w:hAnsi="Calibri" w:cs="Calibri"/>
              </w:rPr>
              <w:t>(&gt; 30</w:t>
            </w:r>
            <w:r w:rsidR="001E50A7">
              <w:rPr>
                <w:rFonts w:ascii="Calibri" w:hAnsi="Calibri" w:cs="Calibri"/>
              </w:rPr>
              <w:t xml:space="preserve"> </w:t>
            </w:r>
            <w:r w:rsidRPr="00F8728A">
              <w:rPr>
                <w:rFonts w:ascii="Calibri" w:hAnsi="Calibri" w:cs="Calibri"/>
              </w:rPr>
              <w:t>000 и &lt;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Малки</w:t>
            </w:r>
            <w:r w:rsidRPr="00F8728A">
              <w:rPr>
                <w:rFonts w:ascii="Calibri" w:hAnsi="Calibri" w:cs="Calibri"/>
              </w:rPr>
              <w:t xml:space="preserve"> (&lt; 30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B8CCE4"/>
            <w:vAlign w:val="center"/>
          </w:tcPr>
          <w:p w:rsidR="00AA4661" w:rsidRPr="00F8728A" w:rsidRDefault="00AA4661" w:rsidP="009B73C5">
            <w:pPr>
              <w:spacing w:after="0"/>
              <w:jc w:val="both"/>
              <w:rPr>
                <w:rFonts w:ascii="Calibri" w:hAnsi="Calibri" w:cs="Calibri"/>
                <w:b/>
                <w:szCs w:val="20"/>
              </w:rPr>
            </w:pPr>
            <w:r w:rsidRPr="00F8728A">
              <w:rPr>
                <w:rFonts w:ascii="Calibri" w:hAnsi="Calibri" w:cs="Calibri"/>
                <w:b/>
                <w:szCs w:val="20"/>
              </w:rPr>
              <w:t xml:space="preserve">Градове на р. Дунав </w:t>
            </w:r>
          </w:p>
        </w:tc>
        <w:tc>
          <w:tcPr>
            <w:tcW w:w="1442" w:type="dxa"/>
            <w:vAlign w:val="center"/>
          </w:tcPr>
          <w:p w:rsidR="00AA4661" w:rsidRPr="00F8728A" w:rsidRDefault="00AA4661" w:rsidP="00DE6347">
            <w:pPr>
              <w:spacing w:after="0"/>
              <w:jc w:val="center"/>
              <w:rPr>
                <w:rFonts w:ascii="Calibri" w:hAnsi="Calibri" w:cs="Calibri"/>
                <w:szCs w:val="20"/>
              </w:rPr>
            </w:pPr>
          </w:p>
        </w:tc>
        <w:tc>
          <w:tcPr>
            <w:tcW w:w="1558" w:type="dxa"/>
            <w:vAlign w:val="center"/>
          </w:tcPr>
          <w:p w:rsidR="00AA4661" w:rsidRPr="00F8728A" w:rsidRDefault="00AA4661" w:rsidP="00DE6347">
            <w:pPr>
              <w:spacing w:after="0"/>
              <w:jc w:val="center"/>
              <w:rPr>
                <w:rFonts w:ascii="Calibri" w:hAnsi="Calibri" w:cs="Calibri"/>
                <w:szCs w:val="20"/>
              </w:rPr>
            </w:pPr>
          </w:p>
        </w:tc>
        <w:tc>
          <w:tcPr>
            <w:tcW w:w="1534" w:type="dxa"/>
            <w:vAlign w:val="center"/>
          </w:tcPr>
          <w:p w:rsidR="00AA4661" w:rsidRPr="00F8728A" w:rsidRDefault="00AA4661" w:rsidP="00DE6347">
            <w:pPr>
              <w:spacing w:after="0"/>
              <w:jc w:val="center"/>
              <w:rPr>
                <w:rFonts w:ascii="Calibri" w:hAnsi="Calibri" w:cs="Calibri"/>
                <w:szCs w:val="20"/>
              </w:rPr>
            </w:pP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Големи</w:t>
            </w:r>
            <w:r w:rsidRPr="00F8728A">
              <w:rPr>
                <w:rFonts w:ascii="Calibri" w:hAnsi="Calibri" w:cs="Calibri"/>
              </w:rPr>
              <w:t xml:space="preserve"> (над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 xml:space="preserve">Средни </w:t>
            </w:r>
            <w:r w:rsidRPr="00F8728A">
              <w:rPr>
                <w:rFonts w:ascii="Calibri" w:hAnsi="Calibri" w:cs="Calibri"/>
              </w:rPr>
              <w:t>(&gt; 30</w:t>
            </w:r>
            <w:r w:rsidR="001E50A7">
              <w:rPr>
                <w:rFonts w:ascii="Calibri" w:hAnsi="Calibri" w:cs="Calibri"/>
              </w:rPr>
              <w:t xml:space="preserve"> </w:t>
            </w:r>
            <w:r w:rsidRPr="00F8728A">
              <w:rPr>
                <w:rFonts w:ascii="Calibri" w:hAnsi="Calibri" w:cs="Calibri"/>
              </w:rPr>
              <w:t>000 и &lt;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Малки</w:t>
            </w:r>
            <w:r w:rsidRPr="00F8728A">
              <w:rPr>
                <w:rFonts w:ascii="Calibri" w:hAnsi="Calibri" w:cs="Calibri"/>
              </w:rPr>
              <w:t xml:space="preserve"> (&lt; 30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bl>
    <w:p w:rsidR="00AA4661" w:rsidRPr="00F8728A" w:rsidRDefault="00AA4661" w:rsidP="00FF5825">
      <w:pPr>
        <w:pStyle w:val="Source"/>
        <w:spacing w:after="60"/>
        <w:jc w:val="both"/>
        <w:rPr>
          <w:i w:val="0"/>
        </w:rPr>
      </w:pPr>
      <w:r w:rsidRPr="00F8728A">
        <w:t>Бележки: В = висок; С = среден; Н = нисък; 0 = няма;</w:t>
      </w:r>
    </w:p>
    <w:p w:rsidR="00AA4661" w:rsidRPr="00F8728A" w:rsidRDefault="00AA4661" w:rsidP="00FF5825">
      <w:pPr>
        <w:pStyle w:val="Source"/>
        <w:spacing w:after="60"/>
        <w:jc w:val="both"/>
        <w:rPr>
          <w:i w:val="0"/>
        </w:rPr>
      </w:pPr>
      <w:r w:rsidRPr="00F8728A">
        <w:t>Експертна оценка на излагането въз основа на засегнатото население и площ в градове с различна големина и местоположение; експертна оценка на чувствителността въз основа на устойчивостта на общностите, сградния фонд и инфраструктурата на стрес фактори, свързани с изменението на климата в градската среда; експертна оценка на капацитета въз основа на възможностите за справяне с и адаптация към изменението на климата.</w:t>
      </w:r>
    </w:p>
    <w:p w:rsidR="00AA4661" w:rsidRPr="00F8728A" w:rsidRDefault="00AA4661" w:rsidP="00480EBC">
      <w:pPr>
        <w:pStyle w:val="Source"/>
        <w:jc w:val="center"/>
      </w:pPr>
      <w:r w:rsidRPr="00F8728A">
        <w:t>Източник: НСИ 2016 (данни за населението), НЦТР (обработка на данните)</w:t>
      </w:r>
    </w:p>
    <w:p w:rsidR="00AA4661" w:rsidRPr="00F8728A" w:rsidRDefault="00AA4661" w:rsidP="00F56BE0">
      <w:pPr>
        <w:rPr>
          <w:lang w:eastAsia="x-none"/>
        </w:rPr>
        <w:sectPr w:rsidR="00AA4661" w:rsidRPr="00F8728A" w:rsidSect="00BB6564">
          <w:pgSz w:w="11906" w:h="16838"/>
          <w:pgMar w:top="1417" w:right="1417" w:bottom="1417" w:left="1417" w:header="708" w:footer="708" w:gutter="0"/>
          <w:cols w:space="708"/>
          <w:docGrid w:linePitch="360"/>
        </w:sectPr>
      </w:pPr>
    </w:p>
    <w:p w:rsidR="00AA4661" w:rsidRPr="00B73D7E" w:rsidRDefault="00AA4661" w:rsidP="00B73D7E">
      <w:pPr>
        <w:pStyle w:val="Heading1"/>
        <w:spacing w:before="0" w:after="120"/>
        <w:jc w:val="both"/>
        <w:rPr>
          <w:rFonts w:eastAsia="Times New Roman"/>
          <w:bCs w:val="0"/>
          <w:color w:val="2F5496"/>
          <w:sz w:val="32"/>
          <w:szCs w:val="32"/>
          <w:lang w:val="bg-BG" w:eastAsia="en-US"/>
        </w:rPr>
      </w:pPr>
      <w:bookmarkStart w:id="942" w:name="_Toc522030623"/>
      <w:bookmarkStart w:id="943" w:name="_Toc529285608"/>
      <w:bookmarkStart w:id="944" w:name="_Toc486259786"/>
      <w:bookmarkStart w:id="945" w:name="_Toc486942240"/>
      <w:bookmarkStart w:id="946" w:name="_Toc501454917"/>
      <w:r w:rsidRPr="00B73D7E">
        <w:rPr>
          <w:rFonts w:eastAsia="Times New Roman"/>
          <w:bCs w:val="0"/>
          <w:color w:val="2F5496"/>
          <w:sz w:val="32"/>
          <w:szCs w:val="32"/>
          <w:lang w:val="bg-BG" w:eastAsia="en-US"/>
        </w:rPr>
        <w:t xml:space="preserve">Приложение </w:t>
      </w:r>
      <w:r w:rsidR="009D0A5D" w:rsidRPr="00B73D7E">
        <w:rPr>
          <w:rFonts w:eastAsia="Times New Roman"/>
          <w:bCs w:val="0"/>
          <w:color w:val="2F5496"/>
          <w:sz w:val="32"/>
          <w:szCs w:val="32"/>
          <w:lang w:val="bg-BG" w:eastAsia="en-US"/>
        </w:rPr>
        <w:t>9</w:t>
      </w:r>
      <w:r w:rsidRPr="00B73D7E">
        <w:rPr>
          <w:rFonts w:eastAsia="Times New Roman"/>
          <w:bCs w:val="0"/>
          <w:color w:val="2F5496"/>
          <w:sz w:val="32"/>
          <w:szCs w:val="32"/>
          <w:lang w:val="bg-BG" w:eastAsia="en-US"/>
        </w:rPr>
        <w:t>. Австрийска стратегия за адаптация към изменението на климата</w:t>
      </w:r>
      <w:bookmarkEnd w:id="942"/>
      <w:bookmarkEnd w:id="943"/>
    </w:p>
    <w:p w:rsidR="00AA4661" w:rsidRPr="008E7DAC" w:rsidRDefault="004E6834" w:rsidP="00B73D7E">
      <w:pPr>
        <w:pStyle w:val="FiguresTablesCaption"/>
      </w:pPr>
      <w:bookmarkStart w:id="947" w:name="_Toc529286658"/>
      <w:r w:rsidRPr="008E7DAC">
        <w:t xml:space="preserve">Таблица </w:t>
      </w:r>
      <w:r w:rsidRPr="008E7DAC">
        <w:fldChar w:fldCharType="begin"/>
      </w:r>
      <w:r w:rsidRPr="008E7DAC">
        <w:instrText xml:space="preserve"> SEQ Table \* ARABIC </w:instrText>
      </w:r>
      <w:r w:rsidRPr="008E7DAC">
        <w:fldChar w:fldCharType="separate"/>
      </w:r>
      <w:r w:rsidRPr="00B73D7E">
        <w:t>31</w:t>
      </w:r>
      <w:r w:rsidRPr="008E7DAC">
        <w:fldChar w:fldCharType="end"/>
      </w:r>
      <w:r w:rsidRPr="008E7DAC">
        <w:t xml:space="preserve">. </w:t>
      </w:r>
      <w:r w:rsidR="00AA4661" w:rsidRPr="008E7DAC">
        <w:t>Австрийска стратегия за адаптация към изменението на климата – цели и препоръчителни действия за сектора на градската среда</w:t>
      </w:r>
      <w:bookmarkEnd w:id="944"/>
      <w:bookmarkEnd w:id="945"/>
      <w:bookmarkEnd w:id="946"/>
      <w:bookmarkEnd w:id="947"/>
    </w:p>
    <w:tbl>
      <w:tblPr>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5295"/>
        <w:gridCol w:w="3747"/>
      </w:tblGrid>
      <w:tr w:rsidR="00AA4661" w:rsidRPr="00F8728A" w:rsidTr="005F5EA7">
        <w:trPr>
          <w:tblHeader/>
          <w:jc w:val="center"/>
        </w:trPr>
        <w:tc>
          <w:tcPr>
            <w:tcW w:w="9042" w:type="dxa"/>
            <w:gridSpan w:val="2"/>
            <w:shd w:val="clear" w:color="auto" w:fill="365F91"/>
          </w:tcPr>
          <w:p w:rsidR="00AA4661" w:rsidRPr="00F8728A" w:rsidRDefault="00AA4661" w:rsidP="00480EBC">
            <w:pPr>
              <w:pStyle w:val="western"/>
              <w:spacing w:before="60" w:beforeAutospacing="0" w:after="60" w:afterAutospacing="0"/>
              <w:jc w:val="center"/>
              <w:rPr>
                <w:rFonts w:ascii="Calibri" w:hAnsi="Calibri" w:cs="Calibri"/>
                <w:b/>
                <w:color w:val="FFFFFF"/>
                <w:sz w:val="22"/>
                <w:szCs w:val="22"/>
              </w:rPr>
            </w:pPr>
            <w:r w:rsidRPr="00F8728A">
              <w:rPr>
                <w:rFonts w:ascii="Calibri" w:hAnsi="Calibri" w:cs="Calibri"/>
                <w:b/>
                <w:color w:val="FFFFFF"/>
                <w:sz w:val="22"/>
                <w:szCs w:val="22"/>
              </w:rPr>
              <w:t>ПРОСТРАНСТВЕНО ПЛАНИРАНЕ</w:t>
            </w:r>
          </w:p>
        </w:tc>
      </w:tr>
      <w:tr w:rsidR="00AA4661" w:rsidRPr="00F8728A" w:rsidTr="004F13EC">
        <w:trPr>
          <w:tblHeader/>
          <w:jc w:val="center"/>
        </w:trPr>
        <w:tc>
          <w:tcPr>
            <w:tcW w:w="5295" w:type="dxa"/>
            <w:shd w:val="clear" w:color="auto" w:fill="D9D9D9"/>
          </w:tcPr>
          <w:p w:rsidR="00AA4661" w:rsidRPr="00F8728A" w:rsidRDefault="00AA4661" w:rsidP="00480EBC">
            <w:pPr>
              <w:pStyle w:val="western"/>
              <w:spacing w:before="40" w:beforeAutospacing="0" w:after="40" w:afterAutospacing="0"/>
              <w:jc w:val="center"/>
              <w:rPr>
                <w:rFonts w:ascii="Calibri" w:hAnsi="Calibri" w:cs="Calibri"/>
                <w:b/>
                <w:sz w:val="22"/>
                <w:szCs w:val="22"/>
              </w:rPr>
            </w:pPr>
            <w:r w:rsidRPr="00F8728A">
              <w:rPr>
                <w:rFonts w:ascii="Calibri" w:hAnsi="Calibri" w:cs="Calibri"/>
                <w:b/>
                <w:sz w:val="22"/>
                <w:szCs w:val="22"/>
              </w:rPr>
              <w:t>Цели</w:t>
            </w:r>
          </w:p>
        </w:tc>
        <w:tc>
          <w:tcPr>
            <w:tcW w:w="3747" w:type="dxa"/>
            <w:shd w:val="clear" w:color="auto" w:fill="D9D9D9"/>
          </w:tcPr>
          <w:p w:rsidR="00AA4661" w:rsidRPr="00F8728A" w:rsidRDefault="00AA4661" w:rsidP="00480EBC">
            <w:pPr>
              <w:pStyle w:val="western"/>
              <w:spacing w:before="40" w:beforeAutospacing="0" w:after="40" w:afterAutospacing="0"/>
              <w:jc w:val="center"/>
              <w:rPr>
                <w:rFonts w:ascii="Calibri" w:hAnsi="Calibri" w:cs="Calibri"/>
                <w:b/>
                <w:sz w:val="22"/>
                <w:szCs w:val="22"/>
              </w:rPr>
            </w:pPr>
            <w:r w:rsidRPr="00F8728A">
              <w:rPr>
                <w:rFonts w:ascii="Calibri" w:hAnsi="Calibri" w:cs="Calibri"/>
                <w:b/>
                <w:sz w:val="22"/>
                <w:szCs w:val="22"/>
              </w:rPr>
              <w:t>Препоръчителни действия и мерки</w:t>
            </w:r>
          </w:p>
        </w:tc>
      </w:tr>
      <w:tr w:rsidR="00AA4661" w:rsidRPr="00F8728A" w:rsidTr="004F13EC">
        <w:trPr>
          <w:jc w:val="center"/>
        </w:trPr>
        <w:tc>
          <w:tcPr>
            <w:tcW w:w="5295" w:type="dxa"/>
            <w:vAlign w:val="center"/>
          </w:tcPr>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 xml:space="preserve">Генериране, внедряване и обмен на знания за климатичните въздействия, свързани с по-доброто пространствено планиране, които са приложими при вземането на решения </w:t>
            </w:r>
          </w:p>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Повишаване на готовността и способността за действие сред службите за пространствено планиране и засегнатите лица за справяне с ИК</w:t>
            </w:r>
          </w:p>
        </w:tc>
        <w:tc>
          <w:tcPr>
            <w:tcW w:w="3747" w:type="dxa"/>
            <w:vAlign w:val="center"/>
          </w:tcPr>
          <w:p w:rsidR="00AA4661" w:rsidRPr="00F8728A" w:rsidRDefault="00AA4661" w:rsidP="00480EBC">
            <w:pPr>
              <w:pStyle w:val="western"/>
              <w:spacing w:before="20" w:beforeAutospacing="0" w:after="20" w:afterAutospacing="0"/>
              <w:jc w:val="both"/>
              <w:rPr>
                <w:rFonts w:ascii="Calibri" w:hAnsi="Calibri" w:cs="Calibri"/>
                <w:sz w:val="22"/>
                <w:szCs w:val="22"/>
              </w:rPr>
            </w:pPr>
            <w:r w:rsidRPr="00F8728A">
              <w:rPr>
                <w:rFonts w:ascii="Calibri" w:hAnsi="Calibri" w:cs="Calibri"/>
                <w:sz w:val="22"/>
                <w:szCs w:val="22"/>
              </w:rPr>
              <w:t>Разработка и предоставяне на подходяща за практиката база данни и информация, повишаване на осведомеността и подобряване  на работата на службите в мрежа</w:t>
            </w:r>
          </w:p>
        </w:tc>
      </w:tr>
      <w:tr w:rsidR="00AA4661" w:rsidRPr="00F8728A" w:rsidTr="004F13EC">
        <w:trPr>
          <w:jc w:val="center"/>
        </w:trPr>
        <w:tc>
          <w:tcPr>
            <w:tcW w:w="5295" w:type="dxa"/>
            <w:vAlign w:val="center"/>
          </w:tcPr>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Защита на жилищните райони от наводнения чрез укрепване и възстановяване на природните заливни тераси и зони за задържане на вода</w:t>
            </w:r>
          </w:p>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Подобряване на задържането на вода във водосборните басейни на реките</w:t>
            </w:r>
          </w:p>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Защита от свързани с наводнения щети чрез понижаване на пиковия дебит и забавяне на приливните вълни</w:t>
            </w:r>
          </w:p>
        </w:tc>
        <w:tc>
          <w:tcPr>
            <w:tcW w:w="3747" w:type="dxa"/>
            <w:vAlign w:val="center"/>
          </w:tcPr>
          <w:p w:rsidR="00AA4661" w:rsidRPr="00F8728A" w:rsidRDefault="00AA4661" w:rsidP="00480EBC">
            <w:pPr>
              <w:pStyle w:val="western"/>
              <w:spacing w:before="20" w:beforeAutospacing="0" w:after="20" w:afterAutospacing="0"/>
              <w:jc w:val="both"/>
              <w:rPr>
                <w:rFonts w:ascii="Calibri" w:hAnsi="Calibri" w:cs="Calibri"/>
                <w:sz w:val="22"/>
                <w:szCs w:val="22"/>
              </w:rPr>
            </w:pPr>
            <w:r w:rsidRPr="00F8728A">
              <w:rPr>
                <w:rFonts w:ascii="Calibri" w:hAnsi="Calibri" w:cs="Calibri"/>
                <w:sz w:val="22"/>
                <w:szCs w:val="22"/>
              </w:rPr>
              <w:t>Установяване и опазване на зоните за задържане и отводняване и ясно регулиране на забраните и ограниченията в тях</w:t>
            </w:r>
          </w:p>
        </w:tc>
      </w:tr>
      <w:tr w:rsidR="00AA4661" w:rsidRPr="00F8728A" w:rsidTr="004F13EC">
        <w:trPr>
          <w:jc w:val="center"/>
        </w:trPr>
        <w:tc>
          <w:tcPr>
            <w:tcW w:w="5295" w:type="dxa"/>
            <w:vAlign w:val="center"/>
          </w:tcPr>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Защита на жилищните територии и инфраструктурата от природни опасности (хазард)</w:t>
            </w:r>
          </w:p>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Опазване на територии, застрашени от природни опасности, чрез забрана за застрояване и ползване, създаващо висок потенциал за щети</w:t>
            </w:r>
          </w:p>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Осигуряване на проактивно предотвратяване на опасности</w:t>
            </w:r>
          </w:p>
        </w:tc>
        <w:tc>
          <w:tcPr>
            <w:tcW w:w="3747" w:type="dxa"/>
            <w:vAlign w:val="center"/>
          </w:tcPr>
          <w:p w:rsidR="00AA4661" w:rsidRPr="00F8728A" w:rsidRDefault="00AA4661" w:rsidP="00480EBC">
            <w:pPr>
              <w:pStyle w:val="western"/>
              <w:spacing w:before="20" w:beforeAutospacing="0" w:after="20" w:afterAutospacing="0"/>
              <w:jc w:val="both"/>
              <w:rPr>
                <w:rFonts w:ascii="Calibri" w:hAnsi="Calibri" w:cs="Calibri"/>
                <w:sz w:val="22"/>
                <w:szCs w:val="22"/>
              </w:rPr>
            </w:pPr>
            <w:r w:rsidRPr="00F8728A">
              <w:rPr>
                <w:rFonts w:ascii="Calibri" w:hAnsi="Calibri" w:cs="Calibri"/>
                <w:sz w:val="22"/>
                <w:szCs w:val="22"/>
              </w:rPr>
              <w:t>Обвързаност между нормативната уредба и картографирането на опасностите (хазарда)</w:t>
            </w:r>
          </w:p>
        </w:tc>
      </w:tr>
      <w:tr w:rsidR="00AA4661" w:rsidRPr="00F8728A" w:rsidTr="004F13EC">
        <w:trPr>
          <w:jc w:val="center"/>
        </w:trPr>
        <w:tc>
          <w:tcPr>
            <w:tcW w:w="5295" w:type="dxa"/>
            <w:vAlign w:val="center"/>
          </w:tcPr>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Понижаване на потенциала от щети при събития, свързани с природни опасности;</w:t>
            </w:r>
          </w:p>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Осигуряване на проактивно предотвратяване на опасности</w:t>
            </w:r>
          </w:p>
        </w:tc>
        <w:tc>
          <w:tcPr>
            <w:tcW w:w="3747" w:type="dxa"/>
            <w:vAlign w:val="center"/>
          </w:tcPr>
          <w:p w:rsidR="00AA4661" w:rsidRPr="00F8728A" w:rsidRDefault="00AA4661" w:rsidP="00480EBC">
            <w:pPr>
              <w:pStyle w:val="western"/>
              <w:spacing w:before="20" w:beforeAutospacing="0" w:after="20" w:afterAutospacing="0"/>
              <w:jc w:val="both"/>
              <w:rPr>
                <w:rFonts w:ascii="Calibri" w:hAnsi="Calibri" w:cs="Calibri"/>
                <w:sz w:val="22"/>
                <w:szCs w:val="22"/>
              </w:rPr>
            </w:pPr>
            <w:r w:rsidRPr="00F8728A">
              <w:rPr>
                <w:rFonts w:ascii="Calibri" w:hAnsi="Calibri" w:cs="Calibri"/>
                <w:sz w:val="22"/>
                <w:szCs w:val="22"/>
              </w:rPr>
              <w:t>Нормативни документи за управление на съществуващото зониране и строителство  в опасни зони</w:t>
            </w:r>
          </w:p>
        </w:tc>
      </w:tr>
      <w:tr w:rsidR="00AA4661" w:rsidRPr="00F8728A" w:rsidTr="004F13EC">
        <w:trPr>
          <w:jc w:val="center"/>
        </w:trPr>
        <w:tc>
          <w:tcPr>
            <w:tcW w:w="5295" w:type="dxa"/>
            <w:vAlign w:val="center"/>
          </w:tcPr>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Опазване на едромащабни територии на “солидарност” за съвместни действия по задържане на наводнения и предотвратяване на опасности</w:t>
            </w:r>
          </w:p>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Въвеждане на механизми за компенсиране и модели за трансфер на риска между общини или органи съгласно Закона за правата върху водите  (напр. водни кооперативи/ водни съвети) за компенсиране на съвместно ползваната земя между общностите по горното и долното течение  на реките</w:t>
            </w:r>
          </w:p>
        </w:tc>
        <w:tc>
          <w:tcPr>
            <w:tcW w:w="3747" w:type="dxa"/>
            <w:vAlign w:val="center"/>
          </w:tcPr>
          <w:p w:rsidR="00AA4661" w:rsidRPr="00F8728A" w:rsidRDefault="00AA4661" w:rsidP="00480EBC">
            <w:pPr>
              <w:pStyle w:val="western"/>
              <w:spacing w:before="20" w:beforeAutospacing="0" w:after="20" w:afterAutospacing="0"/>
              <w:jc w:val="both"/>
              <w:rPr>
                <w:rFonts w:ascii="Calibri" w:hAnsi="Calibri" w:cs="Calibri"/>
                <w:sz w:val="22"/>
                <w:szCs w:val="22"/>
              </w:rPr>
            </w:pPr>
            <w:r w:rsidRPr="00F8728A">
              <w:rPr>
                <w:rFonts w:ascii="Calibri" w:hAnsi="Calibri" w:cs="Calibri"/>
                <w:sz w:val="22"/>
                <w:szCs w:val="22"/>
              </w:rPr>
              <w:t>Насърчаване на сътрудничеството между общините</w:t>
            </w:r>
          </w:p>
        </w:tc>
      </w:tr>
      <w:tr w:rsidR="00AA4661" w:rsidRPr="00F8728A" w:rsidTr="004F13EC">
        <w:trPr>
          <w:jc w:val="center"/>
        </w:trPr>
        <w:tc>
          <w:tcPr>
            <w:tcW w:w="5295" w:type="dxa"/>
            <w:vAlign w:val="center"/>
          </w:tcPr>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Подобряване на микроклимата в гъсто застроените територии, предотвратяване на прегряването и ефектите на топлинни острови, както и компенсиране на повишеното биоклиматично натоварване върху човешкото здраве; осигуряване на проникването на свеж/ студен въздух в гъсто застроените територии</w:t>
            </w:r>
          </w:p>
        </w:tc>
        <w:tc>
          <w:tcPr>
            <w:tcW w:w="3747" w:type="dxa"/>
            <w:vAlign w:val="center"/>
          </w:tcPr>
          <w:p w:rsidR="00AA4661" w:rsidRPr="00F8728A" w:rsidRDefault="00AA4661" w:rsidP="00480EBC">
            <w:pPr>
              <w:pStyle w:val="western"/>
              <w:spacing w:before="20" w:beforeAutospacing="0" w:after="20" w:afterAutospacing="0"/>
              <w:jc w:val="both"/>
              <w:rPr>
                <w:rFonts w:ascii="Calibri" w:hAnsi="Calibri" w:cs="Calibri"/>
                <w:sz w:val="22"/>
                <w:szCs w:val="22"/>
              </w:rPr>
            </w:pPr>
            <w:r w:rsidRPr="00F8728A">
              <w:rPr>
                <w:rFonts w:ascii="Calibri" w:hAnsi="Calibri" w:cs="Calibri"/>
                <w:sz w:val="22"/>
                <w:szCs w:val="22"/>
              </w:rPr>
              <w:t>Защита на териториите, източници на свеж/ студен въздух, пътищата за естествено проветряване и “зелена” и “синя” инфраструктура в жилищните територии</w:t>
            </w:r>
          </w:p>
        </w:tc>
      </w:tr>
      <w:tr w:rsidR="00AA4661" w:rsidRPr="00F8728A" w:rsidTr="004F13EC">
        <w:trPr>
          <w:jc w:val="center"/>
        </w:trPr>
        <w:tc>
          <w:tcPr>
            <w:tcW w:w="5295" w:type="dxa"/>
            <w:vAlign w:val="center"/>
          </w:tcPr>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Подобряване на микроклимата в гъсто населените територии, предотвратяване на прегряването и ефектите на топлинни острови, както и компенсиране на повишеното биоклиматично натоварване върху човешкото здраве</w:t>
            </w:r>
          </w:p>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Предотвратяване на свързаните с топлината здравни рискове</w:t>
            </w:r>
          </w:p>
        </w:tc>
        <w:tc>
          <w:tcPr>
            <w:tcW w:w="3747" w:type="dxa"/>
            <w:vAlign w:val="center"/>
          </w:tcPr>
          <w:p w:rsidR="00AA4661" w:rsidRPr="00F8728A" w:rsidRDefault="00AA4661" w:rsidP="00480EBC">
            <w:pPr>
              <w:pStyle w:val="western"/>
              <w:spacing w:before="20" w:beforeAutospacing="0" w:after="20" w:afterAutospacing="0"/>
              <w:jc w:val="both"/>
              <w:rPr>
                <w:rFonts w:ascii="Calibri" w:hAnsi="Calibri" w:cs="Calibri"/>
                <w:sz w:val="22"/>
                <w:szCs w:val="22"/>
              </w:rPr>
            </w:pPr>
            <w:r w:rsidRPr="00F8728A">
              <w:rPr>
                <w:rFonts w:ascii="Calibri" w:hAnsi="Calibri" w:cs="Calibri"/>
                <w:sz w:val="22"/>
                <w:szCs w:val="22"/>
              </w:rPr>
              <w:t>Преразглеждане и (при необходимост) промени в биоклиматичните мерки в плановете за  развитие</w:t>
            </w:r>
          </w:p>
        </w:tc>
      </w:tr>
      <w:tr w:rsidR="00AA4661" w:rsidRPr="00F8728A" w:rsidTr="004F13EC">
        <w:trPr>
          <w:jc w:val="center"/>
        </w:trPr>
        <w:tc>
          <w:tcPr>
            <w:tcW w:w="5295" w:type="dxa"/>
            <w:vAlign w:val="center"/>
          </w:tcPr>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Опазване на запасите от подземни и питейни води и възстановяване на подземните води</w:t>
            </w:r>
          </w:p>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Гарантиране на количествена и качествена сигурност на водоснабдяването</w:t>
            </w:r>
          </w:p>
        </w:tc>
        <w:tc>
          <w:tcPr>
            <w:tcW w:w="3747" w:type="dxa"/>
            <w:vAlign w:val="center"/>
          </w:tcPr>
          <w:p w:rsidR="00AA4661" w:rsidRPr="00F8728A" w:rsidRDefault="00AA4661" w:rsidP="00480EBC">
            <w:pPr>
              <w:pStyle w:val="western"/>
              <w:spacing w:before="20" w:beforeAutospacing="0" w:after="20" w:afterAutospacing="0"/>
              <w:jc w:val="both"/>
              <w:rPr>
                <w:rFonts w:ascii="Calibri" w:hAnsi="Calibri" w:cs="Calibri"/>
                <w:sz w:val="22"/>
                <w:szCs w:val="22"/>
              </w:rPr>
            </w:pPr>
            <w:r w:rsidRPr="00F8728A">
              <w:rPr>
                <w:rFonts w:ascii="Calibri" w:hAnsi="Calibri" w:cs="Calibri"/>
                <w:sz w:val="22"/>
                <w:szCs w:val="22"/>
              </w:rPr>
              <w:t>Повишена защита на водните ресурси и подобрена интеграция на пространственото планиране, управлението и използването на водите с необходимите  водни количества</w:t>
            </w:r>
          </w:p>
        </w:tc>
      </w:tr>
      <w:tr w:rsidR="00AA4661" w:rsidRPr="00F8728A" w:rsidTr="004F13EC">
        <w:trPr>
          <w:jc w:val="center"/>
        </w:trPr>
        <w:tc>
          <w:tcPr>
            <w:tcW w:w="5295" w:type="dxa"/>
            <w:vAlign w:val="center"/>
          </w:tcPr>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 xml:space="preserve">Поддръжка и подобряване на функционалната (дори при промени в природните условия) мрежа от защитени територии и хабитати </w:t>
            </w:r>
          </w:p>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Установяване и поддръжка на непрекъснати защитени територии за животински и растителни видове и предотвратяване на допълнителното фрагментиране на хабитатите</w:t>
            </w:r>
          </w:p>
        </w:tc>
        <w:tc>
          <w:tcPr>
            <w:tcW w:w="3747" w:type="dxa"/>
            <w:vAlign w:val="center"/>
          </w:tcPr>
          <w:p w:rsidR="00AA4661" w:rsidRPr="00F8728A" w:rsidRDefault="00AA4661" w:rsidP="00480EBC">
            <w:pPr>
              <w:pStyle w:val="western"/>
              <w:spacing w:before="20" w:beforeAutospacing="0" w:after="20" w:afterAutospacing="0"/>
              <w:jc w:val="both"/>
              <w:rPr>
                <w:rFonts w:ascii="Calibri" w:hAnsi="Calibri" w:cs="Calibri"/>
                <w:sz w:val="22"/>
                <w:szCs w:val="22"/>
              </w:rPr>
            </w:pPr>
            <w:r w:rsidRPr="00F8728A">
              <w:rPr>
                <w:rFonts w:ascii="Calibri" w:hAnsi="Calibri" w:cs="Calibri"/>
                <w:sz w:val="22"/>
                <w:szCs w:val="22"/>
              </w:rPr>
              <w:t>Повишена защита на екологично важните открити пространства (нефрагментирани природни територии, коридори на хабитати, биотопни мрежи) и свеждане до минимум на допълнителното фрагменитране на хабитатите</w:t>
            </w:r>
          </w:p>
        </w:tc>
      </w:tr>
      <w:tr w:rsidR="00AA4661" w:rsidRPr="00F8728A" w:rsidTr="004F13EC">
        <w:trPr>
          <w:jc w:val="center"/>
        </w:trPr>
        <w:tc>
          <w:tcPr>
            <w:tcW w:w="5295" w:type="dxa"/>
            <w:vAlign w:val="center"/>
          </w:tcPr>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Подсилване на пространственото измерение на енергийната система</w:t>
            </w:r>
          </w:p>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Понижаване на потреблението на енергия и подобряване на енергийната ефективност</w:t>
            </w:r>
          </w:p>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Подобрено постигане на целите за ограничаване на климатичните промени чрез намаляване на емисиите на ПГ</w:t>
            </w:r>
          </w:p>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Повишаване на дяла на възобновяемите източници на енергия в удовлетворяване на регионалните енергийни нужди</w:t>
            </w:r>
          </w:p>
        </w:tc>
        <w:tc>
          <w:tcPr>
            <w:tcW w:w="3747" w:type="dxa"/>
            <w:vAlign w:val="center"/>
          </w:tcPr>
          <w:p w:rsidR="00AA4661" w:rsidRPr="00F8728A" w:rsidRDefault="00AA4661" w:rsidP="00480EBC">
            <w:pPr>
              <w:pStyle w:val="western"/>
              <w:spacing w:before="20" w:beforeAutospacing="0" w:after="20" w:afterAutospacing="0"/>
              <w:jc w:val="both"/>
              <w:rPr>
                <w:rFonts w:ascii="Calibri" w:hAnsi="Calibri" w:cs="Calibri"/>
                <w:sz w:val="22"/>
                <w:szCs w:val="22"/>
              </w:rPr>
            </w:pPr>
            <w:r w:rsidRPr="00F8728A">
              <w:rPr>
                <w:rFonts w:ascii="Calibri" w:hAnsi="Calibri" w:cs="Calibri"/>
                <w:sz w:val="22"/>
                <w:szCs w:val="22"/>
              </w:rPr>
              <w:t>Насърчаване на енергийноефективни пространствени структури</w:t>
            </w:r>
          </w:p>
        </w:tc>
      </w:tr>
      <w:tr w:rsidR="00AA4661" w:rsidRPr="00F8728A" w:rsidTr="004F13EC">
        <w:trPr>
          <w:jc w:val="center"/>
        </w:trPr>
        <w:tc>
          <w:tcPr>
            <w:tcW w:w="5295" w:type="dxa"/>
            <w:vAlign w:val="center"/>
          </w:tcPr>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Осигуряване на устойчивост и адаптивност на планове, програми и концепции за развитие към настоящите и бъдещите влияния на климатичните промени</w:t>
            </w:r>
          </w:p>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Системно съобразяване на потенциалните последици от климатичните промени в бъдещи стратегии за пространствено развитие, пространствени планове и процеса на планиране</w:t>
            </w:r>
          </w:p>
        </w:tc>
        <w:tc>
          <w:tcPr>
            <w:tcW w:w="3747" w:type="dxa"/>
            <w:vAlign w:val="center"/>
          </w:tcPr>
          <w:p w:rsidR="00AA4661" w:rsidRPr="00F8728A" w:rsidRDefault="00AA4661" w:rsidP="00480EBC">
            <w:pPr>
              <w:pStyle w:val="western"/>
              <w:spacing w:before="20" w:beforeAutospacing="0" w:after="20" w:afterAutospacing="0"/>
              <w:jc w:val="both"/>
              <w:rPr>
                <w:rFonts w:ascii="Calibri" w:hAnsi="Calibri" w:cs="Calibri"/>
                <w:sz w:val="22"/>
                <w:szCs w:val="22"/>
              </w:rPr>
            </w:pPr>
            <w:r w:rsidRPr="00F8728A">
              <w:rPr>
                <w:rFonts w:ascii="Calibri" w:hAnsi="Calibri" w:cs="Calibri"/>
                <w:sz w:val="22"/>
                <w:szCs w:val="22"/>
              </w:rPr>
              <w:t>Осигуряване на “климатоустойчивост” на пространствените планове и инструменти</w:t>
            </w:r>
          </w:p>
        </w:tc>
      </w:tr>
      <w:tr w:rsidR="00AA4661" w:rsidRPr="00F8728A" w:rsidTr="004F13EC">
        <w:trPr>
          <w:jc w:val="center"/>
        </w:trPr>
        <w:tc>
          <w:tcPr>
            <w:tcW w:w="5295" w:type="dxa"/>
            <w:vAlign w:val="center"/>
          </w:tcPr>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Съобразяване с функциите на почвите в процедурите за пространствено планиране за осигуряване на екосистемните им функции</w:t>
            </w:r>
          </w:p>
        </w:tc>
        <w:tc>
          <w:tcPr>
            <w:tcW w:w="3747" w:type="dxa"/>
            <w:vAlign w:val="center"/>
          </w:tcPr>
          <w:p w:rsidR="00AA4661" w:rsidRPr="00F8728A" w:rsidRDefault="00AA4661" w:rsidP="00480EBC">
            <w:pPr>
              <w:pStyle w:val="western"/>
              <w:spacing w:before="20" w:beforeAutospacing="0" w:after="20" w:afterAutospacing="0"/>
              <w:jc w:val="both"/>
              <w:rPr>
                <w:rFonts w:ascii="Calibri" w:hAnsi="Calibri" w:cs="Calibri"/>
                <w:sz w:val="22"/>
                <w:szCs w:val="22"/>
              </w:rPr>
            </w:pPr>
            <w:r w:rsidRPr="00F8728A">
              <w:rPr>
                <w:rFonts w:ascii="Calibri" w:hAnsi="Calibri" w:cs="Calibri"/>
                <w:sz w:val="22"/>
                <w:szCs w:val="22"/>
              </w:rPr>
              <w:t>Насърчаване на количествена защита на почвите</w:t>
            </w:r>
          </w:p>
        </w:tc>
      </w:tr>
    </w:tbl>
    <w:p w:rsidR="00AA4661" w:rsidRPr="00F8728A" w:rsidRDefault="00AA4661" w:rsidP="00480EBC">
      <w:pPr>
        <w:jc w:val="both"/>
      </w:pPr>
    </w:p>
    <w:p w:rsidR="00AA4661" w:rsidRPr="00F8728A" w:rsidRDefault="00AA4661" w:rsidP="00480EBC">
      <w:pPr>
        <w:jc w:val="both"/>
      </w:pPr>
      <w:r w:rsidRPr="00F8728A">
        <w:br w:type="page"/>
      </w:r>
    </w:p>
    <w:tbl>
      <w:tblPr>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4633"/>
        <w:gridCol w:w="4655"/>
      </w:tblGrid>
      <w:tr w:rsidR="00AA4661" w:rsidRPr="00F8728A" w:rsidTr="005F5EA7">
        <w:trPr>
          <w:tblHeader/>
          <w:jc w:val="center"/>
        </w:trPr>
        <w:tc>
          <w:tcPr>
            <w:tcW w:w="9288" w:type="dxa"/>
            <w:gridSpan w:val="2"/>
            <w:shd w:val="clear" w:color="auto" w:fill="365F91"/>
          </w:tcPr>
          <w:p w:rsidR="00AA4661" w:rsidRPr="00F8728A" w:rsidRDefault="00AA4661" w:rsidP="004F13EC">
            <w:pPr>
              <w:spacing w:before="60" w:after="60"/>
              <w:jc w:val="center"/>
              <w:rPr>
                <w:rFonts w:ascii="Calibri" w:hAnsi="Calibri" w:cs="Calibri"/>
                <w:b/>
                <w:color w:val="FFFFFF"/>
                <w:sz w:val="22"/>
              </w:rPr>
            </w:pPr>
            <w:r w:rsidRPr="00F8728A">
              <w:rPr>
                <w:rFonts w:ascii="Calibri" w:hAnsi="Calibri" w:cs="Calibri"/>
                <w:b/>
                <w:color w:val="FFFFFF"/>
                <w:sz w:val="22"/>
              </w:rPr>
              <w:t>СТРОИТЕЛСТВО И ЖИЛИЩА</w:t>
            </w:r>
          </w:p>
        </w:tc>
      </w:tr>
      <w:tr w:rsidR="00AA4661" w:rsidRPr="00F8728A" w:rsidTr="00776E5B">
        <w:trPr>
          <w:tblHeader/>
          <w:jc w:val="center"/>
        </w:trPr>
        <w:tc>
          <w:tcPr>
            <w:tcW w:w="4633" w:type="dxa"/>
            <w:shd w:val="clear" w:color="auto" w:fill="D9D9D9"/>
          </w:tcPr>
          <w:p w:rsidR="00AA4661" w:rsidRPr="00F8728A" w:rsidRDefault="00AA4661" w:rsidP="004F13EC">
            <w:pPr>
              <w:spacing w:before="40" w:after="40"/>
              <w:jc w:val="center"/>
              <w:rPr>
                <w:rFonts w:ascii="Calibri" w:hAnsi="Calibri" w:cs="Calibri"/>
                <w:b/>
                <w:sz w:val="22"/>
              </w:rPr>
            </w:pPr>
            <w:r w:rsidRPr="00F8728A">
              <w:rPr>
                <w:rFonts w:ascii="Calibri" w:hAnsi="Calibri" w:cs="Calibri"/>
                <w:b/>
                <w:sz w:val="22"/>
              </w:rPr>
              <w:t>Цели</w:t>
            </w:r>
          </w:p>
        </w:tc>
        <w:tc>
          <w:tcPr>
            <w:tcW w:w="4655" w:type="dxa"/>
            <w:shd w:val="clear" w:color="auto" w:fill="D9D9D9"/>
          </w:tcPr>
          <w:p w:rsidR="00AA4661" w:rsidRPr="00F8728A" w:rsidRDefault="00AA4661" w:rsidP="004F13EC">
            <w:pPr>
              <w:spacing w:before="40" w:after="40"/>
              <w:jc w:val="center"/>
              <w:rPr>
                <w:rFonts w:ascii="Calibri" w:hAnsi="Calibri" w:cs="Calibri"/>
                <w:b/>
                <w:sz w:val="22"/>
              </w:rPr>
            </w:pPr>
            <w:r w:rsidRPr="00F8728A">
              <w:rPr>
                <w:rFonts w:ascii="Calibri" w:hAnsi="Calibri" w:cs="Calibri"/>
                <w:b/>
                <w:sz w:val="22"/>
              </w:rPr>
              <w:t>Препоръчителни действия и мерки</w:t>
            </w:r>
          </w:p>
        </w:tc>
      </w:tr>
      <w:tr w:rsidR="00AA4661" w:rsidRPr="00F8728A" w:rsidTr="00480EBC">
        <w:trPr>
          <w:jc w:val="center"/>
        </w:trPr>
        <w:tc>
          <w:tcPr>
            <w:tcW w:w="4633" w:type="dxa"/>
            <w:vAlign w:val="center"/>
          </w:tcPr>
          <w:p w:rsidR="00AA4661" w:rsidRPr="00F8728A" w:rsidRDefault="00AA4661" w:rsidP="00E21095">
            <w:pPr>
              <w:pStyle w:val="ListParagraph1"/>
              <w:numPr>
                <w:ilvl w:val="0"/>
                <w:numId w:val="27"/>
              </w:numPr>
              <w:tabs>
                <w:tab w:val="left" w:pos="284"/>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Осигуряване на термичен комфорт на закрито чрез структурни мерки, особено по отношение на повишената честота на горещите дни</w:t>
            </w:r>
          </w:p>
        </w:tc>
        <w:tc>
          <w:tcPr>
            <w:tcW w:w="4655" w:type="dxa"/>
            <w:vAlign w:val="center"/>
          </w:tcPr>
          <w:p w:rsidR="00AA4661" w:rsidRPr="00F8728A" w:rsidRDefault="00AA4661" w:rsidP="004F13EC">
            <w:pPr>
              <w:spacing w:before="20" w:after="20"/>
              <w:jc w:val="both"/>
              <w:rPr>
                <w:rFonts w:ascii="Calibri" w:hAnsi="Calibri" w:cs="Calibri"/>
                <w:sz w:val="22"/>
              </w:rPr>
            </w:pPr>
            <w:r w:rsidRPr="00F8728A">
              <w:rPr>
                <w:rFonts w:ascii="Calibri" w:hAnsi="Calibri" w:cs="Calibri"/>
                <w:sz w:val="22"/>
              </w:rPr>
              <w:t>Структурни мерки (в нови сгради и при обновяване) за осигуряване на термичен комфорт</w:t>
            </w:r>
          </w:p>
        </w:tc>
      </w:tr>
      <w:tr w:rsidR="00AA4661" w:rsidRPr="00F8728A" w:rsidTr="00480EBC">
        <w:trPr>
          <w:jc w:val="center"/>
        </w:trPr>
        <w:tc>
          <w:tcPr>
            <w:tcW w:w="4633" w:type="dxa"/>
            <w:vAlign w:val="center"/>
          </w:tcPr>
          <w:p w:rsidR="00AA4661" w:rsidRPr="00F8728A" w:rsidRDefault="00AA4661" w:rsidP="00E21095">
            <w:pPr>
              <w:pStyle w:val="ListParagraph1"/>
              <w:numPr>
                <w:ilvl w:val="0"/>
                <w:numId w:val="27"/>
              </w:numPr>
              <w:tabs>
                <w:tab w:val="left" w:pos="284"/>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Осигуряване на термичен комфорт в нови сгради, при обновяване и в съществуващи сгради чрез пасивни и алтернативни (”активни”) стратегии за охлаждане</w:t>
            </w:r>
          </w:p>
        </w:tc>
        <w:tc>
          <w:tcPr>
            <w:tcW w:w="4655" w:type="dxa"/>
            <w:vAlign w:val="center"/>
          </w:tcPr>
          <w:p w:rsidR="00AA4661" w:rsidRPr="00F8728A" w:rsidRDefault="00AA4661" w:rsidP="004F13EC">
            <w:pPr>
              <w:spacing w:before="20" w:after="20"/>
              <w:jc w:val="both"/>
              <w:rPr>
                <w:rFonts w:ascii="Calibri" w:hAnsi="Calibri" w:cs="Calibri"/>
                <w:sz w:val="22"/>
              </w:rPr>
            </w:pPr>
            <w:r w:rsidRPr="00F8728A">
              <w:rPr>
                <w:rFonts w:ascii="Calibri" w:hAnsi="Calibri" w:cs="Calibri"/>
                <w:sz w:val="22"/>
              </w:rPr>
              <w:t>Пасивно и активно охлаждане с алтернативни, енергоспестяващи и пестящи ресурси технологии</w:t>
            </w:r>
          </w:p>
        </w:tc>
      </w:tr>
      <w:tr w:rsidR="00AA4661" w:rsidRPr="00F8728A" w:rsidTr="00480EBC">
        <w:trPr>
          <w:jc w:val="center"/>
        </w:trPr>
        <w:tc>
          <w:tcPr>
            <w:tcW w:w="4633" w:type="dxa"/>
            <w:vAlign w:val="center"/>
          </w:tcPr>
          <w:p w:rsidR="00AA4661" w:rsidRPr="00F8728A" w:rsidRDefault="00AA4661" w:rsidP="00E21095">
            <w:pPr>
              <w:pStyle w:val="ListParagraph1"/>
              <w:numPr>
                <w:ilvl w:val="0"/>
                <w:numId w:val="27"/>
              </w:numPr>
              <w:tabs>
                <w:tab w:val="left" w:pos="284"/>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Оптимизиране на условията за живот, условията за комфорта на хората и ветровия комфорт, както и намаляване на ефекта на топлинни острови чрез градско планиране и проектиране на откритите пространства</w:t>
            </w:r>
          </w:p>
        </w:tc>
        <w:tc>
          <w:tcPr>
            <w:tcW w:w="4655" w:type="dxa"/>
            <w:vAlign w:val="center"/>
          </w:tcPr>
          <w:p w:rsidR="00AA4661" w:rsidRPr="00F8728A" w:rsidRDefault="00AA4661" w:rsidP="004F13EC">
            <w:pPr>
              <w:spacing w:before="20" w:after="20"/>
              <w:jc w:val="both"/>
              <w:rPr>
                <w:rFonts w:ascii="Calibri" w:hAnsi="Calibri" w:cs="Calibri"/>
                <w:sz w:val="22"/>
              </w:rPr>
            </w:pPr>
            <w:r w:rsidRPr="00F8728A">
              <w:rPr>
                <w:rFonts w:ascii="Calibri" w:hAnsi="Calibri" w:cs="Calibri"/>
                <w:sz w:val="22"/>
              </w:rPr>
              <w:t>Климатологично подобряване на градските пространства с особен акцент върху микро- и мезоклиматичните условия в градското планиране и проектиране на откритите пространства</w:t>
            </w:r>
          </w:p>
        </w:tc>
      </w:tr>
      <w:tr w:rsidR="00AA4661" w:rsidRPr="00F8728A" w:rsidTr="00480EBC">
        <w:trPr>
          <w:jc w:val="center"/>
        </w:trPr>
        <w:tc>
          <w:tcPr>
            <w:tcW w:w="4633" w:type="dxa"/>
            <w:vAlign w:val="center"/>
          </w:tcPr>
          <w:p w:rsidR="00AA4661" w:rsidRPr="00F8728A" w:rsidRDefault="00AA4661" w:rsidP="00E21095">
            <w:pPr>
              <w:pStyle w:val="ListParagraph1"/>
              <w:numPr>
                <w:ilvl w:val="0"/>
                <w:numId w:val="27"/>
              </w:numPr>
              <w:tabs>
                <w:tab w:val="left" w:pos="284"/>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Структурна адаптация на сградите (нови и съществуващи сгради) за защита от екстремални метеорологични събития</w:t>
            </w:r>
          </w:p>
        </w:tc>
        <w:tc>
          <w:tcPr>
            <w:tcW w:w="4655" w:type="dxa"/>
            <w:vAlign w:val="center"/>
          </w:tcPr>
          <w:p w:rsidR="00AA4661" w:rsidRPr="00F8728A" w:rsidRDefault="00AA4661" w:rsidP="004F13EC">
            <w:pPr>
              <w:spacing w:before="20" w:after="20"/>
              <w:jc w:val="both"/>
              <w:rPr>
                <w:rFonts w:ascii="Calibri" w:hAnsi="Calibri" w:cs="Calibri"/>
                <w:sz w:val="22"/>
              </w:rPr>
            </w:pPr>
            <w:r w:rsidRPr="00F8728A">
              <w:rPr>
                <w:rFonts w:ascii="Calibri" w:hAnsi="Calibri" w:cs="Calibri"/>
                <w:sz w:val="22"/>
              </w:rPr>
              <w:t>Структурни мерки в сгради като защита от екстремални метеорологични събития</w:t>
            </w:r>
          </w:p>
        </w:tc>
      </w:tr>
      <w:tr w:rsidR="00AA4661" w:rsidRPr="00F8728A" w:rsidTr="00480EBC">
        <w:trPr>
          <w:jc w:val="center"/>
        </w:trPr>
        <w:tc>
          <w:tcPr>
            <w:tcW w:w="4633" w:type="dxa"/>
            <w:vAlign w:val="center"/>
          </w:tcPr>
          <w:p w:rsidR="00AA4661" w:rsidRPr="00F8728A" w:rsidRDefault="00AA4661" w:rsidP="00E21095">
            <w:pPr>
              <w:pStyle w:val="ListParagraph1"/>
              <w:numPr>
                <w:ilvl w:val="0"/>
                <w:numId w:val="27"/>
              </w:numPr>
              <w:tabs>
                <w:tab w:val="left" w:pos="284"/>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Предотвратяване на наводняване на отделни обекти чрез структурни мерки около сгради</w:t>
            </w:r>
          </w:p>
        </w:tc>
        <w:tc>
          <w:tcPr>
            <w:tcW w:w="4655" w:type="dxa"/>
            <w:vAlign w:val="center"/>
          </w:tcPr>
          <w:p w:rsidR="00AA4661" w:rsidRPr="00F8728A" w:rsidRDefault="00AA4661" w:rsidP="004F13EC">
            <w:pPr>
              <w:spacing w:before="20" w:after="20"/>
              <w:jc w:val="both"/>
              <w:rPr>
                <w:rFonts w:ascii="Calibri" w:hAnsi="Calibri" w:cs="Calibri"/>
                <w:sz w:val="22"/>
              </w:rPr>
            </w:pPr>
            <w:r w:rsidRPr="00F8728A">
              <w:rPr>
                <w:rFonts w:ascii="Calibri" w:hAnsi="Calibri" w:cs="Calibri"/>
                <w:sz w:val="22"/>
              </w:rPr>
              <w:t>Подобряване на съоръженията за задържане на водите</w:t>
            </w:r>
          </w:p>
        </w:tc>
      </w:tr>
      <w:tr w:rsidR="00AA4661" w:rsidRPr="00F8728A" w:rsidTr="00480EBC">
        <w:trPr>
          <w:jc w:val="center"/>
        </w:trPr>
        <w:tc>
          <w:tcPr>
            <w:tcW w:w="4633" w:type="dxa"/>
            <w:vAlign w:val="center"/>
          </w:tcPr>
          <w:p w:rsidR="00AA4661" w:rsidRPr="00F8728A" w:rsidRDefault="00AA4661" w:rsidP="00E21095">
            <w:pPr>
              <w:pStyle w:val="ListParagraph1"/>
              <w:numPr>
                <w:ilvl w:val="0"/>
                <w:numId w:val="27"/>
              </w:numPr>
              <w:tabs>
                <w:tab w:val="left" w:pos="284"/>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Съобразяване и интегриране на изискванията за адаптация в строителните стандарти и норми</w:t>
            </w:r>
          </w:p>
        </w:tc>
        <w:tc>
          <w:tcPr>
            <w:tcW w:w="4655" w:type="dxa"/>
            <w:vAlign w:val="center"/>
          </w:tcPr>
          <w:p w:rsidR="00AA4661" w:rsidRPr="00F8728A" w:rsidRDefault="00AA4661" w:rsidP="004F13EC">
            <w:pPr>
              <w:spacing w:before="20" w:after="20"/>
              <w:jc w:val="both"/>
              <w:rPr>
                <w:rFonts w:ascii="Calibri" w:hAnsi="Calibri" w:cs="Calibri"/>
                <w:sz w:val="22"/>
              </w:rPr>
            </w:pPr>
            <w:r w:rsidRPr="00F8728A">
              <w:rPr>
                <w:rFonts w:ascii="Calibri" w:hAnsi="Calibri" w:cs="Calibri"/>
                <w:sz w:val="22"/>
              </w:rPr>
              <w:t>Преразглеждане на строителните стандарти и норми с оглед на климатичните промени</w:t>
            </w:r>
          </w:p>
        </w:tc>
      </w:tr>
      <w:tr w:rsidR="00AA4661" w:rsidRPr="00F8728A" w:rsidTr="00480EBC">
        <w:trPr>
          <w:jc w:val="center"/>
        </w:trPr>
        <w:tc>
          <w:tcPr>
            <w:tcW w:w="4633" w:type="dxa"/>
            <w:vAlign w:val="center"/>
          </w:tcPr>
          <w:p w:rsidR="00AA4661" w:rsidRPr="00F8728A" w:rsidRDefault="00AA4661" w:rsidP="00E21095">
            <w:pPr>
              <w:pStyle w:val="ListParagraph1"/>
              <w:numPr>
                <w:ilvl w:val="0"/>
                <w:numId w:val="27"/>
              </w:numPr>
              <w:tabs>
                <w:tab w:val="left" w:pos="284"/>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Повишен акцент върху адаптационните потребности при финансирането на ново строителство и обновяването на жилищни и други сгради</w:t>
            </w:r>
          </w:p>
        </w:tc>
        <w:tc>
          <w:tcPr>
            <w:tcW w:w="4655" w:type="dxa"/>
            <w:vAlign w:val="center"/>
          </w:tcPr>
          <w:p w:rsidR="00AA4661" w:rsidRPr="00F8728A" w:rsidRDefault="00AA4661" w:rsidP="004F13EC">
            <w:pPr>
              <w:spacing w:before="20" w:after="20"/>
              <w:jc w:val="both"/>
              <w:rPr>
                <w:rFonts w:ascii="Calibri" w:hAnsi="Calibri" w:cs="Calibri"/>
                <w:sz w:val="22"/>
              </w:rPr>
            </w:pPr>
            <w:r w:rsidRPr="00F8728A">
              <w:rPr>
                <w:rFonts w:ascii="Calibri" w:hAnsi="Calibri" w:cs="Calibri"/>
                <w:sz w:val="22"/>
              </w:rPr>
              <w:t>Разработване на инструменти за финансиране за съобразяване с аспектите на климатичните промени при ново строителство и обновяване</w:t>
            </w:r>
          </w:p>
        </w:tc>
      </w:tr>
      <w:tr w:rsidR="00AA4661" w:rsidRPr="00F8728A" w:rsidTr="00480EBC">
        <w:trPr>
          <w:jc w:val="center"/>
        </w:trPr>
        <w:tc>
          <w:tcPr>
            <w:tcW w:w="4633" w:type="dxa"/>
            <w:vAlign w:val="center"/>
          </w:tcPr>
          <w:p w:rsidR="00AA4661" w:rsidRPr="00F8728A" w:rsidRDefault="00AA4661" w:rsidP="00E21095">
            <w:pPr>
              <w:pStyle w:val="ListParagraph1"/>
              <w:numPr>
                <w:ilvl w:val="0"/>
                <w:numId w:val="27"/>
              </w:numPr>
              <w:tabs>
                <w:tab w:val="left" w:pos="284"/>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 xml:space="preserve">Подобряване на базата от знания за оптимизирана адаптация към ефектите на климатичните промени </w:t>
            </w:r>
          </w:p>
        </w:tc>
        <w:tc>
          <w:tcPr>
            <w:tcW w:w="4655" w:type="dxa"/>
            <w:vAlign w:val="center"/>
          </w:tcPr>
          <w:p w:rsidR="00AA4661" w:rsidRPr="00F8728A" w:rsidRDefault="00AA4661" w:rsidP="004F13EC">
            <w:pPr>
              <w:spacing w:before="20" w:after="20"/>
              <w:jc w:val="both"/>
              <w:rPr>
                <w:rFonts w:ascii="Calibri" w:hAnsi="Calibri" w:cs="Calibri"/>
                <w:sz w:val="22"/>
              </w:rPr>
            </w:pPr>
            <w:r w:rsidRPr="00F8728A">
              <w:rPr>
                <w:rFonts w:ascii="Calibri" w:hAnsi="Calibri" w:cs="Calibri"/>
                <w:sz w:val="22"/>
              </w:rPr>
              <w:t>Изследвания на адаптацията към последиците от климатичните промени в строителството и жилищата</w:t>
            </w:r>
          </w:p>
        </w:tc>
      </w:tr>
      <w:tr w:rsidR="00AA4661" w:rsidRPr="00F8728A" w:rsidTr="00480EBC">
        <w:trPr>
          <w:jc w:val="center"/>
        </w:trPr>
        <w:tc>
          <w:tcPr>
            <w:tcW w:w="4633" w:type="dxa"/>
            <w:vAlign w:val="center"/>
          </w:tcPr>
          <w:p w:rsidR="00AA4661" w:rsidRPr="00F8728A" w:rsidRDefault="00AA4661" w:rsidP="00E21095">
            <w:pPr>
              <w:pStyle w:val="ListParagraph1"/>
              <w:numPr>
                <w:ilvl w:val="0"/>
                <w:numId w:val="27"/>
              </w:numPr>
              <w:tabs>
                <w:tab w:val="left" w:pos="284"/>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Демонстриране на приложимостта и предимствата на “адаптираната към климатичните промени архитектура”</w:t>
            </w:r>
          </w:p>
        </w:tc>
        <w:tc>
          <w:tcPr>
            <w:tcW w:w="4655" w:type="dxa"/>
            <w:vAlign w:val="center"/>
          </w:tcPr>
          <w:p w:rsidR="00AA4661" w:rsidRPr="00F8728A" w:rsidRDefault="00AA4661" w:rsidP="004F13EC">
            <w:pPr>
              <w:spacing w:before="20" w:after="20"/>
              <w:jc w:val="both"/>
              <w:rPr>
                <w:rFonts w:ascii="Calibri" w:hAnsi="Calibri" w:cs="Calibri"/>
                <w:sz w:val="22"/>
              </w:rPr>
            </w:pPr>
            <w:r w:rsidRPr="00F8728A">
              <w:rPr>
                <w:rFonts w:ascii="Calibri" w:hAnsi="Calibri" w:cs="Calibri"/>
                <w:sz w:val="22"/>
              </w:rPr>
              <w:t>Пилотни проекти за “адаптирана към климатичните промени архитектура”</w:t>
            </w:r>
          </w:p>
        </w:tc>
      </w:tr>
      <w:tr w:rsidR="00AA4661" w:rsidRPr="00F8728A" w:rsidTr="00480EBC">
        <w:trPr>
          <w:jc w:val="center"/>
        </w:trPr>
        <w:tc>
          <w:tcPr>
            <w:tcW w:w="4633" w:type="dxa"/>
            <w:vAlign w:val="center"/>
          </w:tcPr>
          <w:p w:rsidR="00AA4661" w:rsidRPr="00F8728A" w:rsidRDefault="00AA4661" w:rsidP="00E21095">
            <w:pPr>
              <w:pStyle w:val="ListParagraph1"/>
              <w:numPr>
                <w:ilvl w:val="0"/>
                <w:numId w:val="27"/>
              </w:numPr>
              <w:tabs>
                <w:tab w:val="left" w:pos="284"/>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Повишаване на осведомеността и разпространяване на знания по темата на адаптирането към ефектите на климатичните промени и необходимите мерки за адаптация</w:t>
            </w:r>
          </w:p>
        </w:tc>
        <w:tc>
          <w:tcPr>
            <w:tcW w:w="4655" w:type="dxa"/>
            <w:vAlign w:val="center"/>
          </w:tcPr>
          <w:p w:rsidR="00AA4661" w:rsidRPr="00F8728A" w:rsidRDefault="00AA4661" w:rsidP="004F13EC">
            <w:pPr>
              <w:spacing w:before="20" w:after="20"/>
              <w:jc w:val="both"/>
              <w:rPr>
                <w:rFonts w:ascii="Calibri" w:hAnsi="Calibri" w:cs="Calibri"/>
                <w:sz w:val="22"/>
              </w:rPr>
            </w:pPr>
            <w:r w:rsidRPr="00F8728A">
              <w:rPr>
                <w:rFonts w:ascii="Calibri" w:hAnsi="Calibri" w:cs="Calibri"/>
                <w:sz w:val="22"/>
              </w:rPr>
              <w:t>Публичност и повишаване на осведомеността по въпроса на адаптирането към последиците от климатичните промени в сферата на строителството и жилищния сектор</w:t>
            </w:r>
          </w:p>
        </w:tc>
      </w:tr>
      <w:tr w:rsidR="00AA4661" w:rsidRPr="00F8728A" w:rsidTr="00480EBC">
        <w:trPr>
          <w:jc w:val="center"/>
        </w:trPr>
        <w:tc>
          <w:tcPr>
            <w:tcW w:w="4633" w:type="dxa"/>
            <w:vAlign w:val="center"/>
          </w:tcPr>
          <w:p w:rsidR="00AA4661" w:rsidRPr="00F8728A" w:rsidRDefault="00AA4661" w:rsidP="00E21095">
            <w:pPr>
              <w:pStyle w:val="ListParagraph1"/>
              <w:numPr>
                <w:ilvl w:val="0"/>
                <w:numId w:val="27"/>
              </w:numPr>
              <w:tabs>
                <w:tab w:val="left" w:pos="284"/>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Създаване на надеждна база от знания за прилагане на мерки за адаптация към последиците от климатичните промени</w:t>
            </w:r>
          </w:p>
        </w:tc>
        <w:tc>
          <w:tcPr>
            <w:tcW w:w="4655" w:type="dxa"/>
            <w:vAlign w:val="center"/>
          </w:tcPr>
          <w:p w:rsidR="00AA4661" w:rsidRPr="00F8728A" w:rsidRDefault="00AA4661" w:rsidP="004F13EC">
            <w:pPr>
              <w:spacing w:before="20" w:after="20"/>
              <w:jc w:val="both"/>
              <w:rPr>
                <w:rFonts w:ascii="Calibri" w:hAnsi="Calibri" w:cs="Calibri"/>
                <w:sz w:val="22"/>
              </w:rPr>
            </w:pPr>
            <w:r w:rsidRPr="00F8728A">
              <w:rPr>
                <w:rFonts w:ascii="Calibri" w:hAnsi="Calibri" w:cs="Calibri"/>
                <w:sz w:val="22"/>
              </w:rPr>
              <w:t>Обучение и преквалификация по проблемите на адаптирането към последиците от климатичните промени в сферата на строителството и жилищния сектор</w:t>
            </w:r>
          </w:p>
        </w:tc>
      </w:tr>
    </w:tbl>
    <w:p w:rsidR="00AA4661" w:rsidRPr="00F8728A" w:rsidRDefault="00AA4661" w:rsidP="00480EBC">
      <w:pPr>
        <w:jc w:val="both"/>
      </w:pPr>
    </w:p>
    <w:p w:rsidR="00AA4661" w:rsidRPr="00F8728A" w:rsidRDefault="00AA4661">
      <w:pPr>
        <w:widowControl w:val="0"/>
        <w:spacing w:after="0"/>
      </w:pPr>
      <w:r w:rsidRPr="00F8728A">
        <w:br w:type="page"/>
      </w:r>
    </w:p>
    <w:tbl>
      <w:tblPr>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4518"/>
        <w:gridCol w:w="4524"/>
      </w:tblGrid>
      <w:tr w:rsidR="00AA4661" w:rsidRPr="00F8728A" w:rsidTr="004F13EC">
        <w:trPr>
          <w:tblHeader/>
          <w:jc w:val="center"/>
        </w:trPr>
        <w:tc>
          <w:tcPr>
            <w:tcW w:w="9042" w:type="dxa"/>
            <w:gridSpan w:val="2"/>
            <w:shd w:val="clear" w:color="auto" w:fill="365F91"/>
          </w:tcPr>
          <w:p w:rsidR="00AA4661" w:rsidRPr="00F8728A" w:rsidRDefault="00AA4661" w:rsidP="004F13EC">
            <w:pPr>
              <w:pStyle w:val="western"/>
              <w:spacing w:before="60" w:beforeAutospacing="0" w:after="60" w:afterAutospacing="0"/>
              <w:jc w:val="center"/>
              <w:rPr>
                <w:rFonts w:ascii="Calibri" w:hAnsi="Calibri" w:cs="Calibri"/>
                <w:b/>
                <w:color w:val="FFFFFF"/>
                <w:sz w:val="22"/>
                <w:szCs w:val="22"/>
              </w:rPr>
            </w:pPr>
            <w:r w:rsidRPr="00F8728A">
              <w:rPr>
                <w:rFonts w:ascii="Calibri" w:hAnsi="Calibri" w:cs="Calibri"/>
                <w:b/>
                <w:color w:val="FFFFFF"/>
                <w:sz w:val="22"/>
                <w:szCs w:val="22"/>
              </w:rPr>
              <w:t>ГРАДОВЕ – ГРАДСКИ ЗЕЛЕНИ И ОТКРИТИ ПРОСТРАНСТВА</w:t>
            </w:r>
          </w:p>
        </w:tc>
      </w:tr>
      <w:tr w:rsidR="00AA4661" w:rsidRPr="00F8728A" w:rsidTr="004F13EC">
        <w:trPr>
          <w:tblHeader/>
          <w:jc w:val="center"/>
        </w:trPr>
        <w:tc>
          <w:tcPr>
            <w:tcW w:w="4518" w:type="dxa"/>
            <w:shd w:val="clear" w:color="auto" w:fill="D9D9D9"/>
          </w:tcPr>
          <w:p w:rsidR="00AA4661" w:rsidRPr="00F8728A" w:rsidRDefault="00AA4661" w:rsidP="004F13EC">
            <w:pPr>
              <w:pStyle w:val="western"/>
              <w:spacing w:before="40" w:beforeAutospacing="0" w:after="40" w:afterAutospacing="0"/>
              <w:jc w:val="center"/>
              <w:rPr>
                <w:rFonts w:ascii="Calibri" w:hAnsi="Calibri" w:cs="Calibri"/>
                <w:b/>
                <w:sz w:val="22"/>
                <w:szCs w:val="22"/>
              </w:rPr>
            </w:pPr>
            <w:r w:rsidRPr="00F8728A">
              <w:rPr>
                <w:rFonts w:ascii="Calibri" w:hAnsi="Calibri" w:cs="Calibri"/>
                <w:b/>
                <w:sz w:val="22"/>
                <w:szCs w:val="22"/>
              </w:rPr>
              <w:t>Цели</w:t>
            </w:r>
          </w:p>
        </w:tc>
        <w:tc>
          <w:tcPr>
            <w:tcW w:w="4524" w:type="dxa"/>
            <w:shd w:val="clear" w:color="auto" w:fill="D9D9D9"/>
          </w:tcPr>
          <w:p w:rsidR="00AA4661" w:rsidRPr="00F8728A" w:rsidRDefault="00AA4661" w:rsidP="004F13EC">
            <w:pPr>
              <w:pStyle w:val="western"/>
              <w:spacing w:before="40" w:beforeAutospacing="0" w:after="40" w:afterAutospacing="0"/>
              <w:jc w:val="center"/>
              <w:rPr>
                <w:rFonts w:ascii="Calibri" w:hAnsi="Calibri" w:cs="Calibri"/>
                <w:b/>
                <w:sz w:val="22"/>
                <w:szCs w:val="22"/>
              </w:rPr>
            </w:pPr>
            <w:r w:rsidRPr="00F8728A">
              <w:rPr>
                <w:rFonts w:ascii="Calibri" w:hAnsi="Calibri" w:cs="Calibri"/>
                <w:b/>
                <w:sz w:val="22"/>
                <w:szCs w:val="22"/>
              </w:rPr>
              <w:t>Препоръчителни действия и мерки</w:t>
            </w:r>
          </w:p>
        </w:tc>
      </w:tr>
      <w:tr w:rsidR="00AA4661" w:rsidRPr="00F8728A" w:rsidTr="004F13EC">
        <w:trPr>
          <w:jc w:val="center"/>
        </w:trPr>
        <w:tc>
          <w:tcPr>
            <w:tcW w:w="4518" w:type="dxa"/>
            <w:vAlign w:val="center"/>
          </w:tcPr>
          <w:p w:rsidR="00AA4661" w:rsidRPr="00F8728A" w:rsidRDefault="00AA4661" w:rsidP="00E21095">
            <w:pPr>
              <w:pStyle w:val="western"/>
              <w:numPr>
                <w:ilvl w:val="0"/>
                <w:numId w:val="28"/>
              </w:numPr>
              <w:tabs>
                <w:tab w:val="left" w:pos="284"/>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Осигуряване на функциите за снабдяване и задържане на водите в зелените и откритите пространства</w:t>
            </w:r>
          </w:p>
        </w:tc>
        <w:tc>
          <w:tcPr>
            <w:tcW w:w="4524" w:type="dxa"/>
            <w:vAlign w:val="center"/>
          </w:tcPr>
          <w:p w:rsidR="00AA4661" w:rsidRPr="00F8728A" w:rsidRDefault="00AA4661" w:rsidP="004F13EC">
            <w:pPr>
              <w:pStyle w:val="western"/>
              <w:spacing w:before="20" w:beforeAutospacing="0" w:after="20" w:afterAutospacing="0"/>
              <w:jc w:val="both"/>
              <w:rPr>
                <w:rFonts w:ascii="Calibri" w:hAnsi="Calibri" w:cs="Calibri"/>
                <w:sz w:val="22"/>
                <w:szCs w:val="22"/>
              </w:rPr>
            </w:pPr>
            <w:r w:rsidRPr="00F8728A">
              <w:rPr>
                <w:rFonts w:ascii="Calibri" w:hAnsi="Calibri" w:cs="Calibri"/>
                <w:sz w:val="22"/>
                <w:szCs w:val="22"/>
              </w:rPr>
              <w:t>Адаптиране на стратегията за управление на водите за зелени и открити пространства</w:t>
            </w:r>
          </w:p>
        </w:tc>
      </w:tr>
      <w:tr w:rsidR="00AA4661" w:rsidRPr="00F8728A" w:rsidTr="004F13EC">
        <w:trPr>
          <w:jc w:val="center"/>
        </w:trPr>
        <w:tc>
          <w:tcPr>
            <w:tcW w:w="4518" w:type="dxa"/>
            <w:vAlign w:val="center"/>
          </w:tcPr>
          <w:p w:rsidR="00AA4661" w:rsidRPr="00F8728A" w:rsidRDefault="00AA4661" w:rsidP="00E21095">
            <w:pPr>
              <w:pStyle w:val="western"/>
              <w:numPr>
                <w:ilvl w:val="0"/>
                <w:numId w:val="28"/>
              </w:numPr>
              <w:tabs>
                <w:tab w:val="left" w:pos="284"/>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Поддържане на функциите на почвата, особено тези за съхраняване и филтриране на водата</w:t>
            </w:r>
          </w:p>
        </w:tc>
        <w:tc>
          <w:tcPr>
            <w:tcW w:w="4524" w:type="dxa"/>
            <w:vAlign w:val="center"/>
          </w:tcPr>
          <w:p w:rsidR="00AA4661" w:rsidRPr="00F8728A" w:rsidRDefault="00AA4661" w:rsidP="004F13EC">
            <w:pPr>
              <w:pStyle w:val="western"/>
              <w:spacing w:before="20" w:beforeAutospacing="0" w:after="20" w:afterAutospacing="0"/>
              <w:jc w:val="both"/>
              <w:rPr>
                <w:rFonts w:ascii="Calibri" w:hAnsi="Calibri" w:cs="Calibri"/>
                <w:sz w:val="22"/>
                <w:szCs w:val="22"/>
              </w:rPr>
            </w:pPr>
            <w:r w:rsidRPr="00F8728A">
              <w:rPr>
                <w:rFonts w:ascii="Calibri" w:hAnsi="Calibri" w:cs="Calibri"/>
                <w:sz w:val="22"/>
                <w:szCs w:val="22"/>
              </w:rPr>
              <w:t>Адаптиране на управлението на почвите в зелените и откритите пространства</w:t>
            </w:r>
          </w:p>
        </w:tc>
      </w:tr>
      <w:tr w:rsidR="00AA4661" w:rsidRPr="00F8728A" w:rsidTr="004F13EC">
        <w:trPr>
          <w:jc w:val="center"/>
        </w:trPr>
        <w:tc>
          <w:tcPr>
            <w:tcW w:w="4518" w:type="dxa"/>
            <w:vAlign w:val="center"/>
          </w:tcPr>
          <w:p w:rsidR="00AA4661" w:rsidRPr="00F8728A" w:rsidRDefault="00AA4661" w:rsidP="00E21095">
            <w:pPr>
              <w:pStyle w:val="western"/>
              <w:numPr>
                <w:ilvl w:val="0"/>
                <w:numId w:val="28"/>
              </w:numPr>
              <w:tabs>
                <w:tab w:val="left" w:pos="284"/>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Поддържане на функциите на екосистемите и разнообразието на видовете в градските зелени и открити пространства</w:t>
            </w:r>
          </w:p>
        </w:tc>
        <w:tc>
          <w:tcPr>
            <w:tcW w:w="4524" w:type="dxa"/>
            <w:vAlign w:val="center"/>
          </w:tcPr>
          <w:p w:rsidR="00AA4661" w:rsidRPr="00F8728A" w:rsidRDefault="00AA4661" w:rsidP="004F13EC">
            <w:pPr>
              <w:pStyle w:val="western"/>
              <w:spacing w:before="20" w:beforeAutospacing="0" w:after="20" w:afterAutospacing="0"/>
              <w:jc w:val="both"/>
              <w:rPr>
                <w:rFonts w:ascii="Calibri" w:hAnsi="Calibri" w:cs="Calibri"/>
                <w:sz w:val="22"/>
                <w:szCs w:val="22"/>
              </w:rPr>
            </w:pPr>
            <w:r w:rsidRPr="00F8728A">
              <w:rPr>
                <w:rFonts w:ascii="Calibri" w:hAnsi="Calibri" w:cs="Calibri"/>
                <w:sz w:val="22"/>
                <w:szCs w:val="22"/>
              </w:rPr>
              <w:t>Опазване и насърчаване на биоразнообразието в градските зелени и открити пространства</w:t>
            </w:r>
          </w:p>
        </w:tc>
      </w:tr>
      <w:tr w:rsidR="00AA4661" w:rsidRPr="00F8728A" w:rsidTr="004F13EC">
        <w:trPr>
          <w:jc w:val="center"/>
        </w:trPr>
        <w:tc>
          <w:tcPr>
            <w:tcW w:w="4518" w:type="dxa"/>
            <w:vAlign w:val="center"/>
          </w:tcPr>
          <w:p w:rsidR="00AA4661" w:rsidRPr="00F8728A" w:rsidRDefault="00AA4661" w:rsidP="00E21095">
            <w:pPr>
              <w:pStyle w:val="western"/>
              <w:numPr>
                <w:ilvl w:val="0"/>
                <w:numId w:val="28"/>
              </w:numPr>
              <w:tabs>
                <w:tab w:val="left" w:pos="284"/>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Съобразяване на климатичните промени в инструментите за градско планиране</w:t>
            </w:r>
          </w:p>
        </w:tc>
        <w:tc>
          <w:tcPr>
            <w:tcW w:w="4524" w:type="dxa"/>
            <w:vAlign w:val="center"/>
          </w:tcPr>
          <w:p w:rsidR="00AA4661" w:rsidRPr="00F8728A" w:rsidRDefault="00AA4661" w:rsidP="004F13EC">
            <w:pPr>
              <w:pStyle w:val="western"/>
              <w:spacing w:before="20" w:beforeAutospacing="0" w:after="20" w:afterAutospacing="0"/>
              <w:jc w:val="both"/>
              <w:rPr>
                <w:rFonts w:ascii="Calibri" w:hAnsi="Calibri" w:cs="Calibri"/>
                <w:sz w:val="22"/>
                <w:szCs w:val="22"/>
              </w:rPr>
            </w:pPr>
            <w:r w:rsidRPr="00F8728A">
              <w:rPr>
                <w:rFonts w:ascii="Calibri" w:hAnsi="Calibri" w:cs="Calibri"/>
                <w:sz w:val="22"/>
                <w:szCs w:val="22"/>
              </w:rPr>
              <w:t>Адаптиране на стратегиите за планиране за зелените и откритите пространства</w:t>
            </w:r>
          </w:p>
        </w:tc>
      </w:tr>
      <w:tr w:rsidR="00AA4661" w:rsidRPr="00F8728A" w:rsidTr="004F13EC">
        <w:trPr>
          <w:jc w:val="center"/>
        </w:trPr>
        <w:tc>
          <w:tcPr>
            <w:tcW w:w="4518" w:type="dxa"/>
            <w:vAlign w:val="center"/>
          </w:tcPr>
          <w:p w:rsidR="00AA4661" w:rsidRPr="00F8728A" w:rsidRDefault="00AA4661" w:rsidP="00E21095">
            <w:pPr>
              <w:pStyle w:val="western"/>
              <w:numPr>
                <w:ilvl w:val="0"/>
                <w:numId w:val="28"/>
              </w:numPr>
              <w:tabs>
                <w:tab w:val="left" w:pos="284"/>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 xml:space="preserve">Съобразяване с климатичните промени при проектирането, изпълнението и поддръжката на градските зелени площи </w:t>
            </w:r>
          </w:p>
        </w:tc>
        <w:tc>
          <w:tcPr>
            <w:tcW w:w="4524" w:type="dxa"/>
            <w:vAlign w:val="center"/>
          </w:tcPr>
          <w:p w:rsidR="00AA4661" w:rsidRPr="00F8728A" w:rsidRDefault="00AA4661" w:rsidP="004F13EC">
            <w:pPr>
              <w:pStyle w:val="western"/>
              <w:spacing w:before="20" w:beforeAutospacing="0" w:after="20" w:afterAutospacing="0"/>
              <w:jc w:val="both"/>
              <w:rPr>
                <w:rFonts w:ascii="Calibri" w:hAnsi="Calibri" w:cs="Calibri"/>
                <w:sz w:val="22"/>
                <w:szCs w:val="22"/>
              </w:rPr>
            </w:pPr>
            <w:r w:rsidRPr="00F8728A">
              <w:rPr>
                <w:rFonts w:ascii="Calibri" w:hAnsi="Calibri" w:cs="Calibri"/>
                <w:sz w:val="22"/>
                <w:szCs w:val="22"/>
              </w:rPr>
              <w:t>Адаптиране на планирането и поддръжката на зелените и открити пространства</w:t>
            </w:r>
          </w:p>
        </w:tc>
      </w:tr>
      <w:tr w:rsidR="00AA4661" w:rsidRPr="00F8728A" w:rsidTr="004F13EC">
        <w:trPr>
          <w:jc w:val="center"/>
        </w:trPr>
        <w:tc>
          <w:tcPr>
            <w:tcW w:w="4518" w:type="dxa"/>
            <w:vAlign w:val="center"/>
          </w:tcPr>
          <w:p w:rsidR="00AA4661" w:rsidRPr="00F8728A" w:rsidRDefault="00AA4661" w:rsidP="00E21095">
            <w:pPr>
              <w:pStyle w:val="western"/>
              <w:numPr>
                <w:ilvl w:val="0"/>
                <w:numId w:val="28"/>
              </w:numPr>
              <w:tabs>
                <w:tab w:val="left" w:pos="284"/>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 xml:space="preserve">Опазване и създаване на зелени и открити пространства като места за отдих, за насърчаване на благополучието на хората в променящите се климатични условия </w:t>
            </w:r>
          </w:p>
        </w:tc>
        <w:tc>
          <w:tcPr>
            <w:tcW w:w="4524" w:type="dxa"/>
            <w:vAlign w:val="center"/>
          </w:tcPr>
          <w:p w:rsidR="00AA4661" w:rsidRPr="00F8728A" w:rsidRDefault="00AA4661" w:rsidP="004F13EC">
            <w:pPr>
              <w:pStyle w:val="western"/>
              <w:spacing w:before="20" w:beforeAutospacing="0" w:after="20" w:afterAutospacing="0"/>
              <w:jc w:val="both"/>
              <w:rPr>
                <w:rFonts w:ascii="Calibri" w:hAnsi="Calibri" w:cs="Calibri"/>
                <w:sz w:val="22"/>
                <w:szCs w:val="22"/>
              </w:rPr>
            </w:pPr>
            <w:r w:rsidRPr="00F8728A">
              <w:rPr>
                <w:rFonts w:ascii="Calibri" w:hAnsi="Calibri" w:cs="Calibri"/>
                <w:sz w:val="22"/>
                <w:szCs w:val="22"/>
              </w:rPr>
              <w:t>Насърчаване и адаптиране на зелени и открити пространства за използване за отдих и свободно време в условията на климатични промени</w:t>
            </w:r>
          </w:p>
        </w:tc>
      </w:tr>
      <w:tr w:rsidR="00AA4661" w:rsidRPr="00F8728A" w:rsidTr="004F13EC">
        <w:trPr>
          <w:jc w:val="center"/>
        </w:trPr>
        <w:tc>
          <w:tcPr>
            <w:tcW w:w="4518" w:type="dxa"/>
            <w:vAlign w:val="center"/>
          </w:tcPr>
          <w:p w:rsidR="00AA4661" w:rsidRPr="00F8728A" w:rsidRDefault="00AA4661" w:rsidP="00E21095">
            <w:pPr>
              <w:pStyle w:val="western"/>
              <w:numPr>
                <w:ilvl w:val="0"/>
                <w:numId w:val="28"/>
              </w:numPr>
              <w:tabs>
                <w:tab w:val="left" w:pos="284"/>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Развиване на знанията и подобряване на работата в мрежа на  засегнатите лица</w:t>
            </w:r>
          </w:p>
        </w:tc>
        <w:tc>
          <w:tcPr>
            <w:tcW w:w="4524" w:type="dxa"/>
            <w:vAlign w:val="center"/>
          </w:tcPr>
          <w:p w:rsidR="00AA4661" w:rsidRPr="00F8728A" w:rsidRDefault="00AA4661" w:rsidP="004F13EC">
            <w:pPr>
              <w:pStyle w:val="western"/>
              <w:spacing w:before="20" w:beforeAutospacing="0" w:after="20" w:afterAutospacing="0"/>
              <w:jc w:val="both"/>
              <w:rPr>
                <w:rFonts w:ascii="Calibri" w:hAnsi="Calibri" w:cs="Calibri"/>
                <w:sz w:val="22"/>
                <w:szCs w:val="22"/>
              </w:rPr>
            </w:pPr>
            <w:r w:rsidRPr="00F8728A">
              <w:rPr>
                <w:rFonts w:ascii="Calibri" w:hAnsi="Calibri" w:cs="Calibri"/>
                <w:sz w:val="22"/>
                <w:szCs w:val="22"/>
              </w:rPr>
              <w:t xml:space="preserve">Повишаване на осведомеността, подобрена в мрежа  и адаптиране на обучението и допълнителното образование </w:t>
            </w:r>
          </w:p>
        </w:tc>
      </w:tr>
      <w:tr w:rsidR="00AA4661" w:rsidRPr="00F8728A" w:rsidTr="004F13EC">
        <w:trPr>
          <w:jc w:val="center"/>
        </w:trPr>
        <w:tc>
          <w:tcPr>
            <w:tcW w:w="4518" w:type="dxa"/>
            <w:vAlign w:val="center"/>
          </w:tcPr>
          <w:p w:rsidR="00AA4661" w:rsidRPr="00F8728A" w:rsidRDefault="00AA4661" w:rsidP="00E21095">
            <w:pPr>
              <w:pStyle w:val="western"/>
              <w:numPr>
                <w:ilvl w:val="0"/>
                <w:numId w:val="28"/>
              </w:numPr>
              <w:tabs>
                <w:tab w:val="left" w:pos="284"/>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Адаптиране на градските зелени и открити пространства към климатичните промени чрез многопластови интердисциплинарни проучвания и поддръжка</w:t>
            </w:r>
          </w:p>
        </w:tc>
        <w:tc>
          <w:tcPr>
            <w:tcW w:w="4524" w:type="dxa"/>
            <w:vAlign w:val="center"/>
          </w:tcPr>
          <w:p w:rsidR="00AA4661" w:rsidRPr="00F8728A" w:rsidRDefault="00AA4661" w:rsidP="004F13EC">
            <w:pPr>
              <w:pStyle w:val="western"/>
              <w:spacing w:before="20" w:beforeAutospacing="0" w:after="20" w:afterAutospacing="0"/>
              <w:jc w:val="both"/>
              <w:rPr>
                <w:rFonts w:ascii="Calibri" w:hAnsi="Calibri" w:cs="Calibri"/>
                <w:sz w:val="22"/>
                <w:szCs w:val="22"/>
              </w:rPr>
            </w:pPr>
            <w:r w:rsidRPr="00F8728A">
              <w:rPr>
                <w:rFonts w:ascii="Calibri" w:hAnsi="Calibri" w:cs="Calibri"/>
                <w:sz w:val="22"/>
                <w:szCs w:val="22"/>
              </w:rPr>
              <w:t>Подобряване на базата от познания чрез интер- и трансдисциплинарни изследвания на градските зелени и открити пространства</w:t>
            </w:r>
          </w:p>
        </w:tc>
      </w:tr>
    </w:tbl>
    <w:p w:rsidR="00AA4661" w:rsidRPr="00F8728A" w:rsidRDefault="00AA4661" w:rsidP="004F13EC">
      <w:pPr>
        <w:spacing w:before="60" w:after="120"/>
        <w:jc w:val="center"/>
        <w:rPr>
          <w:rFonts w:ascii="Calibri" w:hAnsi="Calibri" w:cs="Calibri"/>
          <w:i/>
          <w:sz w:val="22"/>
        </w:rPr>
      </w:pPr>
      <w:r w:rsidRPr="00F8728A">
        <w:rPr>
          <w:rFonts w:ascii="Calibri" w:hAnsi="Calibri"/>
          <w:i/>
          <w:sz w:val="22"/>
        </w:rPr>
        <w:t>Източник: Австрийска стратегия за адаптиране към промените в климата</w:t>
      </w:r>
      <w:r w:rsidRPr="00F8728A">
        <w:rPr>
          <w:rStyle w:val="FootnoteReference"/>
          <w:rFonts w:ascii="Calibri" w:hAnsi="Calibri" w:cs="Calibri"/>
          <w:i/>
          <w:sz w:val="22"/>
          <w:lang w:eastAsia="bg-BG"/>
        </w:rPr>
        <w:footnoteReference w:id="159"/>
      </w:r>
      <w:r w:rsidRPr="00F8728A">
        <w:rPr>
          <w:rFonts w:ascii="Calibri" w:hAnsi="Calibri"/>
          <w:i/>
          <w:sz w:val="22"/>
        </w:rPr>
        <w:t>. Обработено от НЦТР, София.</w:t>
      </w:r>
    </w:p>
    <w:p w:rsidR="00AA4661" w:rsidRPr="00F8728A" w:rsidRDefault="00AA4661" w:rsidP="00676435">
      <w:pPr>
        <w:jc w:val="both"/>
      </w:pPr>
    </w:p>
    <w:p w:rsidR="00AA4661" w:rsidRPr="00F8728A" w:rsidRDefault="00AA4661" w:rsidP="00676435">
      <w:pPr>
        <w:widowControl w:val="0"/>
        <w:spacing w:after="0"/>
        <w:jc w:val="both"/>
      </w:pPr>
      <w:r w:rsidRPr="00F8728A">
        <w:br w:type="page"/>
      </w:r>
    </w:p>
    <w:p w:rsidR="00AA4661" w:rsidRPr="00B73D7E" w:rsidRDefault="00AA4661" w:rsidP="00585E1B">
      <w:pPr>
        <w:pStyle w:val="Heading1"/>
        <w:spacing w:before="0" w:after="120"/>
        <w:jc w:val="both"/>
        <w:rPr>
          <w:rFonts w:eastAsia="Times New Roman"/>
          <w:bCs w:val="0"/>
          <w:color w:val="2F5496"/>
          <w:sz w:val="32"/>
          <w:szCs w:val="32"/>
          <w:lang w:val="bg-BG" w:eastAsia="en-US"/>
        </w:rPr>
      </w:pPr>
      <w:bookmarkStart w:id="948" w:name="_Toc522030624"/>
      <w:bookmarkStart w:id="949" w:name="_Toc529285609"/>
      <w:bookmarkStart w:id="950" w:name="_Toc486259787"/>
      <w:bookmarkStart w:id="951" w:name="_Toc486942241"/>
      <w:bookmarkStart w:id="952" w:name="_Toc501454918"/>
      <w:r w:rsidRPr="00B73D7E">
        <w:rPr>
          <w:rFonts w:eastAsia="Times New Roman"/>
          <w:bCs w:val="0"/>
          <w:color w:val="2F5496"/>
          <w:sz w:val="32"/>
          <w:szCs w:val="32"/>
          <w:lang w:val="bg-BG" w:eastAsia="en-US"/>
        </w:rPr>
        <w:t xml:space="preserve">Приложение </w:t>
      </w:r>
      <w:r w:rsidR="009D0A5D" w:rsidRPr="00B73D7E">
        <w:rPr>
          <w:rFonts w:eastAsia="Times New Roman"/>
          <w:bCs w:val="0"/>
          <w:color w:val="2F5496"/>
          <w:sz w:val="32"/>
          <w:szCs w:val="32"/>
          <w:lang w:val="bg-BG" w:eastAsia="en-US"/>
        </w:rPr>
        <w:t>10</w:t>
      </w:r>
      <w:r w:rsidRPr="00B73D7E">
        <w:rPr>
          <w:rFonts w:eastAsia="Times New Roman"/>
          <w:bCs w:val="0"/>
          <w:color w:val="2F5496"/>
          <w:sz w:val="32"/>
          <w:szCs w:val="32"/>
          <w:lang w:val="bg-BG" w:eastAsia="en-US"/>
        </w:rPr>
        <w:t xml:space="preserve">. </w:t>
      </w:r>
      <w:r w:rsidR="00517F01" w:rsidRPr="00B73D7E">
        <w:rPr>
          <w:rFonts w:eastAsia="Times New Roman"/>
          <w:bCs w:val="0"/>
          <w:color w:val="2F5496"/>
          <w:sz w:val="32"/>
          <w:szCs w:val="32"/>
          <w:lang w:val="bg-BG" w:eastAsia="en-US"/>
        </w:rPr>
        <w:t>Платформи, м</w:t>
      </w:r>
      <w:r w:rsidRPr="00B73D7E">
        <w:rPr>
          <w:rFonts w:eastAsia="Times New Roman"/>
          <w:bCs w:val="0"/>
          <w:color w:val="2F5496"/>
          <w:sz w:val="32"/>
          <w:szCs w:val="32"/>
          <w:lang w:val="bg-BG" w:eastAsia="en-US"/>
        </w:rPr>
        <w:t>режи и проекти, свързани с международното сътрудничество за информационен обмен</w:t>
      </w:r>
      <w:bookmarkEnd w:id="948"/>
      <w:bookmarkEnd w:id="949"/>
      <w:r w:rsidRPr="00B73D7E">
        <w:rPr>
          <w:rFonts w:eastAsia="Times New Roman"/>
          <w:bCs w:val="0"/>
          <w:color w:val="2F5496"/>
          <w:sz w:val="32"/>
          <w:szCs w:val="32"/>
          <w:lang w:val="bg-BG" w:eastAsia="en-US"/>
        </w:rPr>
        <w:t xml:space="preserve"> </w:t>
      </w:r>
      <w:bookmarkEnd w:id="950"/>
      <w:bookmarkEnd w:id="951"/>
      <w:bookmarkEnd w:id="952"/>
    </w:p>
    <w:p w:rsidR="00AA4661" w:rsidRPr="00B73D7E" w:rsidRDefault="00AA4661" w:rsidP="00491557">
      <w:pPr>
        <w:pStyle w:val="Heading4"/>
        <w:numPr>
          <w:ilvl w:val="0"/>
          <w:numId w:val="9"/>
        </w:numPr>
        <w:rPr>
          <w:lang w:val="bg-BG"/>
        </w:rPr>
      </w:pPr>
      <w:r w:rsidRPr="00B73D7E">
        <w:rPr>
          <w:lang w:val="bg-BG"/>
        </w:rPr>
        <w:t>Участие на българския сектор на градската среда в международната платформа/бази данни за информационен обмен</w:t>
      </w:r>
    </w:p>
    <w:p w:rsidR="00AA4661" w:rsidRPr="00B73D7E" w:rsidRDefault="00AA4661" w:rsidP="00CF297A">
      <w:pPr>
        <w:pStyle w:val="Heading5"/>
        <w:keepNext w:val="0"/>
        <w:keepLines w:val="0"/>
        <w:numPr>
          <w:ilvl w:val="0"/>
          <w:numId w:val="46"/>
        </w:numPr>
        <w:spacing w:before="120" w:after="60" w:line="276" w:lineRule="auto"/>
        <w:jc w:val="both"/>
        <w:rPr>
          <w:rStyle w:val="Heading5Char"/>
          <w:rFonts w:ascii="Calibri" w:hAnsi="Calibri"/>
          <w:sz w:val="24"/>
          <w:szCs w:val="24"/>
          <w:u w:val="single"/>
          <w:lang w:val="bg-BG" w:eastAsia="bg-BG"/>
        </w:rPr>
      </w:pPr>
      <w:r w:rsidRPr="00B73D7E">
        <w:rPr>
          <w:rStyle w:val="Heading5Char"/>
          <w:rFonts w:ascii="Calibri" w:hAnsi="Calibri"/>
          <w:sz w:val="24"/>
          <w:szCs w:val="24"/>
          <w:u w:val="single"/>
          <w:lang w:val="bg-BG" w:eastAsia="bg-BG"/>
        </w:rPr>
        <w:t>ЕВРОСТАТ, Градски одит</w:t>
      </w:r>
    </w:p>
    <w:p w:rsidR="00AA4661" w:rsidRPr="00F8728A" w:rsidRDefault="00AA4661" w:rsidP="00676435">
      <w:pPr>
        <w:spacing w:after="120" w:line="276" w:lineRule="auto"/>
        <w:jc w:val="both"/>
        <w:rPr>
          <w:rFonts w:ascii="Times New Roman" w:hAnsi="Times New Roman"/>
          <w:sz w:val="24"/>
          <w:szCs w:val="24"/>
        </w:rPr>
      </w:pPr>
      <w:r w:rsidRPr="00F8728A">
        <w:rPr>
          <w:rFonts w:ascii="Times New Roman" w:hAnsi="Times New Roman"/>
          <w:b/>
          <w:sz w:val="24"/>
          <w:szCs w:val="24"/>
        </w:rPr>
        <w:t>Описание:</w:t>
      </w:r>
      <w:r w:rsidRPr="00F8728A">
        <w:rPr>
          <w:rFonts w:ascii="Times New Roman" w:hAnsi="Times New Roman"/>
          <w:sz w:val="24"/>
          <w:szCs w:val="24"/>
        </w:rPr>
        <w:t xml:space="preserve"> Осигурява статистика за градове в 27 европейски страни, над 320 града в ЕС и над 40 града в Норвегия, Швейцария и Турция. Съдържа над 300 статистически индикатора, представящи информация по въпроси като социално-икономически и демографски данни, но също така свързани с околната среда.</w:t>
      </w:r>
    </w:p>
    <w:p w:rsidR="00AA4661" w:rsidRPr="00F8728A" w:rsidRDefault="00AA4661" w:rsidP="00676435">
      <w:pPr>
        <w:spacing w:after="120" w:line="276" w:lineRule="auto"/>
        <w:jc w:val="both"/>
        <w:rPr>
          <w:rFonts w:ascii="Times New Roman" w:hAnsi="Times New Roman"/>
          <w:sz w:val="24"/>
          <w:szCs w:val="24"/>
        </w:rPr>
      </w:pPr>
      <w:r w:rsidRPr="00F8728A">
        <w:rPr>
          <w:rFonts w:ascii="Times New Roman" w:hAnsi="Times New Roman"/>
          <w:b/>
          <w:sz w:val="24"/>
          <w:szCs w:val="24"/>
        </w:rPr>
        <w:t>Данните се събират за:</w:t>
      </w:r>
      <w:r w:rsidRPr="00F8728A">
        <w:rPr>
          <w:rFonts w:ascii="Times New Roman" w:hAnsi="Times New Roman"/>
          <w:sz w:val="24"/>
          <w:szCs w:val="24"/>
        </w:rPr>
        <w:t xml:space="preserve"> (а) градове, (б) функционални градски територии (по-рано наричани по-широки градски зони (LUZ)), (в) големия град (приблизително представяне на градския център, когато се простира много отвъд административните граници на града)</w:t>
      </w:r>
    </w:p>
    <w:p w:rsidR="00AA4661" w:rsidRPr="00F8728A" w:rsidRDefault="00AA4661" w:rsidP="00676435">
      <w:pPr>
        <w:spacing w:after="120" w:line="276" w:lineRule="auto"/>
        <w:jc w:val="both"/>
        <w:rPr>
          <w:rFonts w:ascii="Times New Roman" w:hAnsi="Times New Roman"/>
          <w:sz w:val="24"/>
          <w:szCs w:val="24"/>
        </w:rPr>
      </w:pPr>
      <w:r w:rsidRPr="00F8728A">
        <w:rPr>
          <w:rFonts w:ascii="Times New Roman" w:hAnsi="Times New Roman"/>
          <w:b/>
          <w:sz w:val="24"/>
          <w:szCs w:val="24"/>
        </w:rPr>
        <w:t>Ограничения за размер на населението</w:t>
      </w:r>
      <w:r w:rsidRPr="00F8728A">
        <w:rPr>
          <w:rFonts w:ascii="Times New Roman" w:hAnsi="Times New Roman"/>
          <w:sz w:val="24"/>
          <w:szCs w:val="24"/>
        </w:rPr>
        <w:t>: 50</w:t>
      </w:r>
      <w:r w:rsidR="00A147B2">
        <w:rPr>
          <w:rFonts w:ascii="Times New Roman" w:hAnsi="Times New Roman"/>
          <w:sz w:val="24"/>
          <w:szCs w:val="24"/>
        </w:rPr>
        <w:t xml:space="preserve"> </w:t>
      </w:r>
      <w:r w:rsidRPr="00F8728A">
        <w:rPr>
          <w:rFonts w:ascii="Times New Roman" w:hAnsi="Times New Roman"/>
          <w:sz w:val="24"/>
          <w:szCs w:val="24"/>
        </w:rPr>
        <w:t>000 жители.</w:t>
      </w:r>
    </w:p>
    <w:p w:rsidR="00AA4661" w:rsidRPr="00F8728A" w:rsidRDefault="00AA4661" w:rsidP="00676435">
      <w:pPr>
        <w:spacing w:after="120" w:line="276" w:lineRule="auto"/>
        <w:jc w:val="both"/>
        <w:rPr>
          <w:rFonts w:ascii="Times New Roman" w:hAnsi="Times New Roman"/>
          <w:sz w:val="24"/>
          <w:szCs w:val="24"/>
        </w:rPr>
      </w:pPr>
      <w:r w:rsidRPr="00F8728A">
        <w:rPr>
          <w:rFonts w:ascii="Times New Roman" w:hAnsi="Times New Roman"/>
          <w:b/>
          <w:sz w:val="24"/>
          <w:szCs w:val="24"/>
        </w:rPr>
        <w:t xml:space="preserve">Уебсайт: </w:t>
      </w:r>
      <w:hyperlink r:id="rId147" w:history="1">
        <w:r w:rsidRPr="00F8728A">
          <w:rPr>
            <w:rFonts w:ascii="Times New Roman" w:hAnsi="Times New Roman"/>
            <w:color w:val="0000FF"/>
            <w:sz w:val="24"/>
            <w:szCs w:val="24"/>
            <w:u w:val="single"/>
          </w:rPr>
          <w:t>http://ec.europa.eu/eurostat/web/cities/data/database</w:t>
        </w:r>
      </w:hyperlink>
      <w:r w:rsidRPr="00F8728A">
        <w:rPr>
          <w:rFonts w:ascii="Times New Roman" w:hAnsi="Times New Roman"/>
          <w:sz w:val="24"/>
          <w:szCs w:val="24"/>
        </w:rPr>
        <w:t xml:space="preserve"> </w:t>
      </w:r>
    </w:p>
    <w:p w:rsidR="00AA4661" w:rsidRPr="00F8728A" w:rsidRDefault="00AA4661" w:rsidP="00676435">
      <w:pPr>
        <w:spacing w:after="120" w:line="276" w:lineRule="auto"/>
        <w:jc w:val="both"/>
        <w:rPr>
          <w:rFonts w:ascii="Times New Roman" w:hAnsi="Times New Roman"/>
          <w:sz w:val="24"/>
          <w:szCs w:val="24"/>
        </w:rPr>
      </w:pPr>
      <w:r w:rsidRPr="00F8728A">
        <w:rPr>
          <w:rFonts w:ascii="Times New Roman" w:hAnsi="Times New Roman"/>
          <w:b/>
          <w:sz w:val="24"/>
          <w:szCs w:val="24"/>
        </w:rPr>
        <w:t>Източник:</w:t>
      </w:r>
      <w:r w:rsidRPr="00F8728A">
        <w:rPr>
          <w:rFonts w:ascii="Times New Roman" w:hAnsi="Times New Roman"/>
          <w:sz w:val="24"/>
          <w:szCs w:val="24"/>
        </w:rPr>
        <w:t xml:space="preserve"> ЕВРОСТАТ</w:t>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AA4661" w:rsidRPr="00F8728A" w:rsidTr="00454684">
        <w:tc>
          <w:tcPr>
            <w:tcW w:w="8545" w:type="dxa"/>
            <w:shd w:val="clear" w:color="auto" w:fill="B8CCE4"/>
          </w:tcPr>
          <w:p w:rsidR="00AA4661" w:rsidRPr="00F8728A" w:rsidRDefault="00AA4661" w:rsidP="009E0A06">
            <w:pPr>
              <w:spacing w:before="60" w:after="60" w:line="252" w:lineRule="auto"/>
              <w:jc w:val="both"/>
              <w:rPr>
                <w:rFonts w:ascii="Calibri" w:hAnsi="Calibri" w:cs="Calibri"/>
                <w:sz w:val="22"/>
              </w:rPr>
            </w:pPr>
            <w:r w:rsidRPr="00F8728A">
              <w:rPr>
                <w:rFonts w:ascii="Calibri" w:hAnsi="Calibri" w:cs="Calibri"/>
                <w:sz w:val="22"/>
              </w:rPr>
              <w:t>Данните се събират по тематични групи, в които важни индикатори за КП са в: (а) Демографски характеристики, (б) Условия на живот, (в) Околна среда</w:t>
            </w:r>
          </w:p>
          <w:p w:rsidR="00AA4661" w:rsidRPr="00F8728A" w:rsidRDefault="00AA4661" w:rsidP="009E0A06">
            <w:pPr>
              <w:spacing w:before="60" w:after="60" w:line="252" w:lineRule="auto"/>
              <w:jc w:val="both"/>
              <w:rPr>
                <w:rFonts w:ascii="Calibri" w:hAnsi="Calibri" w:cs="Calibri"/>
                <w:sz w:val="22"/>
              </w:rPr>
            </w:pPr>
            <w:r w:rsidRPr="00F8728A">
              <w:rPr>
                <w:rFonts w:ascii="Calibri" w:hAnsi="Calibri" w:cs="Calibri"/>
                <w:b/>
                <w:sz w:val="22"/>
              </w:rPr>
              <w:t xml:space="preserve">Индикатори, </w:t>
            </w:r>
            <w:r w:rsidRPr="00F8728A">
              <w:rPr>
                <w:rFonts w:ascii="Calibri" w:hAnsi="Calibri" w:cs="Calibri"/>
                <w:sz w:val="22"/>
              </w:rPr>
              <w:t>важни за адаптацията към климатичните промени</w:t>
            </w:r>
          </w:p>
          <w:p w:rsidR="00AA4661" w:rsidRPr="00F8728A" w:rsidRDefault="00AA4661" w:rsidP="009E0A06">
            <w:pPr>
              <w:spacing w:before="60" w:after="60" w:line="252" w:lineRule="auto"/>
              <w:jc w:val="both"/>
              <w:rPr>
                <w:rFonts w:ascii="Calibri" w:hAnsi="Calibri" w:cs="Calibri"/>
                <w:b/>
                <w:sz w:val="22"/>
              </w:rPr>
            </w:pPr>
            <w:r w:rsidRPr="00F8728A">
              <w:rPr>
                <w:rFonts w:ascii="Calibri" w:hAnsi="Calibri" w:cs="Calibri"/>
                <w:b/>
                <w:sz w:val="22"/>
              </w:rPr>
              <w:t xml:space="preserve">Набор от данни: Демографски характеристики </w:t>
            </w:r>
            <w:r w:rsidRPr="00F8728A">
              <w:rPr>
                <w:rFonts w:ascii="Calibri" w:hAnsi="Calibri" w:cs="Calibri"/>
                <w:sz w:val="22"/>
              </w:rPr>
              <w:t>(множество индикатори, основни характеристики на градовете)</w:t>
            </w:r>
          </w:p>
          <w:p w:rsidR="00AA4661" w:rsidRPr="00F8728A" w:rsidRDefault="00AA4661" w:rsidP="009E0A06">
            <w:pPr>
              <w:spacing w:before="60" w:after="60" w:line="252" w:lineRule="auto"/>
              <w:jc w:val="both"/>
              <w:rPr>
                <w:rFonts w:ascii="Calibri" w:hAnsi="Calibri" w:cs="Calibri"/>
                <w:b/>
                <w:sz w:val="22"/>
              </w:rPr>
            </w:pPr>
            <w:r w:rsidRPr="00F8728A">
              <w:rPr>
                <w:rFonts w:ascii="Calibri" w:hAnsi="Calibri" w:cs="Calibri"/>
                <w:b/>
                <w:sz w:val="22"/>
              </w:rPr>
              <w:t>Набор от данни: Условия на живот</w:t>
            </w:r>
          </w:p>
          <w:p w:rsidR="00AA4661" w:rsidRPr="00F8728A" w:rsidRDefault="00AA4661" w:rsidP="0021798A">
            <w:pPr>
              <w:spacing w:before="60" w:after="60" w:line="252" w:lineRule="auto"/>
              <w:ind w:left="1440" w:hanging="1170"/>
              <w:jc w:val="both"/>
              <w:rPr>
                <w:rFonts w:ascii="Calibri" w:hAnsi="Calibri" w:cs="Calibri"/>
                <w:sz w:val="22"/>
              </w:rPr>
            </w:pPr>
            <w:r w:rsidRPr="00F8728A">
              <w:rPr>
                <w:rFonts w:ascii="Calibri" w:hAnsi="Calibri" w:cs="Calibri"/>
                <w:sz w:val="22"/>
              </w:rPr>
              <w:t>EC3065V</w:t>
            </w:r>
            <w:r w:rsidRPr="00F8728A">
              <w:rPr>
                <w:rFonts w:ascii="Calibri" w:hAnsi="Calibri" w:cs="Calibri"/>
                <w:sz w:val="22"/>
              </w:rPr>
              <w:tab/>
              <w:t>Дял на лицата, изложени на риск от бедност след социални промени -  процента</w:t>
            </w:r>
          </w:p>
          <w:p w:rsidR="00AA4661" w:rsidRPr="00F8728A" w:rsidRDefault="00AA4661" w:rsidP="0021798A">
            <w:pPr>
              <w:spacing w:before="60" w:after="60" w:line="252" w:lineRule="auto"/>
              <w:ind w:left="1440" w:hanging="1170"/>
              <w:jc w:val="both"/>
              <w:rPr>
                <w:rFonts w:ascii="Calibri" w:hAnsi="Calibri" w:cs="Calibri"/>
                <w:sz w:val="22"/>
              </w:rPr>
            </w:pPr>
            <w:r w:rsidRPr="00F8728A">
              <w:rPr>
                <w:rFonts w:ascii="Calibri" w:hAnsi="Calibri" w:cs="Calibri"/>
                <w:sz w:val="22"/>
              </w:rPr>
              <w:t>EC3066V</w:t>
            </w:r>
            <w:r w:rsidRPr="00F8728A">
              <w:rPr>
                <w:rFonts w:ascii="Calibri" w:hAnsi="Calibri" w:cs="Calibri"/>
                <w:sz w:val="22"/>
              </w:rPr>
              <w:tab/>
              <w:t>Дял на лицата със сериозни материални ограничения -  процента</w:t>
            </w:r>
          </w:p>
          <w:p w:rsidR="00AA4661" w:rsidRPr="00F8728A" w:rsidRDefault="00AA4661" w:rsidP="0021798A">
            <w:pPr>
              <w:spacing w:before="60" w:after="60" w:line="252" w:lineRule="auto"/>
              <w:ind w:left="1440" w:hanging="1170"/>
              <w:jc w:val="both"/>
              <w:rPr>
                <w:rFonts w:ascii="Calibri" w:hAnsi="Calibri" w:cs="Calibri"/>
                <w:sz w:val="22"/>
              </w:rPr>
            </w:pPr>
            <w:r w:rsidRPr="00F8728A">
              <w:rPr>
                <w:rFonts w:ascii="Calibri" w:hAnsi="Calibri" w:cs="Calibri"/>
                <w:sz w:val="22"/>
              </w:rPr>
              <w:t>EC3067V</w:t>
            </w:r>
            <w:r w:rsidRPr="00F8728A">
              <w:rPr>
                <w:rFonts w:ascii="Calibri" w:hAnsi="Calibri" w:cs="Calibri"/>
                <w:sz w:val="22"/>
              </w:rPr>
              <w:tab/>
              <w:t>Дял на лицата, изложени на риск от бедност или социална изолация -  процента</w:t>
            </w:r>
          </w:p>
          <w:p w:rsidR="00AA4661" w:rsidRPr="00F8728A" w:rsidRDefault="00AA4661" w:rsidP="009E0A06">
            <w:pPr>
              <w:spacing w:before="60" w:after="60" w:line="252" w:lineRule="auto"/>
              <w:jc w:val="both"/>
              <w:rPr>
                <w:rFonts w:ascii="Calibri" w:hAnsi="Calibri" w:cs="Calibri"/>
                <w:b/>
                <w:sz w:val="22"/>
              </w:rPr>
            </w:pPr>
            <w:r w:rsidRPr="00F8728A">
              <w:rPr>
                <w:rFonts w:ascii="Calibri" w:hAnsi="Calibri" w:cs="Calibri"/>
                <w:b/>
                <w:sz w:val="22"/>
              </w:rPr>
              <w:t>Набор от данни: Околна среда</w:t>
            </w:r>
          </w:p>
          <w:p w:rsidR="00AA4661" w:rsidRPr="00F8728A" w:rsidRDefault="00AA4661" w:rsidP="0021798A">
            <w:pPr>
              <w:spacing w:before="60" w:after="60" w:line="252" w:lineRule="auto"/>
              <w:ind w:left="1440" w:hanging="1170"/>
              <w:jc w:val="both"/>
              <w:rPr>
                <w:rFonts w:ascii="Calibri" w:hAnsi="Calibri" w:cs="Calibri"/>
                <w:sz w:val="22"/>
              </w:rPr>
            </w:pPr>
            <w:r w:rsidRPr="00F8728A">
              <w:rPr>
                <w:rFonts w:ascii="Calibri" w:hAnsi="Calibri" w:cs="Calibri"/>
                <w:sz w:val="22"/>
              </w:rPr>
              <w:t>EN1002V</w:t>
            </w:r>
            <w:r w:rsidRPr="00F8728A">
              <w:rPr>
                <w:rFonts w:ascii="Calibri" w:hAnsi="Calibri" w:cs="Calibri"/>
                <w:sz w:val="22"/>
              </w:rPr>
              <w:tab/>
              <w:t>Общ брой часове на слънчево греене дневно</w:t>
            </w:r>
          </w:p>
          <w:p w:rsidR="00AA4661" w:rsidRPr="00F8728A" w:rsidRDefault="00AA4661" w:rsidP="0021798A">
            <w:pPr>
              <w:spacing w:before="60" w:after="60" w:line="252" w:lineRule="auto"/>
              <w:ind w:left="1440" w:hanging="1170"/>
              <w:jc w:val="both"/>
              <w:rPr>
                <w:rFonts w:ascii="Calibri" w:hAnsi="Calibri" w:cs="Calibri"/>
                <w:sz w:val="22"/>
              </w:rPr>
            </w:pPr>
            <w:r w:rsidRPr="00F8728A">
              <w:rPr>
                <w:rFonts w:ascii="Calibri" w:hAnsi="Calibri" w:cs="Calibri"/>
                <w:sz w:val="22"/>
              </w:rPr>
              <w:t>EN1003V</w:t>
            </w:r>
            <w:r w:rsidRPr="00F8728A">
              <w:rPr>
                <w:rFonts w:ascii="Calibri" w:hAnsi="Calibri" w:cs="Calibri"/>
                <w:sz w:val="22"/>
              </w:rPr>
              <w:tab/>
              <w:t>Средна температура на най-топлия месец - градуси</w:t>
            </w:r>
          </w:p>
          <w:p w:rsidR="00AA4661" w:rsidRPr="00F8728A" w:rsidRDefault="00AA4661" w:rsidP="0021798A">
            <w:pPr>
              <w:spacing w:before="60" w:after="60" w:line="252" w:lineRule="auto"/>
              <w:ind w:left="1440" w:hanging="1170"/>
              <w:jc w:val="both"/>
              <w:rPr>
                <w:rFonts w:ascii="Calibri" w:hAnsi="Calibri" w:cs="Calibri"/>
                <w:sz w:val="22"/>
              </w:rPr>
            </w:pPr>
            <w:r w:rsidRPr="00F8728A">
              <w:rPr>
                <w:rFonts w:ascii="Calibri" w:hAnsi="Calibri" w:cs="Calibri"/>
                <w:sz w:val="22"/>
              </w:rPr>
              <w:t>EN1004V</w:t>
            </w:r>
            <w:r w:rsidRPr="00F8728A">
              <w:rPr>
                <w:rFonts w:ascii="Calibri" w:hAnsi="Calibri" w:cs="Calibri"/>
                <w:sz w:val="22"/>
              </w:rPr>
              <w:tab/>
              <w:t>Средна температура на най-студения месец - градуси</w:t>
            </w:r>
          </w:p>
          <w:p w:rsidR="00AA4661" w:rsidRPr="00F8728A" w:rsidRDefault="00AA4661" w:rsidP="0021798A">
            <w:pPr>
              <w:spacing w:before="60" w:after="60" w:line="252" w:lineRule="auto"/>
              <w:ind w:left="1440" w:hanging="1170"/>
              <w:jc w:val="both"/>
              <w:rPr>
                <w:rFonts w:ascii="Calibri" w:hAnsi="Calibri" w:cs="Calibri"/>
                <w:sz w:val="22"/>
              </w:rPr>
            </w:pPr>
            <w:r w:rsidRPr="00F8728A">
              <w:rPr>
                <w:rFonts w:ascii="Calibri" w:hAnsi="Calibri" w:cs="Calibri"/>
                <w:sz w:val="22"/>
              </w:rPr>
              <w:t>EN1005V</w:t>
            </w:r>
            <w:r w:rsidRPr="00F8728A">
              <w:rPr>
                <w:rFonts w:ascii="Calibri" w:hAnsi="Calibri" w:cs="Calibri"/>
                <w:sz w:val="22"/>
              </w:rPr>
              <w:tab/>
              <w:t>Дъжд - l/m²</w:t>
            </w:r>
          </w:p>
          <w:p w:rsidR="00AA4661" w:rsidRPr="00F8728A" w:rsidRDefault="00AA4661" w:rsidP="0021798A">
            <w:pPr>
              <w:spacing w:before="60" w:after="60" w:line="252" w:lineRule="auto"/>
              <w:ind w:left="1440" w:hanging="1170"/>
              <w:jc w:val="both"/>
              <w:rPr>
                <w:rFonts w:ascii="Calibri" w:hAnsi="Calibri" w:cs="Calibri"/>
                <w:sz w:val="22"/>
              </w:rPr>
            </w:pPr>
            <w:r w:rsidRPr="00F8728A">
              <w:rPr>
                <w:rFonts w:ascii="Calibri" w:hAnsi="Calibri" w:cs="Calibri"/>
                <w:sz w:val="22"/>
              </w:rPr>
              <w:t>EN2002V</w:t>
            </w:r>
            <w:r w:rsidRPr="00F8728A">
              <w:rPr>
                <w:rFonts w:ascii="Calibri" w:hAnsi="Calibri" w:cs="Calibri"/>
                <w:sz w:val="22"/>
              </w:rPr>
              <w:tab/>
              <w:t>Брой дни, в които концентрацията на озон O3 превишава 120 µg/m³</w:t>
            </w:r>
          </w:p>
          <w:p w:rsidR="00AA4661" w:rsidRPr="00F8728A" w:rsidRDefault="00AA4661" w:rsidP="0021798A">
            <w:pPr>
              <w:spacing w:before="60" w:after="60" w:line="252" w:lineRule="auto"/>
              <w:ind w:left="1440" w:hanging="1170"/>
              <w:jc w:val="both"/>
              <w:rPr>
                <w:rFonts w:ascii="Calibri" w:hAnsi="Calibri" w:cs="Calibri"/>
                <w:sz w:val="22"/>
              </w:rPr>
            </w:pPr>
            <w:r w:rsidRPr="00F8728A">
              <w:rPr>
                <w:rFonts w:ascii="Calibri" w:hAnsi="Calibri" w:cs="Calibri"/>
                <w:sz w:val="22"/>
              </w:rPr>
              <w:t>EN2003V</w:t>
            </w:r>
            <w:r w:rsidRPr="00F8728A">
              <w:rPr>
                <w:rFonts w:ascii="Calibri" w:hAnsi="Calibri" w:cs="Calibri"/>
                <w:sz w:val="22"/>
              </w:rPr>
              <w:tab/>
              <w:t>Брой часове, в които концентрацията на азотен диоксид NO</w:t>
            </w:r>
            <w:r w:rsidRPr="00F8728A">
              <w:rPr>
                <w:rFonts w:ascii="Calibri" w:hAnsi="Calibri" w:cs="Calibri"/>
                <w:sz w:val="22"/>
                <w:vertAlign w:val="subscript"/>
              </w:rPr>
              <w:t>2</w:t>
            </w:r>
            <w:r w:rsidRPr="00F8728A">
              <w:rPr>
                <w:rFonts w:ascii="Calibri" w:hAnsi="Calibri" w:cs="Calibri"/>
                <w:sz w:val="22"/>
              </w:rPr>
              <w:t xml:space="preserve"> превишава 200 µg/m³</w:t>
            </w:r>
          </w:p>
          <w:p w:rsidR="00AA4661" w:rsidRPr="00F8728A" w:rsidRDefault="00AA4661" w:rsidP="0021798A">
            <w:pPr>
              <w:spacing w:before="60" w:after="60" w:line="252" w:lineRule="auto"/>
              <w:ind w:left="1440" w:hanging="1170"/>
              <w:jc w:val="both"/>
              <w:rPr>
                <w:rFonts w:ascii="Calibri" w:hAnsi="Calibri" w:cs="Calibri"/>
                <w:sz w:val="22"/>
              </w:rPr>
            </w:pPr>
            <w:r w:rsidRPr="00F8728A">
              <w:rPr>
                <w:rFonts w:ascii="Calibri" w:hAnsi="Calibri" w:cs="Calibri"/>
                <w:sz w:val="22"/>
              </w:rPr>
              <w:t>EN2005V</w:t>
            </w:r>
            <w:r w:rsidRPr="00F8728A">
              <w:rPr>
                <w:rFonts w:ascii="Calibri" w:hAnsi="Calibri" w:cs="Calibri"/>
                <w:sz w:val="22"/>
              </w:rPr>
              <w:tab/>
              <w:t>Брой дни, в които концентрацията на фини прахови частици PM10 превишава 50 µg/m³</w:t>
            </w:r>
          </w:p>
          <w:p w:rsidR="00AA4661" w:rsidRPr="00F8728A" w:rsidRDefault="00AA4661" w:rsidP="0021798A">
            <w:pPr>
              <w:spacing w:before="60" w:after="60" w:line="252" w:lineRule="auto"/>
              <w:ind w:left="1440" w:hanging="1170"/>
              <w:jc w:val="both"/>
              <w:rPr>
                <w:rFonts w:ascii="Calibri" w:hAnsi="Calibri" w:cs="Calibri"/>
                <w:sz w:val="22"/>
              </w:rPr>
            </w:pPr>
            <w:r w:rsidRPr="00F8728A">
              <w:rPr>
                <w:rFonts w:ascii="Calibri" w:hAnsi="Calibri" w:cs="Calibri"/>
                <w:sz w:val="22"/>
              </w:rPr>
              <w:t>EN2025V</w:t>
            </w:r>
            <w:r w:rsidRPr="00F8728A">
              <w:rPr>
                <w:rFonts w:ascii="Calibri" w:hAnsi="Calibri" w:cs="Calibri"/>
                <w:sz w:val="22"/>
              </w:rPr>
              <w:tab/>
              <w:t>Натрупана концентрация на озон над 70 µg/m³</w:t>
            </w:r>
          </w:p>
          <w:p w:rsidR="00AA4661" w:rsidRPr="00F8728A" w:rsidRDefault="00AA4661" w:rsidP="0021798A">
            <w:pPr>
              <w:spacing w:before="60" w:after="60" w:line="252" w:lineRule="auto"/>
              <w:ind w:left="1440" w:hanging="1170"/>
              <w:jc w:val="both"/>
              <w:rPr>
                <w:rFonts w:ascii="Calibri" w:hAnsi="Calibri" w:cs="Calibri"/>
                <w:sz w:val="22"/>
              </w:rPr>
            </w:pPr>
            <w:r w:rsidRPr="00F8728A">
              <w:rPr>
                <w:rFonts w:ascii="Calibri" w:hAnsi="Calibri" w:cs="Calibri"/>
                <w:sz w:val="22"/>
              </w:rPr>
              <w:t>EN2026V</w:t>
            </w:r>
            <w:r w:rsidRPr="00F8728A">
              <w:rPr>
                <w:rFonts w:ascii="Calibri" w:hAnsi="Calibri" w:cs="Calibri"/>
                <w:sz w:val="22"/>
              </w:rPr>
              <w:tab/>
              <w:t>Годишна средна концентрация на NO</w:t>
            </w:r>
            <w:r w:rsidRPr="00F8728A">
              <w:rPr>
                <w:rFonts w:ascii="Calibri" w:hAnsi="Calibri" w:cs="Calibri"/>
                <w:sz w:val="22"/>
                <w:vertAlign w:val="subscript"/>
              </w:rPr>
              <w:t>2</w:t>
            </w:r>
            <w:r w:rsidRPr="00F8728A">
              <w:rPr>
                <w:rFonts w:ascii="Calibri" w:hAnsi="Calibri" w:cs="Calibri"/>
                <w:sz w:val="22"/>
              </w:rPr>
              <w:t xml:space="preserve"> (µg/m³)</w:t>
            </w:r>
          </w:p>
          <w:p w:rsidR="00AA4661" w:rsidRPr="00F8728A" w:rsidRDefault="00AA4661" w:rsidP="0021798A">
            <w:pPr>
              <w:spacing w:before="60" w:after="60" w:line="252" w:lineRule="auto"/>
              <w:ind w:left="1440" w:hanging="1170"/>
              <w:jc w:val="both"/>
              <w:rPr>
                <w:rFonts w:ascii="Calibri" w:hAnsi="Calibri" w:cs="Calibri"/>
                <w:sz w:val="22"/>
              </w:rPr>
            </w:pPr>
            <w:r w:rsidRPr="00F8728A">
              <w:rPr>
                <w:rFonts w:ascii="Calibri" w:hAnsi="Calibri" w:cs="Calibri"/>
                <w:sz w:val="22"/>
              </w:rPr>
              <w:t>EN2027V</w:t>
            </w:r>
            <w:r w:rsidRPr="00F8728A">
              <w:rPr>
                <w:rFonts w:ascii="Calibri" w:hAnsi="Calibri" w:cs="Calibri"/>
                <w:sz w:val="22"/>
              </w:rPr>
              <w:tab/>
              <w:t>Годишна средна концентрация на ФПЧ10 (µg/m³)</w:t>
            </w:r>
          </w:p>
          <w:p w:rsidR="00AA4661" w:rsidRPr="00F8728A" w:rsidRDefault="00AA4661" w:rsidP="0021798A">
            <w:pPr>
              <w:spacing w:before="60" w:after="60" w:line="252" w:lineRule="auto"/>
              <w:ind w:left="1440" w:hanging="1170"/>
              <w:jc w:val="both"/>
              <w:rPr>
                <w:rFonts w:ascii="Calibri" w:hAnsi="Calibri" w:cs="Calibri"/>
                <w:sz w:val="22"/>
              </w:rPr>
            </w:pPr>
            <w:r w:rsidRPr="00F8728A">
              <w:rPr>
                <w:rFonts w:ascii="Calibri" w:hAnsi="Calibri" w:cs="Calibri"/>
                <w:sz w:val="22"/>
              </w:rPr>
              <w:t>EN3003V</w:t>
            </w:r>
            <w:r w:rsidRPr="00F8728A">
              <w:rPr>
                <w:rFonts w:ascii="Calibri" w:hAnsi="Calibri" w:cs="Calibri"/>
                <w:sz w:val="22"/>
              </w:rPr>
              <w:tab/>
              <w:t>Общо потребление на вода - m³</w:t>
            </w:r>
          </w:p>
          <w:p w:rsidR="00AA4661" w:rsidRPr="00F8728A" w:rsidRDefault="00AA4661" w:rsidP="0021798A">
            <w:pPr>
              <w:spacing w:before="60" w:after="60" w:line="252" w:lineRule="auto"/>
              <w:ind w:left="1440" w:hanging="1170"/>
              <w:jc w:val="both"/>
              <w:rPr>
                <w:rFonts w:ascii="Calibri" w:hAnsi="Calibri" w:cs="Calibri"/>
                <w:sz w:val="22"/>
              </w:rPr>
            </w:pPr>
            <w:r w:rsidRPr="00F8728A">
              <w:rPr>
                <w:rFonts w:ascii="Calibri" w:hAnsi="Calibri" w:cs="Calibri"/>
                <w:sz w:val="22"/>
              </w:rPr>
              <w:t>EN3012V</w:t>
            </w:r>
            <w:r w:rsidRPr="00F8728A">
              <w:rPr>
                <w:rFonts w:ascii="Calibri" w:hAnsi="Calibri" w:cs="Calibri"/>
                <w:sz w:val="22"/>
              </w:rPr>
              <w:tab/>
              <w:t>Дял от населението, свързано с водоснабдителна система за питейна вода -  процента</w:t>
            </w:r>
          </w:p>
          <w:p w:rsidR="00AA4661" w:rsidRPr="00F8728A" w:rsidRDefault="00AA4661" w:rsidP="0021798A">
            <w:pPr>
              <w:spacing w:before="60" w:after="60" w:line="252" w:lineRule="auto"/>
              <w:ind w:left="1440" w:hanging="1170"/>
              <w:jc w:val="both"/>
              <w:rPr>
                <w:rFonts w:ascii="Calibri" w:hAnsi="Calibri" w:cs="Calibri"/>
                <w:sz w:val="22"/>
              </w:rPr>
            </w:pPr>
            <w:r w:rsidRPr="00F8728A">
              <w:rPr>
                <w:rFonts w:ascii="Calibri" w:hAnsi="Calibri" w:cs="Calibri"/>
                <w:sz w:val="22"/>
              </w:rPr>
              <w:t>EN3013V</w:t>
            </w:r>
            <w:r w:rsidRPr="00F8728A">
              <w:rPr>
                <w:rFonts w:ascii="Calibri" w:hAnsi="Calibri" w:cs="Calibri"/>
                <w:sz w:val="22"/>
              </w:rPr>
              <w:tab/>
              <w:t>Дял от населението, свързано към система за третиране на отпадъчни води -  процента</w:t>
            </w:r>
          </w:p>
          <w:p w:rsidR="00AA4661" w:rsidRPr="00F8728A" w:rsidRDefault="00AA4661" w:rsidP="0021798A">
            <w:pPr>
              <w:spacing w:before="60" w:after="60" w:line="252" w:lineRule="auto"/>
              <w:ind w:left="1440" w:hanging="1170"/>
              <w:jc w:val="both"/>
              <w:rPr>
                <w:rFonts w:ascii="Calibri" w:hAnsi="Calibri" w:cs="Calibri"/>
                <w:sz w:val="22"/>
              </w:rPr>
            </w:pPr>
            <w:r w:rsidRPr="00F8728A">
              <w:rPr>
                <w:rFonts w:ascii="Calibri" w:hAnsi="Calibri" w:cs="Calibri"/>
                <w:sz w:val="22"/>
              </w:rPr>
              <w:t>EN3011V</w:t>
            </w:r>
            <w:r w:rsidRPr="00F8728A">
              <w:rPr>
                <w:rFonts w:ascii="Calibri" w:hAnsi="Calibri" w:cs="Calibri"/>
                <w:sz w:val="22"/>
              </w:rPr>
              <w:tab/>
              <w:t>Дял на градските отпадъчни води (като еквивалент на населението), обработвани съгласно приложимия стандарт -  процента</w:t>
            </w:r>
          </w:p>
          <w:p w:rsidR="00AA4661" w:rsidRPr="00F8728A" w:rsidRDefault="00AA4661" w:rsidP="0021798A">
            <w:pPr>
              <w:spacing w:before="60" w:after="60" w:line="252" w:lineRule="auto"/>
              <w:ind w:left="1440" w:hanging="1170"/>
              <w:jc w:val="both"/>
              <w:rPr>
                <w:rFonts w:ascii="Calibri" w:hAnsi="Calibri" w:cs="Calibri"/>
                <w:sz w:val="22"/>
              </w:rPr>
            </w:pPr>
            <w:r w:rsidRPr="00F8728A">
              <w:rPr>
                <w:rFonts w:ascii="Calibri" w:hAnsi="Calibri" w:cs="Calibri"/>
                <w:sz w:val="22"/>
              </w:rPr>
              <w:t>EN4008V</w:t>
            </w:r>
            <w:r w:rsidRPr="00F8728A">
              <w:rPr>
                <w:rFonts w:ascii="Calibri" w:hAnsi="Calibri" w:cs="Calibri"/>
                <w:sz w:val="22"/>
              </w:rPr>
              <w:tab/>
              <w:t xml:space="preserve">Генерирани общински отпадъци (битови и промишлени), общо </w:t>
            </w:r>
            <w:r w:rsidR="00A147B2">
              <w:rPr>
                <w:rFonts w:ascii="Calibri" w:hAnsi="Calibri" w:cs="Calibri"/>
                <w:sz w:val="22"/>
              </w:rPr>
              <w:t>–</w:t>
            </w:r>
            <w:r w:rsidRPr="00F8728A">
              <w:rPr>
                <w:rFonts w:ascii="Calibri" w:hAnsi="Calibri" w:cs="Calibri"/>
                <w:sz w:val="22"/>
              </w:rPr>
              <w:t xml:space="preserve"> 1</w:t>
            </w:r>
            <w:r w:rsidR="00A147B2">
              <w:rPr>
                <w:rFonts w:ascii="Calibri" w:hAnsi="Calibri" w:cs="Calibri"/>
                <w:sz w:val="22"/>
              </w:rPr>
              <w:t xml:space="preserve"> </w:t>
            </w:r>
            <w:r w:rsidRPr="00F8728A">
              <w:rPr>
                <w:rFonts w:ascii="Calibri" w:hAnsi="Calibri" w:cs="Calibri"/>
                <w:sz w:val="22"/>
              </w:rPr>
              <w:t>000 t</w:t>
            </w:r>
          </w:p>
        </w:tc>
      </w:tr>
    </w:tbl>
    <w:p w:rsidR="00AA4661" w:rsidRPr="00F8728A" w:rsidRDefault="00AA4661" w:rsidP="004F13EC">
      <w:pPr>
        <w:spacing w:before="160" w:after="60" w:line="276" w:lineRule="auto"/>
        <w:jc w:val="both"/>
        <w:rPr>
          <w:rFonts w:ascii="Times New Roman" w:hAnsi="Times New Roman"/>
          <w:sz w:val="24"/>
          <w:szCs w:val="24"/>
        </w:rPr>
      </w:pPr>
      <w:r w:rsidRPr="00F8728A">
        <w:rPr>
          <w:rFonts w:ascii="Times New Roman" w:hAnsi="Times New Roman"/>
          <w:sz w:val="24"/>
          <w:szCs w:val="24"/>
        </w:rPr>
        <w:t>България участва в проекта Градски одит от 2004 г. 18 български града участват в проекта на ЕВРОСТАТ, всички от които са с над 50.000 жит. (Съгласно данните за населението, 2009 г.) София, Пловдив, Варна, Плевен, Русе, Видин, Стара Загора, Сливен, Добрич, Шумен, Перник, Ямбол, Хасково, Пазарджик, Благоевград, Велико Търново, Враца. Не всички индикатори се поддържат редовно (ежегодно) от НСИ на България.</w:t>
      </w:r>
    </w:p>
    <w:p w:rsidR="00AA4661" w:rsidRPr="00ED3916" w:rsidRDefault="00AA4661" w:rsidP="00CF297A">
      <w:pPr>
        <w:pStyle w:val="Heading5"/>
        <w:keepNext w:val="0"/>
        <w:keepLines w:val="0"/>
        <w:numPr>
          <w:ilvl w:val="0"/>
          <w:numId w:val="46"/>
        </w:numPr>
        <w:spacing w:before="120" w:after="60" w:line="276" w:lineRule="auto"/>
        <w:jc w:val="both"/>
        <w:rPr>
          <w:rStyle w:val="Heading5Char"/>
          <w:rFonts w:ascii="Calibri" w:hAnsi="Calibri"/>
          <w:sz w:val="24"/>
          <w:szCs w:val="24"/>
          <w:u w:val="single"/>
          <w:lang w:val="bg-BG" w:eastAsia="bg-BG"/>
        </w:rPr>
      </w:pPr>
      <w:r w:rsidRPr="00B73D7E">
        <w:rPr>
          <w:rStyle w:val="Heading5Char"/>
          <w:rFonts w:ascii="Calibri" w:hAnsi="Calibri"/>
          <w:sz w:val="24"/>
          <w:szCs w:val="24"/>
          <w:u w:val="single"/>
          <w:lang w:val="bg-BG" w:eastAsia="bg-BG"/>
        </w:rPr>
        <w:t>ЕВРОСТАТ, Градски атлас</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Описание:</w:t>
      </w:r>
      <w:r w:rsidRPr="00F8728A">
        <w:rPr>
          <w:rFonts w:ascii="Times New Roman" w:hAnsi="Times New Roman"/>
          <w:sz w:val="24"/>
          <w:szCs w:val="24"/>
        </w:rPr>
        <w:t xml:space="preserve"> Европейският Градски атлас е част от местния компонент на проекта Глобален мониторинг на околната среда и сигурността ГМОСС/Коперник услуги за наблюдение на земята. Той осигурява надеждни, взаимно сравними карти на земеползването с висока разделителна способност за 305 LUZ и околностите им (над 100.000 жители по определението на Градски одит) за референтна година 2006. </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Ограничения за размер на населението</w:t>
      </w:r>
      <w:r w:rsidRPr="00F8728A">
        <w:rPr>
          <w:rFonts w:ascii="Times New Roman" w:hAnsi="Times New Roman"/>
          <w:sz w:val="24"/>
          <w:szCs w:val="24"/>
        </w:rPr>
        <w:t>: 100</w:t>
      </w:r>
      <w:r w:rsidR="00A147B2">
        <w:rPr>
          <w:rFonts w:ascii="Times New Roman" w:hAnsi="Times New Roman"/>
          <w:sz w:val="24"/>
          <w:szCs w:val="24"/>
        </w:rPr>
        <w:t xml:space="preserve"> </w:t>
      </w:r>
      <w:r w:rsidRPr="00F8728A">
        <w:rPr>
          <w:rFonts w:ascii="Times New Roman" w:hAnsi="Times New Roman"/>
          <w:sz w:val="24"/>
          <w:szCs w:val="24"/>
        </w:rPr>
        <w:t>000 жители</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Покрити страни:</w:t>
      </w:r>
      <w:r w:rsidRPr="00F8728A">
        <w:rPr>
          <w:rFonts w:ascii="Times New Roman" w:hAnsi="Times New Roman"/>
          <w:sz w:val="24"/>
          <w:szCs w:val="24"/>
        </w:rPr>
        <w:t xml:space="preserve"> 27 страни</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Българско участие</w:t>
      </w:r>
      <w:r w:rsidRPr="00F8728A">
        <w:rPr>
          <w:rFonts w:ascii="Times New Roman" w:hAnsi="Times New Roman"/>
          <w:sz w:val="24"/>
          <w:szCs w:val="24"/>
        </w:rPr>
        <w:t xml:space="preserve"> 8 града: София, Пловдив, Бургас, Варна, Русе, Стара Загора, Плевен, Видин</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Уебсайт: </w:t>
      </w:r>
      <w:hyperlink r:id="rId148" w:history="1">
        <w:r w:rsidRPr="00F8728A">
          <w:rPr>
            <w:rFonts w:ascii="Times New Roman" w:hAnsi="Times New Roman"/>
            <w:color w:val="0000FF"/>
            <w:sz w:val="24"/>
            <w:szCs w:val="24"/>
            <w:u w:val="single"/>
          </w:rPr>
          <w:t>http://www.eea.europa.eu/data-and-maps/data/urban-atlas</w:t>
        </w:r>
      </w:hyperlink>
      <w:r w:rsidRPr="00F8728A">
        <w:rPr>
          <w:rFonts w:ascii="Times New Roman" w:hAnsi="Times New Roman"/>
          <w:sz w:val="24"/>
          <w:szCs w:val="24"/>
        </w:rPr>
        <w:t xml:space="preserve"> </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Източник:</w:t>
      </w:r>
      <w:r w:rsidRPr="00F8728A">
        <w:rPr>
          <w:rFonts w:ascii="Times New Roman" w:hAnsi="Times New Roman"/>
          <w:sz w:val="24"/>
          <w:szCs w:val="24"/>
        </w:rPr>
        <w:t xml:space="preserve"> ЕАОС, ЕВРОСТАТ</w:t>
      </w:r>
    </w:p>
    <w:p w:rsidR="00AA4661" w:rsidRPr="00F8728A" w:rsidRDefault="00AA4661" w:rsidP="00491557">
      <w:pPr>
        <w:pStyle w:val="Heading4"/>
        <w:numPr>
          <w:ilvl w:val="0"/>
          <w:numId w:val="9"/>
        </w:numPr>
        <w:rPr>
          <w:lang w:val="bg-BG"/>
        </w:rPr>
      </w:pPr>
      <w:r w:rsidRPr="00F8728A">
        <w:rPr>
          <w:lang w:val="bg-BG"/>
        </w:rPr>
        <w:t>Участие на българския сектор за градска среда в доклади на международни организации (включително ЕАОС)</w:t>
      </w:r>
    </w:p>
    <w:p w:rsidR="00AA4661" w:rsidRPr="00ED3916" w:rsidRDefault="00AA4661" w:rsidP="00CF297A">
      <w:pPr>
        <w:pStyle w:val="Heading5"/>
        <w:keepNext w:val="0"/>
        <w:keepLines w:val="0"/>
        <w:numPr>
          <w:ilvl w:val="0"/>
          <w:numId w:val="46"/>
        </w:numPr>
        <w:spacing w:before="120" w:after="60" w:line="276" w:lineRule="auto"/>
        <w:jc w:val="both"/>
        <w:rPr>
          <w:rStyle w:val="Heading5Char"/>
          <w:rFonts w:ascii="Calibri" w:hAnsi="Calibri"/>
          <w:sz w:val="24"/>
          <w:szCs w:val="24"/>
          <w:u w:val="single"/>
          <w:lang w:val="bg-BG" w:eastAsia="bg-BG"/>
        </w:rPr>
      </w:pPr>
      <w:r w:rsidRPr="00B73D7E">
        <w:rPr>
          <w:rStyle w:val="Heading5Char"/>
          <w:rFonts w:ascii="Calibri" w:hAnsi="Calibri"/>
          <w:sz w:val="24"/>
          <w:szCs w:val="24"/>
          <w:u w:val="single"/>
          <w:lang w:val="bg-BG" w:eastAsia="bg-BG"/>
        </w:rPr>
        <w:t>Доклад на ЕАОС за 2012 г.: Градска адаптация към ИК в Европа</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Описание:</w:t>
      </w:r>
      <w:r w:rsidRPr="00F8728A">
        <w:rPr>
          <w:rFonts w:ascii="Times New Roman" w:hAnsi="Times New Roman"/>
          <w:sz w:val="24"/>
          <w:szCs w:val="24"/>
        </w:rPr>
        <w:t xml:space="preserve"> Доклад на ЕАОС № 2/2012. Градска адаптация към ИК в Европа. Предизвикателства и възможности за градовете заедно с подкрепящи национални и европейски политики.</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Данни и информация:</w:t>
      </w:r>
      <w:r w:rsidRPr="00F8728A">
        <w:rPr>
          <w:rFonts w:ascii="Times New Roman" w:hAnsi="Times New Roman"/>
          <w:sz w:val="24"/>
          <w:szCs w:val="24"/>
        </w:rPr>
        <w:t xml:space="preserve"> Докладът включва няколко индикатора и тематични карти като тези за топлинни вълни, наводнения, социална чувствителност и фактори на адаптивността.</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Уебсайт: </w:t>
      </w:r>
      <w:hyperlink r:id="rId149" w:history="1">
        <w:r w:rsidRPr="00F8728A">
          <w:rPr>
            <w:rFonts w:ascii="Times New Roman" w:hAnsi="Times New Roman"/>
            <w:color w:val="0000FF"/>
            <w:sz w:val="24"/>
            <w:szCs w:val="24"/>
            <w:u w:val="single"/>
          </w:rPr>
          <w:t>http://www.eea.europa.eu/publications/urban-adaptation-to-climate-change</w:t>
        </w:r>
      </w:hyperlink>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Източник:</w:t>
      </w:r>
      <w:r w:rsidRPr="00F8728A">
        <w:rPr>
          <w:rFonts w:ascii="Times New Roman" w:hAnsi="Times New Roman"/>
          <w:sz w:val="24"/>
          <w:szCs w:val="24"/>
        </w:rPr>
        <w:t xml:space="preserve"> ЕАОС</w:t>
      </w:r>
    </w:p>
    <w:p w:rsidR="000614A3" w:rsidRPr="00B73D7E" w:rsidRDefault="000614A3">
      <w:pPr>
        <w:spacing w:after="0"/>
        <w:rPr>
          <w:rStyle w:val="Heading5Char"/>
          <w:rFonts w:ascii="Calibri" w:hAnsi="Calibri"/>
          <w:sz w:val="24"/>
          <w:szCs w:val="24"/>
          <w:u w:val="single"/>
          <w:lang w:eastAsia="bg-BG"/>
        </w:rPr>
      </w:pPr>
      <w:r w:rsidRPr="00F8728A">
        <w:rPr>
          <w:rStyle w:val="Heading5Char"/>
          <w:rFonts w:ascii="Calibri" w:hAnsi="Calibri"/>
          <w:sz w:val="24"/>
          <w:szCs w:val="24"/>
          <w:u w:val="single"/>
          <w:lang w:eastAsia="bg-BG"/>
        </w:rPr>
        <w:br w:type="page"/>
      </w:r>
    </w:p>
    <w:p w:rsidR="00AA4661" w:rsidRPr="00ED3916" w:rsidRDefault="00AA4661" w:rsidP="00CF297A">
      <w:pPr>
        <w:pStyle w:val="Heading5"/>
        <w:keepNext w:val="0"/>
        <w:keepLines w:val="0"/>
        <w:numPr>
          <w:ilvl w:val="0"/>
          <w:numId w:val="46"/>
        </w:numPr>
        <w:spacing w:before="120" w:after="60" w:line="276" w:lineRule="auto"/>
        <w:jc w:val="both"/>
        <w:rPr>
          <w:rStyle w:val="Heading5Char"/>
          <w:rFonts w:ascii="Calibri" w:hAnsi="Calibri"/>
          <w:sz w:val="24"/>
          <w:szCs w:val="24"/>
          <w:u w:val="single"/>
          <w:lang w:val="bg-BG" w:eastAsia="bg-BG"/>
        </w:rPr>
      </w:pPr>
      <w:r w:rsidRPr="00B73D7E">
        <w:rPr>
          <w:rStyle w:val="Heading5Char"/>
          <w:rFonts w:ascii="Calibri" w:hAnsi="Calibri"/>
          <w:sz w:val="24"/>
          <w:szCs w:val="24"/>
          <w:u w:val="single"/>
          <w:lang w:val="bg-BG" w:eastAsia="bg-BG"/>
        </w:rPr>
        <w:t>Доклад на ЕАОС за 2016 г.: Градската адаптация към климатичните промени в Европа. 2016 г. - Трансформиране на градовете при промени в климата</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Описание:</w:t>
      </w:r>
      <w:r w:rsidRPr="00F8728A">
        <w:rPr>
          <w:rFonts w:ascii="Times New Roman" w:hAnsi="Times New Roman"/>
          <w:sz w:val="24"/>
          <w:szCs w:val="24"/>
        </w:rPr>
        <w:t xml:space="preserve"> Доклад на ЕАОС № 12/2016. </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sz w:val="24"/>
          <w:szCs w:val="24"/>
        </w:rPr>
        <w:t>Докладът надгражда върху и допълва наличните продукти и инициативи за градска адаптация в Европа. Той се концентрира върху състоянието на действията в сферата и постигнатия напредък от първия доклад на ЕАОС през 2012 г. и взема под внимание този анализ във връзка с настоящите предизвикателства при превръщането на градовете в по-привлекателни, устойчиви на климата места. Докладът има за цел да разшири перспективите и да осигури предпоставки за преразглеждане и последващи поправки в градската адаптация към климатичните промени чрез местното управление и чрез подкрепа за регионалните, националните и европейските институции, изследователи и други заинтересовани лица.</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Данни и информация:</w:t>
      </w:r>
      <w:r w:rsidRPr="00F8728A">
        <w:rPr>
          <w:rFonts w:ascii="Times New Roman" w:hAnsi="Times New Roman"/>
          <w:sz w:val="24"/>
          <w:szCs w:val="24"/>
        </w:rPr>
        <w:t xml:space="preserve"> Докладът включва няколко индикатора и тематични карти като тези за топлинни вълни, наводнения, социална чувствителност и фактори на адаптивността.</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Уебсайт: </w:t>
      </w:r>
      <w:hyperlink r:id="rId150" w:history="1">
        <w:r w:rsidRPr="00F8728A">
          <w:rPr>
            <w:rFonts w:ascii="Times New Roman" w:hAnsi="Times New Roman"/>
            <w:color w:val="0000FF"/>
            <w:sz w:val="24"/>
            <w:szCs w:val="24"/>
            <w:u w:val="single"/>
          </w:rPr>
          <w:t>http://www.eea.europa.eu/publications/urban-adaptation-2016</w:t>
        </w:r>
      </w:hyperlink>
      <w:r w:rsidRPr="00F8728A">
        <w:rPr>
          <w:rFonts w:ascii="Times New Roman" w:hAnsi="Times New Roman"/>
          <w:sz w:val="24"/>
          <w:szCs w:val="24"/>
        </w:rPr>
        <w:t xml:space="preserve"> </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Източник:</w:t>
      </w:r>
      <w:r w:rsidRPr="00F8728A">
        <w:rPr>
          <w:rFonts w:ascii="Times New Roman" w:hAnsi="Times New Roman"/>
          <w:sz w:val="24"/>
          <w:szCs w:val="24"/>
        </w:rPr>
        <w:t xml:space="preserve"> ЕАОС</w:t>
      </w:r>
    </w:p>
    <w:p w:rsidR="00AA4661" w:rsidRPr="00F8728A" w:rsidRDefault="00AA4661" w:rsidP="00491557">
      <w:pPr>
        <w:pStyle w:val="Heading4"/>
        <w:numPr>
          <w:ilvl w:val="0"/>
          <w:numId w:val="9"/>
        </w:numPr>
        <w:rPr>
          <w:lang w:val="bg-BG"/>
        </w:rPr>
      </w:pPr>
      <w:r w:rsidRPr="00F8728A">
        <w:rPr>
          <w:lang w:val="bg-BG"/>
        </w:rPr>
        <w:t>Участие на българския сектор на градската среда в международни проекти свързани с екологични проблеми или изграждане на мрежи за сътрудничество и/или обмен на информация</w:t>
      </w:r>
    </w:p>
    <w:p w:rsidR="00AA4661" w:rsidRPr="00ED3916" w:rsidRDefault="00AA4661" w:rsidP="00CF297A">
      <w:pPr>
        <w:pStyle w:val="Heading5"/>
        <w:keepNext w:val="0"/>
        <w:keepLines w:val="0"/>
        <w:numPr>
          <w:ilvl w:val="0"/>
          <w:numId w:val="46"/>
        </w:numPr>
        <w:spacing w:before="120" w:after="60" w:line="276" w:lineRule="auto"/>
        <w:jc w:val="both"/>
        <w:rPr>
          <w:rStyle w:val="Heading5Char"/>
          <w:rFonts w:ascii="Calibri" w:hAnsi="Calibri"/>
          <w:sz w:val="24"/>
          <w:szCs w:val="24"/>
          <w:u w:val="single"/>
          <w:lang w:val="bg-BG" w:eastAsia="bg-BG"/>
        </w:rPr>
      </w:pPr>
      <w:r w:rsidRPr="00B73D7E">
        <w:rPr>
          <w:rStyle w:val="Heading5Char"/>
          <w:rFonts w:ascii="Calibri" w:hAnsi="Calibri"/>
          <w:sz w:val="24"/>
          <w:szCs w:val="24"/>
          <w:u w:val="single"/>
          <w:lang w:val="bg-BG" w:eastAsia="bg-BG"/>
        </w:rPr>
        <w:t>МРЕЖА URBACT: УСТОЙЧИВА ЕВРОПА</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Описание:</w:t>
      </w:r>
      <w:r w:rsidRPr="00F8728A">
        <w:rPr>
          <w:rFonts w:ascii="Times New Roman" w:hAnsi="Times New Roman"/>
          <w:sz w:val="24"/>
          <w:szCs w:val="24"/>
        </w:rPr>
        <w:t xml:space="preserve"> Мрежата </w:t>
      </w:r>
      <w:r w:rsidRPr="00F8728A">
        <w:rPr>
          <w:rFonts w:ascii="Times New Roman" w:hAnsi="Times New Roman"/>
          <w:b/>
          <w:sz w:val="24"/>
          <w:szCs w:val="24"/>
        </w:rPr>
        <w:t>Устойчива Европа</w:t>
      </w:r>
      <w:r w:rsidRPr="00F8728A">
        <w:rPr>
          <w:rFonts w:ascii="Times New Roman" w:hAnsi="Times New Roman"/>
          <w:sz w:val="24"/>
          <w:szCs w:val="24"/>
        </w:rPr>
        <w:t xml:space="preserve"> разглежда начините за подкрепа на градовете, за да станат те по-устойчиви на шоково натоварване. Тя се концентрира върху устойчивостта на градовете срещу промени в климата. Тя подчертава значимостта на оборудването на градовете за ефективно управление на процеса на преобразуване на енергията Този подход отразява акцента на URBACT върху участието на множество заинтересовани лица и методите на участие. Също така поставя се акцент и върху иновациите, но не само от технически тип. В сферата на управлението на прехода все повече изрично се признава необходимостта от значимото участие на широк кръг от социални партньори.</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Участващи партньори и градове:</w:t>
      </w:r>
      <w:r w:rsidRPr="00F8728A">
        <w:rPr>
          <w:rFonts w:ascii="Times New Roman" w:hAnsi="Times New Roman"/>
          <w:sz w:val="24"/>
          <w:szCs w:val="24"/>
        </w:rPr>
        <w:t xml:space="preserve"> 11 града от 9 страни</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Българско участие</w:t>
      </w:r>
      <w:r w:rsidRPr="00F8728A">
        <w:rPr>
          <w:rFonts w:ascii="Times New Roman" w:hAnsi="Times New Roman"/>
          <w:sz w:val="24"/>
          <w:szCs w:val="24"/>
        </w:rPr>
        <w:t xml:space="preserve"> Гр. Бургас </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Уебсайт: </w:t>
      </w:r>
      <w:hyperlink r:id="rId151" w:history="1">
        <w:r w:rsidRPr="00F8728A">
          <w:rPr>
            <w:rFonts w:ascii="Times New Roman" w:hAnsi="Times New Roman"/>
            <w:color w:val="0000FF"/>
            <w:sz w:val="24"/>
            <w:szCs w:val="24"/>
            <w:u w:val="single"/>
          </w:rPr>
          <w:t>http://urbact.eu/resilient-europe</w:t>
        </w:r>
      </w:hyperlink>
    </w:p>
    <w:p w:rsidR="00AA4661" w:rsidRPr="00F8728A" w:rsidRDefault="00AA4661" w:rsidP="004F13EC">
      <w:pPr>
        <w:spacing w:after="120" w:line="276" w:lineRule="auto"/>
        <w:jc w:val="both"/>
        <w:rPr>
          <w:rFonts w:ascii="Times New Roman" w:hAnsi="Times New Roman"/>
          <w:sz w:val="24"/>
          <w:szCs w:val="24"/>
        </w:rPr>
      </w:pPr>
      <w:r w:rsidRPr="00F8728A">
        <w:rPr>
          <w:rFonts w:ascii="Times New Roman" w:hAnsi="Times New Roman"/>
          <w:b/>
          <w:sz w:val="24"/>
          <w:szCs w:val="24"/>
        </w:rPr>
        <w:t>Източник:</w:t>
      </w:r>
      <w:r w:rsidRPr="00F8728A">
        <w:rPr>
          <w:rFonts w:ascii="Times New Roman" w:hAnsi="Times New Roman"/>
          <w:sz w:val="24"/>
          <w:szCs w:val="24"/>
        </w:rPr>
        <w:t xml:space="preserve"> МРЕЖА URBACT</w:t>
      </w:r>
    </w:p>
    <w:p w:rsidR="00AA4661" w:rsidRPr="00ED3916" w:rsidRDefault="00AA4661" w:rsidP="00CF297A">
      <w:pPr>
        <w:pStyle w:val="Heading5"/>
        <w:keepNext w:val="0"/>
        <w:keepLines w:val="0"/>
        <w:numPr>
          <w:ilvl w:val="0"/>
          <w:numId w:val="46"/>
        </w:numPr>
        <w:spacing w:before="120" w:after="60" w:line="276" w:lineRule="auto"/>
        <w:jc w:val="both"/>
        <w:rPr>
          <w:rStyle w:val="Heading5Char"/>
          <w:rFonts w:ascii="Calibri" w:hAnsi="Calibri"/>
          <w:sz w:val="24"/>
          <w:szCs w:val="24"/>
          <w:u w:val="single"/>
          <w:lang w:val="bg-BG" w:eastAsia="bg-BG"/>
        </w:rPr>
      </w:pPr>
      <w:r w:rsidRPr="00B73D7E">
        <w:rPr>
          <w:rStyle w:val="Heading5Char"/>
          <w:rFonts w:ascii="Calibri" w:hAnsi="Calibri"/>
          <w:sz w:val="24"/>
          <w:szCs w:val="24"/>
          <w:u w:val="single"/>
          <w:lang w:val="bg-BG" w:eastAsia="bg-BG"/>
        </w:rPr>
        <w:t>ПРОЕКТ: АДАПТАЦИОННИ СТРАТЕГИИ ЗА ЕВРОПЕЙСКИ ГРАДОВЕ</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Финансиране: ЕС: </w:t>
      </w:r>
      <w:r w:rsidRPr="00F8728A">
        <w:rPr>
          <w:rFonts w:ascii="Times New Roman" w:hAnsi="Times New Roman"/>
          <w:sz w:val="24"/>
          <w:szCs w:val="24"/>
        </w:rPr>
        <w:t>Генерална дирекция Действия по климата</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Описание:</w:t>
      </w:r>
      <w:r w:rsidRPr="00F8728A">
        <w:rPr>
          <w:rFonts w:ascii="Times New Roman" w:hAnsi="Times New Roman"/>
          <w:sz w:val="24"/>
          <w:szCs w:val="24"/>
        </w:rPr>
        <w:t xml:space="preserve"> Целите на този проект са да се осигури изграждане на капацитет и помощ на градовете в разработката и прилагането на стратегии за адаптация, както и допълнителна техническа подкрепа за DG CLIMA за отчитане състоянието на градската адаптация. Проектът има за цел също да повиши осведомеността в цяла Европа относно значимостта на подготовката за промените в климата в градовете. Обменът на знания и добри практики и разработването на инструменти и насоки за начините на адаптиране на градовете към промените в климата също са важни аспекти на проекта.</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Участващи партньори и градове:</w:t>
      </w:r>
      <w:r w:rsidRPr="00F8728A">
        <w:rPr>
          <w:rFonts w:ascii="Times New Roman" w:hAnsi="Times New Roman"/>
          <w:sz w:val="24"/>
          <w:szCs w:val="24"/>
        </w:rPr>
        <w:t xml:space="preserve"> 17 страни, 21 града</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Българско участие</w:t>
      </w:r>
      <w:r w:rsidRPr="00F8728A">
        <w:rPr>
          <w:rFonts w:ascii="Times New Roman" w:hAnsi="Times New Roman"/>
          <w:sz w:val="24"/>
          <w:szCs w:val="24"/>
        </w:rPr>
        <w:t xml:space="preserve"> Гр. Бургас </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Уебсайт: </w:t>
      </w:r>
      <w:hyperlink r:id="rId152" w:history="1">
        <w:r w:rsidRPr="00F8728A">
          <w:rPr>
            <w:rFonts w:ascii="Times New Roman" w:hAnsi="Times New Roman"/>
            <w:color w:val="0000FF"/>
            <w:sz w:val="24"/>
            <w:szCs w:val="24"/>
            <w:u w:val="single"/>
          </w:rPr>
          <w:t>http://climate-adapt.eea.europa.eu/repository/11156095.pdf/view</w:t>
        </w:r>
      </w:hyperlink>
    </w:p>
    <w:p w:rsidR="00AA4661" w:rsidRPr="00F8728A" w:rsidRDefault="00AA4661" w:rsidP="004F13EC">
      <w:pPr>
        <w:spacing w:after="120" w:line="276" w:lineRule="auto"/>
        <w:jc w:val="both"/>
        <w:rPr>
          <w:rFonts w:ascii="Times New Roman" w:hAnsi="Times New Roman"/>
          <w:sz w:val="24"/>
          <w:szCs w:val="24"/>
        </w:rPr>
      </w:pPr>
      <w:r w:rsidRPr="00F8728A">
        <w:rPr>
          <w:rFonts w:ascii="Times New Roman" w:hAnsi="Times New Roman"/>
          <w:b/>
          <w:sz w:val="24"/>
          <w:szCs w:val="24"/>
        </w:rPr>
        <w:t>Източник:</w:t>
      </w:r>
      <w:r w:rsidRPr="00F8728A">
        <w:rPr>
          <w:rFonts w:ascii="Times New Roman" w:hAnsi="Times New Roman"/>
          <w:sz w:val="24"/>
          <w:szCs w:val="24"/>
        </w:rPr>
        <w:t xml:space="preserve"> Генерална дирекция „Действия по климата“ на ЕС</w:t>
      </w:r>
    </w:p>
    <w:p w:rsidR="00AA4661" w:rsidRPr="00ED3916" w:rsidRDefault="00AA4661" w:rsidP="00CF297A">
      <w:pPr>
        <w:pStyle w:val="Heading5"/>
        <w:keepNext w:val="0"/>
        <w:keepLines w:val="0"/>
        <w:numPr>
          <w:ilvl w:val="0"/>
          <w:numId w:val="46"/>
        </w:numPr>
        <w:spacing w:before="120" w:after="60" w:line="276" w:lineRule="auto"/>
        <w:jc w:val="both"/>
        <w:rPr>
          <w:rStyle w:val="Heading5Char"/>
          <w:rFonts w:ascii="Calibri" w:hAnsi="Calibri"/>
          <w:sz w:val="24"/>
          <w:szCs w:val="24"/>
          <w:u w:val="single"/>
          <w:lang w:val="bg-BG" w:eastAsia="bg-BG"/>
        </w:rPr>
      </w:pPr>
      <w:r w:rsidRPr="00B73D7E">
        <w:rPr>
          <w:rStyle w:val="Heading5Char"/>
          <w:rFonts w:ascii="Calibri" w:hAnsi="Calibri"/>
          <w:sz w:val="24"/>
          <w:szCs w:val="24"/>
          <w:u w:val="single"/>
          <w:lang w:val="bg-BG" w:eastAsia="bg-BG"/>
        </w:rPr>
        <w:t>ПРОЕКТ: Европейска мрежа за наблюдение на териториалното планиране (ESPON) CLIMATE - промени в климата и териториални въздействия върху региони и местни икономики в Европа (ЕС)</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Описание:</w:t>
      </w:r>
      <w:r w:rsidRPr="00F8728A">
        <w:rPr>
          <w:rFonts w:ascii="Times New Roman" w:hAnsi="Times New Roman"/>
          <w:sz w:val="24"/>
          <w:szCs w:val="24"/>
        </w:rPr>
        <w:t xml:space="preserve"> Този проект анализира как и до каква степен промените в климата ще въздействат на конкурентоспособността и кохезията на европейските региони и Европа като цяло. В допълнение той проучва начините, по които политиките могат да допринесат за ограничаването на промените в климата, адаптирането към и управлението на въздействията на промените в климата, които не могат да бъдат избегнати, същевременно осигурявайки използването на синергиите на политиките за ограничаване на въздействията и адаптиране.</w:t>
      </w:r>
    </w:p>
    <w:p w:rsidR="00AA4661" w:rsidRPr="00F8728A" w:rsidRDefault="00AA4661" w:rsidP="00776E5B">
      <w:pPr>
        <w:spacing w:after="60" w:line="276" w:lineRule="auto"/>
        <w:jc w:val="both"/>
        <w:rPr>
          <w:rFonts w:ascii="Times New Roman" w:hAnsi="Times New Roman"/>
          <w:b/>
          <w:sz w:val="24"/>
          <w:szCs w:val="24"/>
        </w:rPr>
      </w:pPr>
      <w:r w:rsidRPr="00F8728A">
        <w:rPr>
          <w:rFonts w:ascii="Times New Roman" w:hAnsi="Times New Roman"/>
          <w:b/>
          <w:sz w:val="24"/>
          <w:szCs w:val="24"/>
        </w:rPr>
        <w:t xml:space="preserve">Уебсайт: </w:t>
      </w:r>
      <w:hyperlink r:id="rId153" w:history="1">
        <w:r w:rsidRPr="00F8728A">
          <w:rPr>
            <w:rFonts w:ascii="Times New Roman" w:hAnsi="Times New Roman"/>
            <w:color w:val="0000FF"/>
            <w:sz w:val="24"/>
            <w:szCs w:val="24"/>
            <w:u w:val="single"/>
          </w:rPr>
          <w:t>http://www.espon.eu/main/Menu_Projects/Menu_ESPON2013Projects/Menu_AppliedResearch/climate.html</w:t>
        </w:r>
      </w:hyperlink>
    </w:p>
    <w:p w:rsidR="00AA4661" w:rsidRPr="00F8728A" w:rsidRDefault="00AA4661" w:rsidP="00491557">
      <w:pPr>
        <w:pStyle w:val="Heading4"/>
        <w:numPr>
          <w:ilvl w:val="0"/>
          <w:numId w:val="9"/>
        </w:numPr>
        <w:rPr>
          <w:lang w:val="bg-BG"/>
        </w:rPr>
      </w:pPr>
      <w:r w:rsidRPr="00F8728A">
        <w:rPr>
          <w:lang w:val="bg-BG"/>
        </w:rPr>
        <w:t>Участие на български регионални и административни звена в проекти, свързани с екологични мрежи, събиране на данни, изграждане на международни бази данни, платформи и др., всички пряко или косвено свързани с темите на градската среда и промените в климата</w:t>
      </w:r>
    </w:p>
    <w:p w:rsidR="00AA4661" w:rsidRPr="00ED3916" w:rsidRDefault="00AA4661" w:rsidP="00CF297A">
      <w:pPr>
        <w:pStyle w:val="Heading5"/>
        <w:keepNext w:val="0"/>
        <w:keepLines w:val="0"/>
        <w:numPr>
          <w:ilvl w:val="0"/>
          <w:numId w:val="46"/>
        </w:numPr>
        <w:spacing w:before="120" w:after="60" w:line="276" w:lineRule="auto"/>
        <w:jc w:val="both"/>
        <w:rPr>
          <w:rStyle w:val="Heading5Char"/>
          <w:rFonts w:ascii="Calibri" w:hAnsi="Calibri"/>
          <w:sz w:val="24"/>
          <w:szCs w:val="24"/>
          <w:u w:val="single"/>
          <w:lang w:val="bg-BG" w:eastAsia="bg-BG"/>
        </w:rPr>
      </w:pPr>
      <w:r w:rsidRPr="00B73D7E">
        <w:rPr>
          <w:rStyle w:val="Heading5Char"/>
          <w:rFonts w:ascii="Calibri" w:hAnsi="Calibri"/>
          <w:sz w:val="24"/>
          <w:szCs w:val="24"/>
          <w:u w:val="single"/>
          <w:lang w:val="bg-BG" w:eastAsia="bg-BG"/>
        </w:rPr>
        <w:t>МРЕЖА EUROCITY</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Основни области на сътрудничество и изследване: градско планиране</w:t>
      </w:r>
      <w:r w:rsidRPr="00F8728A">
        <w:rPr>
          <w:rFonts w:ascii="Times New Roman" w:hAnsi="Times New Roman"/>
          <w:sz w:val="24"/>
          <w:szCs w:val="24"/>
        </w:rPr>
        <w:t xml:space="preserve">, обновяване, Конференцията на страните (COP 21), Европа 2020, заетост, интелигентни градове, миграция и интеграция, култура и творчество, пестене на енергия, енергиен съюз, демографски промени, работни места, предприемачество, иновации, кохезионна политика, </w:t>
      </w:r>
      <w:r w:rsidRPr="00F8728A">
        <w:rPr>
          <w:rFonts w:ascii="Times New Roman" w:hAnsi="Times New Roman"/>
          <w:b/>
          <w:sz w:val="24"/>
          <w:szCs w:val="24"/>
        </w:rPr>
        <w:t>адаптиране към климата</w:t>
      </w:r>
      <w:r w:rsidRPr="00F8728A">
        <w:rPr>
          <w:rFonts w:ascii="Times New Roman" w:hAnsi="Times New Roman"/>
          <w:sz w:val="24"/>
          <w:szCs w:val="24"/>
        </w:rPr>
        <w:t xml:space="preserve">, достъпност, качество на въздуха, </w:t>
      </w:r>
      <w:r w:rsidRPr="00F8728A">
        <w:rPr>
          <w:rFonts w:ascii="Times New Roman" w:hAnsi="Times New Roman"/>
          <w:b/>
          <w:sz w:val="24"/>
          <w:szCs w:val="24"/>
        </w:rPr>
        <w:t>климат, цифрова сфера</w:t>
      </w:r>
      <w:r w:rsidRPr="00F8728A">
        <w:rPr>
          <w:rFonts w:ascii="Times New Roman" w:hAnsi="Times New Roman"/>
          <w:sz w:val="24"/>
          <w:szCs w:val="24"/>
        </w:rPr>
        <w:t>, жилища, бездомност, мобилност, умения и образование, финансиране и инвестиции във финансови иновации, данни на свободен достъп, иновационно управление, икономическо развитие, участие, обществени служби за снабдяване</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Участващи партньори и градове:</w:t>
      </w:r>
      <w:r w:rsidRPr="00F8728A">
        <w:rPr>
          <w:rFonts w:ascii="Times New Roman" w:hAnsi="Times New Roman"/>
          <w:sz w:val="24"/>
          <w:szCs w:val="24"/>
        </w:rPr>
        <w:t xml:space="preserve"> 39 страни</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Българско участие</w:t>
      </w:r>
      <w:r w:rsidRPr="00F8728A">
        <w:rPr>
          <w:rFonts w:ascii="Times New Roman" w:hAnsi="Times New Roman"/>
          <w:sz w:val="24"/>
          <w:szCs w:val="24"/>
        </w:rPr>
        <w:t xml:space="preserve"> Градовете София, Варна, Бургас – пълни членове, гр. Кърджали – партньор</w:t>
      </w:r>
    </w:p>
    <w:p w:rsidR="00AA4661" w:rsidRPr="00F8728A" w:rsidRDefault="00AA4661" w:rsidP="004F13EC">
      <w:pPr>
        <w:spacing w:after="120" w:line="276" w:lineRule="auto"/>
        <w:jc w:val="both"/>
        <w:rPr>
          <w:rFonts w:ascii="Times New Roman" w:hAnsi="Times New Roman"/>
          <w:sz w:val="24"/>
          <w:szCs w:val="24"/>
        </w:rPr>
      </w:pPr>
      <w:r w:rsidRPr="00F8728A">
        <w:rPr>
          <w:rFonts w:ascii="Times New Roman" w:hAnsi="Times New Roman"/>
          <w:b/>
          <w:sz w:val="24"/>
          <w:szCs w:val="24"/>
        </w:rPr>
        <w:t xml:space="preserve">Уебсайт: </w:t>
      </w:r>
      <w:hyperlink r:id="rId154" w:history="1">
        <w:r w:rsidRPr="00F8728A">
          <w:rPr>
            <w:rFonts w:ascii="Times New Roman" w:hAnsi="Times New Roman"/>
            <w:color w:val="0000FF"/>
            <w:sz w:val="24"/>
            <w:szCs w:val="24"/>
            <w:u w:val="single"/>
          </w:rPr>
          <w:t>http://www.eurocities.eu/eurocities/home</w:t>
        </w:r>
      </w:hyperlink>
    </w:p>
    <w:p w:rsidR="00AA4661" w:rsidRPr="00F8728A" w:rsidRDefault="00AA4661">
      <w:pPr>
        <w:widowControl w:val="0"/>
        <w:spacing w:after="0"/>
        <w:rPr>
          <w:rStyle w:val="Heading5Char"/>
          <w:rFonts w:ascii="Calibri" w:eastAsia="Times New Roman" w:hAnsi="Calibri"/>
          <w:sz w:val="24"/>
          <w:szCs w:val="24"/>
          <w:u w:val="single"/>
          <w:lang w:eastAsia="bg-BG"/>
        </w:rPr>
      </w:pPr>
      <w:r w:rsidRPr="00F8728A">
        <w:rPr>
          <w:rStyle w:val="Heading5Char"/>
          <w:rFonts w:ascii="Calibri" w:eastAsia="Times New Roman" w:hAnsi="Calibri"/>
          <w:sz w:val="24"/>
          <w:szCs w:val="24"/>
          <w:u w:val="single"/>
          <w:lang w:eastAsia="bg-BG"/>
        </w:rPr>
        <w:br w:type="page"/>
      </w:r>
    </w:p>
    <w:p w:rsidR="00AA4661" w:rsidRPr="00ED3916" w:rsidRDefault="00AA4661" w:rsidP="00CF297A">
      <w:pPr>
        <w:pStyle w:val="Heading5"/>
        <w:keepNext w:val="0"/>
        <w:keepLines w:val="0"/>
        <w:numPr>
          <w:ilvl w:val="0"/>
          <w:numId w:val="46"/>
        </w:numPr>
        <w:spacing w:before="120" w:after="60" w:line="276" w:lineRule="auto"/>
        <w:jc w:val="both"/>
        <w:rPr>
          <w:rStyle w:val="Heading5Char"/>
          <w:rFonts w:ascii="Calibri" w:hAnsi="Calibri"/>
          <w:sz w:val="24"/>
          <w:szCs w:val="24"/>
          <w:u w:val="single"/>
          <w:lang w:val="bg-BG" w:eastAsia="bg-BG"/>
        </w:rPr>
      </w:pPr>
      <w:r w:rsidRPr="00B73D7E">
        <w:rPr>
          <w:rStyle w:val="Heading5Char"/>
          <w:rFonts w:ascii="Calibri" w:hAnsi="Calibri"/>
          <w:sz w:val="24"/>
          <w:szCs w:val="24"/>
          <w:u w:val="single"/>
          <w:lang w:val="bg-BG" w:eastAsia="bg-BG"/>
        </w:rPr>
        <w:t>КОНВЕНТ НА КМЕТОВЕТЕ ЗА КЛИМАТ И ЕНЕРГИЯ. ПРОЕКТ И МРЕЖА</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Описание: </w:t>
      </w:r>
      <w:r w:rsidRPr="00F8728A">
        <w:rPr>
          <w:rFonts w:ascii="Times New Roman" w:hAnsi="Times New Roman"/>
          <w:sz w:val="24"/>
          <w:szCs w:val="24"/>
        </w:rPr>
        <w:t>Конвентът на кметовете за климата и енергетиката обединява местните и регионалните власти, поели доброволен ангажимент да изпълняват целите на ЕС за климата и енергия на своята територия. Страните подават ПДУЕК, който обхваща както ограничаването, така и адаптирането, в рамките на две години от официалното подписване. ПДУЕК се основава на Базова инвентаризация на емисиите и Оценка на климатичните рискове и уязвимостта. Страните отчитат напредъка всеки две години.</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Участващи партньори:</w:t>
      </w:r>
      <w:r w:rsidRPr="00F8728A">
        <w:rPr>
          <w:rFonts w:ascii="Times New Roman" w:hAnsi="Times New Roman"/>
          <w:sz w:val="24"/>
          <w:szCs w:val="24"/>
        </w:rPr>
        <w:t xml:space="preserve"> 62 страни, 6</w:t>
      </w:r>
      <w:r w:rsidR="00A147B2">
        <w:rPr>
          <w:rFonts w:ascii="Times New Roman" w:hAnsi="Times New Roman"/>
          <w:sz w:val="24"/>
          <w:szCs w:val="24"/>
        </w:rPr>
        <w:t xml:space="preserve"> </w:t>
      </w:r>
      <w:r w:rsidRPr="00F8728A">
        <w:rPr>
          <w:rFonts w:ascii="Times New Roman" w:hAnsi="Times New Roman"/>
          <w:sz w:val="24"/>
          <w:szCs w:val="24"/>
        </w:rPr>
        <w:t>787 града (кмета)</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Българско участие</w:t>
      </w:r>
      <w:r w:rsidRPr="00F8728A">
        <w:rPr>
          <w:rFonts w:ascii="Times New Roman" w:hAnsi="Times New Roman"/>
          <w:sz w:val="24"/>
          <w:szCs w:val="24"/>
        </w:rPr>
        <w:t xml:space="preserve"> 25 града: Аксаково, Асеновград, Бургас, Чепеларе, Димитровград, Добрич, Габрово, Генерал Тошево, Ихтиман, Карлово, Костинброд, Козлодуй, Криводол, Крушари, Лом, Мездра, Мизия, Оряхово, Павликени, Петрич, Смолян, София, Трън, Варна, Враца</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Уебсайт: </w:t>
      </w:r>
      <w:hyperlink r:id="rId155" w:history="1">
        <w:r w:rsidRPr="00F8728A">
          <w:rPr>
            <w:rFonts w:ascii="Times New Roman" w:hAnsi="Times New Roman"/>
            <w:color w:val="0000FF"/>
            <w:sz w:val="24"/>
            <w:szCs w:val="24"/>
            <w:u w:val="single"/>
          </w:rPr>
          <w:t>http://www.covenantofmayors.eu/about/covenant-of-mayors_en.html</w:t>
        </w:r>
      </w:hyperlink>
    </w:p>
    <w:p w:rsidR="00AA4661" w:rsidRPr="00ED3916" w:rsidRDefault="00AA4661" w:rsidP="00CF297A">
      <w:pPr>
        <w:pStyle w:val="Heading5"/>
        <w:keepNext w:val="0"/>
        <w:keepLines w:val="0"/>
        <w:numPr>
          <w:ilvl w:val="0"/>
          <w:numId w:val="46"/>
        </w:numPr>
        <w:spacing w:before="120" w:after="60" w:line="276" w:lineRule="auto"/>
        <w:jc w:val="both"/>
        <w:rPr>
          <w:rStyle w:val="Heading5Char"/>
          <w:rFonts w:ascii="Calibri" w:hAnsi="Calibri"/>
          <w:sz w:val="24"/>
          <w:szCs w:val="24"/>
          <w:u w:val="single"/>
          <w:lang w:val="bg-BG" w:eastAsia="bg-BG"/>
        </w:rPr>
      </w:pPr>
      <w:r w:rsidRPr="00B73D7E">
        <w:rPr>
          <w:rStyle w:val="Heading5Char"/>
          <w:rFonts w:ascii="Calibri" w:hAnsi="Calibri"/>
          <w:sz w:val="24"/>
          <w:szCs w:val="24"/>
          <w:u w:val="single"/>
          <w:lang w:val="bg-BG" w:eastAsia="bg-BG"/>
        </w:rPr>
        <w:t>ЗЕЛЕНАТА ЦИФРОВА ХАРТА ПРОЕКТ И МРЕЖА</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Описание: </w:t>
      </w:r>
      <w:r w:rsidRPr="00F8728A">
        <w:rPr>
          <w:rFonts w:ascii="Times New Roman" w:hAnsi="Times New Roman"/>
          <w:sz w:val="24"/>
          <w:szCs w:val="24"/>
        </w:rPr>
        <w:t>Зелената цифрова харта ангажира градовете да: а) понижават емисиите чрез ICT; б) насърчават напредъка в справянето с климатичните промени чрез иновативно използване на цифрови технологии в градовете.</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Кой може да подписва: </w:t>
      </w:r>
      <w:r w:rsidRPr="00F8728A">
        <w:rPr>
          <w:rFonts w:ascii="Times New Roman" w:hAnsi="Times New Roman"/>
          <w:sz w:val="24"/>
          <w:szCs w:val="24"/>
        </w:rPr>
        <w:t>Основни градове от ЕС, Асоциацията за свободна търговия ЕАСТ, присъединяващи се, страни кандидатки и потенциални кандидатки, за предпочитане с население над 250</w:t>
      </w:r>
      <w:r w:rsidR="00A147B2">
        <w:rPr>
          <w:rFonts w:ascii="Times New Roman" w:hAnsi="Times New Roman"/>
          <w:sz w:val="24"/>
          <w:szCs w:val="24"/>
        </w:rPr>
        <w:t xml:space="preserve"> </w:t>
      </w:r>
      <w:r w:rsidRPr="00F8728A">
        <w:rPr>
          <w:rFonts w:ascii="Times New Roman" w:hAnsi="Times New Roman"/>
          <w:sz w:val="24"/>
          <w:szCs w:val="24"/>
        </w:rPr>
        <w:t>000 жители или от международно и регионално значение</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Участващи партньори:</w:t>
      </w:r>
      <w:r w:rsidRPr="00F8728A">
        <w:rPr>
          <w:rFonts w:ascii="Times New Roman" w:hAnsi="Times New Roman"/>
          <w:sz w:val="24"/>
          <w:szCs w:val="24"/>
        </w:rPr>
        <w:t xml:space="preserve"> 50 европейски града от 21 държави, включително 14 столици. Представляват над 26 милиона европейски граждани</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Българско участие</w:t>
      </w:r>
      <w:r w:rsidRPr="00F8728A">
        <w:rPr>
          <w:rFonts w:ascii="Times New Roman" w:hAnsi="Times New Roman"/>
          <w:sz w:val="24"/>
          <w:szCs w:val="24"/>
        </w:rPr>
        <w:t xml:space="preserve"> Гр. Бургас</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Уебсайт: </w:t>
      </w:r>
      <w:r w:rsidRPr="00F8728A">
        <w:rPr>
          <w:rFonts w:ascii="Times New Roman" w:hAnsi="Times New Roman"/>
          <w:sz w:val="24"/>
          <w:szCs w:val="24"/>
        </w:rPr>
        <w:t xml:space="preserve"> </w:t>
      </w:r>
      <w:hyperlink r:id="rId156" w:history="1">
        <w:r w:rsidRPr="00F8728A">
          <w:rPr>
            <w:rFonts w:ascii="Times New Roman" w:hAnsi="Times New Roman"/>
            <w:color w:val="0000FF"/>
            <w:sz w:val="24"/>
            <w:szCs w:val="24"/>
            <w:u w:val="single"/>
          </w:rPr>
          <w:t>http://www.greendigitalcharter.eu/</w:t>
        </w:r>
      </w:hyperlink>
    </w:p>
    <w:p w:rsidR="00AA4661" w:rsidRPr="00ED3916" w:rsidRDefault="00AA4661" w:rsidP="00CF297A">
      <w:pPr>
        <w:pStyle w:val="Heading5"/>
        <w:keepNext w:val="0"/>
        <w:keepLines w:val="0"/>
        <w:numPr>
          <w:ilvl w:val="0"/>
          <w:numId w:val="46"/>
        </w:numPr>
        <w:spacing w:before="120" w:after="60" w:line="276" w:lineRule="auto"/>
        <w:jc w:val="both"/>
        <w:rPr>
          <w:rStyle w:val="Heading5Char"/>
          <w:rFonts w:ascii="Calibri" w:hAnsi="Calibri"/>
          <w:sz w:val="24"/>
          <w:szCs w:val="24"/>
          <w:u w:val="single"/>
          <w:lang w:val="bg-BG" w:eastAsia="bg-BG"/>
        </w:rPr>
      </w:pPr>
      <w:r w:rsidRPr="00B73D7E">
        <w:rPr>
          <w:rStyle w:val="Heading5Char"/>
          <w:rFonts w:ascii="Calibri" w:hAnsi="Calibri"/>
          <w:sz w:val="24"/>
          <w:szCs w:val="24"/>
          <w:u w:val="single"/>
          <w:lang w:val="bg-BG" w:eastAsia="bg-BG"/>
        </w:rPr>
        <w:t>ПРОЕКТ NiCE – Мрежа на интелигентни градове за Енергийна Ефективност</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Финансиране: </w:t>
      </w:r>
      <w:r w:rsidRPr="00F8728A">
        <w:rPr>
          <w:rFonts w:ascii="Times New Roman" w:hAnsi="Times New Roman"/>
          <w:sz w:val="24"/>
          <w:szCs w:val="24"/>
        </w:rPr>
        <w:t xml:space="preserve">7-ма рамкова програма за изследване и технологично развитие (FP7) </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Описание: </w:t>
      </w:r>
      <w:r w:rsidRPr="00F8728A">
        <w:rPr>
          <w:rFonts w:ascii="Times New Roman" w:hAnsi="Times New Roman"/>
          <w:sz w:val="24"/>
          <w:szCs w:val="24"/>
        </w:rPr>
        <w:t>Проектът подкрепя градовете в постигането на техните цели съгласно набелязаното от Зелената цифрова харта относно намаляването на емисиите чрез информационни и комуникационни гехнологии  и насърчаването на напредъка в справянето с климатичните промени чрез иновативно използване на цифрови технологии в градовете.</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Участващи партньори:</w:t>
      </w:r>
      <w:r w:rsidRPr="00F8728A">
        <w:rPr>
          <w:rFonts w:ascii="Times New Roman" w:hAnsi="Times New Roman"/>
          <w:sz w:val="24"/>
          <w:szCs w:val="24"/>
        </w:rPr>
        <w:t xml:space="preserve"> Градове от МРЕЖАТА НА ЗЕЛЕНАТА ЦИФРОВА ХАРТА</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Българско участие</w:t>
      </w:r>
      <w:r w:rsidRPr="00F8728A">
        <w:rPr>
          <w:rFonts w:ascii="Times New Roman" w:hAnsi="Times New Roman"/>
          <w:sz w:val="24"/>
          <w:szCs w:val="24"/>
        </w:rPr>
        <w:t xml:space="preserve"> Гр. Бургас</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Уебсайт: </w:t>
      </w:r>
      <w:r w:rsidRPr="00F8728A">
        <w:rPr>
          <w:rFonts w:ascii="Times New Roman" w:hAnsi="Times New Roman"/>
          <w:sz w:val="24"/>
          <w:szCs w:val="24"/>
        </w:rPr>
        <w:t xml:space="preserve"> </w:t>
      </w:r>
      <w:hyperlink r:id="rId157" w:history="1">
        <w:r w:rsidRPr="00F8728A">
          <w:rPr>
            <w:rFonts w:ascii="Times New Roman" w:hAnsi="Times New Roman"/>
            <w:color w:val="0000FF"/>
            <w:sz w:val="24"/>
            <w:szCs w:val="24"/>
            <w:u w:val="single"/>
          </w:rPr>
          <w:t>http://www.greendigitalcharter.eu/projects/niceproject</w:t>
        </w:r>
      </w:hyperlink>
    </w:p>
    <w:p w:rsidR="00AA4661" w:rsidRPr="00F8728A" w:rsidRDefault="00AA4661">
      <w:pPr>
        <w:widowControl w:val="0"/>
        <w:spacing w:after="0"/>
        <w:rPr>
          <w:rFonts w:ascii="Calibri" w:hAnsi="Calibri"/>
          <w:bCs/>
          <w:i/>
          <w:iCs/>
          <w:color w:val="2F5496"/>
          <w:sz w:val="24"/>
          <w:szCs w:val="24"/>
        </w:rPr>
      </w:pPr>
      <w:r w:rsidRPr="00F8728A">
        <w:rPr>
          <w:rFonts w:ascii="Calibri" w:hAnsi="Calibri"/>
          <w:bCs/>
          <w:color w:val="2F5496"/>
        </w:rPr>
        <w:br w:type="page"/>
      </w:r>
    </w:p>
    <w:p w:rsidR="00AA4661" w:rsidRPr="00F8728A" w:rsidRDefault="00AA4661" w:rsidP="00491557">
      <w:pPr>
        <w:pStyle w:val="Heading4"/>
        <w:numPr>
          <w:ilvl w:val="0"/>
          <w:numId w:val="9"/>
        </w:numPr>
        <w:rPr>
          <w:lang w:val="bg-BG"/>
        </w:rPr>
      </w:pPr>
      <w:r w:rsidRPr="00F8728A">
        <w:rPr>
          <w:lang w:val="bg-BG"/>
        </w:rPr>
        <w:t>Проекти, тясно свързани с екологичните проблеми, териториалния аспект, с подходящи партньори региони, общини</w:t>
      </w:r>
    </w:p>
    <w:p w:rsidR="00AA4661" w:rsidRPr="00ED3916" w:rsidRDefault="00AA4661" w:rsidP="00CF297A">
      <w:pPr>
        <w:pStyle w:val="Heading5"/>
        <w:keepNext w:val="0"/>
        <w:keepLines w:val="0"/>
        <w:numPr>
          <w:ilvl w:val="0"/>
          <w:numId w:val="46"/>
        </w:numPr>
        <w:spacing w:before="120" w:after="60" w:line="276" w:lineRule="auto"/>
        <w:jc w:val="both"/>
        <w:rPr>
          <w:rStyle w:val="Heading5Char"/>
          <w:rFonts w:ascii="Calibri" w:hAnsi="Calibri"/>
          <w:sz w:val="24"/>
          <w:szCs w:val="24"/>
          <w:u w:val="single"/>
          <w:lang w:val="bg-BG" w:eastAsia="bg-BG"/>
        </w:rPr>
      </w:pPr>
      <w:r w:rsidRPr="00B73D7E">
        <w:rPr>
          <w:rStyle w:val="Heading5Char"/>
          <w:rFonts w:ascii="Calibri" w:hAnsi="Calibri"/>
          <w:sz w:val="24"/>
          <w:szCs w:val="24"/>
          <w:u w:val="single"/>
          <w:lang w:val="bg-BG" w:eastAsia="bg-BG"/>
        </w:rPr>
        <w:t>ПРОГРАМА ЗА ТГС (трансгранично сътрудничество) РУМЪНИЯ - БЪЛГАРИЯ</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Финансиране: </w:t>
      </w:r>
      <w:r w:rsidRPr="00F8728A">
        <w:rPr>
          <w:rFonts w:ascii="Times New Roman" w:hAnsi="Times New Roman"/>
          <w:sz w:val="24"/>
          <w:szCs w:val="24"/>
        </w:rPr>
        <w:t>Интеррег V-A</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Описание: </w:t>
      </w:r>
      <w:r w:rsidRPr="00F8728A">
        <w:rPr>
          <w:rFonts w:ascii="Times New Roman" w:hAnsi="Times New Roman"/>
          <w:sz w:val="24"/>
          <w:szCs w:val="24"/>
        </w:rPr>
        <w:t xml:space="preserve">Програмата има шест приоритетни оси, две от които са тясно свързани с настоящото изследване: “Зелен регион”, “Безопасен регион”. Важен момент е фактът, че програмата дава възможност на по-малките градове, които не са подходящи най-вече заради броя на населението си за други по-големи проекти и мрежи, да участват в програми за градско развитие на ЕС. </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Допустими партньори:</w:t>
      </w:r>
      <w:r w:rsidRPr="00F8728A">
        <w:rPr>
          <w:rFonts w:ascii="Times New Roman" w:hAnsi="Times New Roman"/>
          <w:sz w:val="24"/>
          <w:szCs w:val="24"/>
        </w:rPr>
        <w:t xml:space="preserve"> Регионални и/или местни власти, институции и др. Местоположение или фокус на проекта върху територията на програмата. </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Допустима българска област:</w:t>
      </w:r>
      <w:r w:rsidRPr="00F8728A">
        <w:rPr>
          <w:rFonts w:ascii="Times New Roman" w:hAnsi="Times New Roman"/>
          <w:sz w:val="24"/>
          <w:szCs w:val="24"/>
        </w:rPr>
        <w:t xml:space="preserve"> 8 български общини в района на р. Дунав: Видин, Враца, Монтана, Плевен, Велико Търново, Русе, Силистра, Добрич.</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Уебсайт: </w:t>
      </w:r>
      <w:r w:rsidRPr="00F8728A">
        <w:rPr>
          <w:rFonts w:ascii="Times New Roman" w:hAnsi="Times New Roman"/>
          <w:sz w:val="24"/>
          <w:szCs w:val="24"/>
        </w:rPr>
        <w:t xml:space="preserve"> </w:t>
      </w:r>
      <w:hyperlink r:id="rId158" w:history="1">
        <w:r w:rsidRPr="00F8728A">
          <w:rPr>
            <w:rFonts w:ascii="Times New Roman" w:hAnsi="Times New Roman"/>
            <w:color w:val="0000FF"/>
            <w:sz w:val="24"/>
            <w:szCs w:val="24"/>
            <w:u w:val="single"/>
          </w:rPr>
          <w:t>http://www.fpdd.bg/en/page/cbc_bg-ro</w:t>
        </w:r>
      </w:hyperlink>
    </w:p>
    <w:p w:rsidR="00AA4661" w:rsidRPr="00ED3916" w:rsidRDefault="00AA4661" w:rsidP="00CF297A">
      <w:pPr>
        <w:pStyle w:val="Heading5"/>
        <w:keepNext w:val="0"/>
        <w:keepLines w:val="0"/>
        <w:numPr>
          <w:ilvl w:val="0"/>
          <w:numId w:val="46"/>
        </w:numPr>
        <w:spacing w:before="120" w:after="60" w:line="276" w:lineRule="auto"/>
        <w:jc w:val="both"/>
        <w:rPr>
          <w:rStyle w:val="Heading5Char"/>
          <w:rFonts w:ascii="Calibri" w:hAnsi="Calibri"/>
          <w:sz w:val="24"/>
          <w:szCs w:val="24"/>
          <w:u w:val="single"/>
          <w:lang w:val="bg-BG" w:eastAsia="bg-BG"/>
        </w:rPr>
      </w:pPr>
      <w:r w:rsidRPr="00B73D7E">
        <w:rPr>
          <w:rStyle w:val="Heading5Char"/>
          <w:rFonts w:ascii="Calibri" w:hAnsi="Calibri"/>
          <w:sz w:val="24"/>
          <w:szCs w:val="24"/>
          <w:u w:val="single"/>
          <w:lang w:val="bg-BG" w:eastAsia="bg-BG"/>
        </w:rPr>
        <w:t>ПРОГРАМА ЗА ТГС (трансгранично сътрудничество) БЪЛГАРИЯ - СЪРБИЯ</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Финансиране: </w:t>
      </w:r>
      <w:r w:rsidR="00CD1039">
        <w:rPr>
          <w:rFonts w:ascii="Times New Roman" w:hAnsi="Times New Roman"/>
          <w:sz w:val="24"/>
          <w:szCs w:val="24"/>
        </w:rPr>
        <w:t xml:space="preserve">ЕФРР и Инструмент за предприсъединителна помощ (ИПП </w:t>
      </w:r>
      <w:r w:rsidR="00CD1039">
        <w:rPr>
          <w:rFonts w:ascii="Times New Roman" w:hAnsi="Times New Roman"/>
          <w:sz w:val="24"/>
          <w:szCs w:val="24"/>
          <w:lang w:val="en-US"/>
        </w:rPr>
        <w:t>II)</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Описание: </w:t>
      </w:r>
      <w:r w:rsidRPr="00F8728A">
        <w:rPr>
          <w:rFonts w:ascii="Times New Roman" w:hAnsi="Times New Roman"/>
          <w:sz w:val="24"/>
          <w:szCs w:val="24"/>
        </w:rPr>
        <w:t>Програмата INTERREG – Инструмент за предприсъединителна помощ (ИПП) ТГС България - Сърбия ще финансира проекти, свързани с развитието на устойчивия туризъм, младежта и околната среда. Общата сума на бюджета на програмите е 34.102.256 евро.</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Допустима област:</w:t>
      </w:r>
      <w:r w:rsidRPr="00F8728A">
        <w:rPr>
          <w:rFonts w:ascii="Times New Roman" w:hAnsi="Times New Roman"/>
          <w:sz w:val="24"/>
          <w:szCs w:val="24"/>
        </w:rPr>
        <w:t xml:space="preserve"> Допустимата област на Програмата покрива регионите по NUTS III (Номенклатурна единица на териториалната статистика от ниво 3 – област) или еквивалентни, разположени на границата между двете партньорски държави.</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Допустима българска област:</w:t>
      </w:r>
      <w:r w:rsidRPr="00F8728A">
        <w:rPr>
          <w:rFonts w:ascii="Times New Roman" w:hAnsi="Times New Roman"/>
          <w:sz w:val="24"/>
          <w:szCs w:val="24"/>
        </w:rPr>
        <w:t xml:space="preserve"> 6 български области: Видин, Монтана, Враца, София, Перник и Кюстендил.</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Уебсайт: </w:t>
      </w:r>
      <w:r w:rsidRPr="00F8728A">
        <w:rPr>
          <w:rFonts w:ascii="Times New Roman" w:hAnsi="Times New Roman"/>
          <w:sz w:val="24"/>
          <w:szCs w:val="24"/>
        </w:rPr>
        <w:t xml:space="preserve"> </w:t>
      </w:r>
      <w:hyperlink r:id="rId159" w:history="1">
        <w:r w:rsidRPr="00F8728A">
          <w:rPr>
            <w:rFonts w:ascii="Times New Roman" w:hAnsi="Times New Roman"/>
            <w:color w:val="0000FF"/>
            <w:sz w:val="24"/>
            <w:szCs w:val="24"/>
            <w:u w:val="single"/>
          </w:rPr>
          <w:t>http://www.ipacbc-bgrs.eu/</w:t>
        </w:r>
      </w:hyperlink>
    </w:p>
    <w:p w:rsidR="00AA4661" w:rsidRPr="00ED3916" w:rsidRDefault="00AA4661" w:rsidP="00CF297A">
      <w:pPr>
        <w:pStyle w:val="Heading5"/>
        <w:keepNext w:val="0"/>
        <w:keepLines w:val="0"/>
        <w:numPr>
          <w:ilvl w:val="0"/>
          <w:numId w:val="46"/>
        </w:numPr>
        <w:spacing w:before="120" w:after="60" w:line="276" w:lineRule="auto"/>
        <w:jc w:val="both"/>
        <w:rPr>
          <w:rStyle w:val="Heading5Char"/>
          <w:rFonts w:ascii="Calibri" w:hAnsi="Calibri"/>
          <w:sz w:val="24"/>
          <w:szCs w:val="24"/>
          <w:u w:val="single"/>
          <w:lang w:val="bg-BG" w:eastAsia="bg-BG"/>
        </w:rPr>
      </w:pPr>
      <w:r w:rsidRPr="00B73D7E">
        <w:rPr>
          <w:rStyle w:val="Heading5Char"/>
          <w:rFonts w:ascii="Calibri" w:hAnsi="Calibri"/>
          <w:sz w:val="24"/>
          <w:szCs w:val="24"/>
          <w:u w:val="single"/>
          <w:lang w:val="bg-BG" w:eastAsia="bg-BG"/>
        </w:rPr>
        <w:t>ПРОГРАМА ЗА ТГС (трансгранично сътрудничество) БЪЛГАРИЯ - МАКЕДОНИЯ</w:t>
      </w:r>
    </w:p>
    <w:p w:rsidR="00AA4661" w:rsidRPr="00B73D7E" w:rsidRDefault="00AA4661" w:rsidP="00776E5B">
      <w:pPr>
        <w:spacing w:after="60" w:line="276" w:lineRule="auto"/>
        <w:jc w:val="both"/>
        <w:rPr>
          <w:rFonts w:ascii="Times New Roman" w:hAnsi="Times New Roman"/>
          <w:sz w:val="24"/>
          <w:szCs w:val="24"/>
          <w:lang w:val="en-US"/>
        </w:rPr>
      </w:pPr>
      <w:r w:rsidRPr="00F8728A">
        <w:rPr>
          <w:rFonts w:ascii="Times New Roman" w:hAnsi="Times New Roman"/>
          <w:b/>
          <w:sz w:val="24"/>
          <w:szCs w:val="24"/>
        </w:rPr>
        <w:t xml:space="preserve">Финансиране: </w:t>
      </w:r>
      <w:r w:rsidR="00CD1039">
        <w:rPr>
          <w:rFonts w:ascii="Times New Roman" w:hAnsi="Times New Roman"/>
          <w:sz w:val="24"/>
          <w:szCs w:val="24"/>
        </w:rPr>
        <w:t>ЕФРР и Инструмент за предприсъединителна помощ (ИПП</w:t>
      </w:r>
      <w:r w:rsidR="00CD1039">
        <w:rPr>
          <w:rFonts w:ascii="Times New Roman" w:hAnsi="Times New Roman"/>
          <w:sz w:val="24"/>
          <w:szCs w:val="24"/>
          <w:lang w:val="en-US"/>
        </w:rPr>
        <w:t xml:space="preserve"> II)</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Описание: </w:t>
      </w:r>
      <w:r w:rsidRPr="00F8728A">
        <w:rPr>
          <w:rFonts w:ascii="Times New Roman" w:hAnsi="Times New Roman"/>
          <w:sz w:val="24"/>
          <w:szCs w:val="24"/>
        </w:rPr>
        <w:t>Програмата INTERREG-IPA ТГС България - Македония се концентрира върху мерките, целящи ограничаването на въздействията на промените в климата и справянето с проблемите, свързани с опазването на природата и биоразнообразието, устойчивото използване на природните ресурси, защитата на околната среда и управлението на риска на трансгранично ниво.</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Допустима област:</w:t>
      </w:r>
      <w:r w:rsidRPr="00F8728A">
        <w:rPr>
          <w:rFonts w:ascii="Times New Roman" w:hAnsi="Times New Roman"/>
          <w:sz w:val="24"/>
          <w:szCs w:val="24"/>
        </w:rPr>
        <w:t xml:space="preserve"> Допустимата област на Програмата покрива регионите по NUTS III или еквивалентни, разположени на границата между двете партньорски държави.</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Допустима българска област:</w:t>
      </w:r>
      <w:r w:rsidRPr="00F8728A">
        <w:rPr>
          <w:rFonts w:ascii="Times New Roman" w:hAnsi="Times New Roman"/>
          <w:sz w:val="24"/>
          <w:szCs w:val="24"/>
        </w:rPr>
        <w:t xml:space="preserve"> Две български области: Кюстендил, Благоевград.</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Уебсайт: </w:t>
      </w:r>
      <w:r w:rsidRPr="00F8728A">
        <w:rPr>
          <w:rFonts w:ascii="Times New Roman" w:hAnsi="Times New Roman"/>
          <w:sz w:val="24"/>
          <w:szCs w:val="24"/>
        </w:rPr>
        <w:t xml:space="preserve"> </w:t>
      </w:r>
      <w:hyperlink r:id="rId160" w:history="1">
        <w:r w:rsidRPr="00F8728A">
          <w:rPr>
            <w:rFonts w:ascii="Times New Roman" w:hAnsi="Times New Roman"/>
            <w:color w:val="0000FF"/>
            <w:sz w:val="24"/>
            <w:szCs w:val="24"/>
            <w:u w:val="single"/>
          </w:rPr>
          <w:t>http://www.ipa-cbc-007.eu/</w:t>
        </w:r>
      </w:hyperlink>
    </w:p>
    <w:p w:rsidR="00AA4661" w:rsidRPr="00F8728A" w:rsidRDefault="00AA4661">
      <w:pPr>
        <w:widowControl w:val="0"/>
        <w:spacing w:after="0"/>
        <w:rPr>
          <w:rStyle w:val="Heading5Char"/>
          <w:rFonts w:ascii="Calibri" w:eastAsia="Times New Roman" w:hAnsi="Calibri"/>
          <w:sz w:val="24"/>
          <w:szCs w:val="24"/>
          <w:u w:val="single"/>
          <w:lang w:eastAsia="bg-BG"/>
        </w:rPr>
      </w:pPr>
      <w:r w:rsidRPr="00F8728A">
        <w:rPr>
          <w:rStyle w:val="Heading5Char"/>
          <w:rFonts w:ascii="Calibri" w:eastAsia="Times New Roman" w:hAnsi="Calibri"/>
          <w:sz w:val="24"/>
          <w:szCs w:val="24"/>
          <w:u w:val="single"/>
          <w:lang w:eastAsia="bg-BG"/>
        </w:rPr>
        <w:br w:type="page"/>
      </w:r>
    </w:p>
    <w:p w:rsidR="00AA4661" w:rsidRPr="00ED3916" w:rsidRDefault="00AA4661" w:rsidP="00CF297A">
      <w:pPr>
        <w:pStyle w:val="Heading5"/>
        <w:keepNext w:val="0"/>
        <w:keepLines w:val="0"/>
        <w:numPr>
          <w:ilvl w:val="0"/>
          <w:numId w:val="46"/>
        </w:numPr>
        <w:spacing w:before="120" w:after="60" w:line="276" w:lineRule="auto"/>
        <w:jc w:val="both"/>
        <w:rPr>
          <w:rStyle w:val="Heading5Char"/>
          <w:rFonts w:ascii="Calibri" w:hAnsi="Calibri"/>
          <w:sz w:val="24"/>
          <w:szCs w:val="24"/>
          <w:u w:val="single"/>
          <w:lang w:val="bg-BG" w:eastAsia="bg-BG"/>
        </w:rPr>
      </w:pPr>
      <w:r w:rsidRPr="00B73D7E">
        <w:rPr>
          <w:rStyle w:val="Heading5Char"/>
          <w:rFonts w:ascii="Calibri" w:hAnsi="Calibri"/>
          <w:sz w:val="24"/>
          <w:szCs w:val="24"/>
          <w:u w:val="single"/>
          <w:lang w:val="bg-BG" w:eastAsia="bg-BG"/>
        </w:rPr>
        <w:t>ПРОГРАМА ЗА ТГС (трансгранично сътрудничество) БЪЛГАРИЯ - ТУРЦИЯ</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Финансиране: </w:t>
      </w:r>
      <w:r w:rsidR="00CD1039">
        <w:rPr>
          <w:rFonts w:ascii="Times New Roman" w:hAnsi="Times New Roman"/>
          <w:sz w:val="24"/>
          <w:szCs w:val="24"/>
        </w:rPr>
        <w:t>Инструмент за предприсъединителна помощ (ИПП и национално публично съфинансиране.</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Описание: </w:t>
      </w:r>
      <w:r w:rsidRPr="00F8728A">
        <w:rPr>
          <w:rFonts w:ascii="Times New Roman" w:hAnsi="Times New Roman"/>
          <w:sz w:val="24"/>
          <w:szCs w:val="24"/>
        </w:rPr>
        <w:t>Програмата INTERREG-IPA ТГС България - Турция ще финансира проекти, свързани с развитието на устойчивия туризъм и околната среда.</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Допустима област:</w:t>
      </w:r>
      <w:r w:rsidRPr="00F8728A">
        <w:rPr>
          <w:rFonts w:ascii="Times New Roman" w:hAnsi="Times New Roman"/>
          <w:sz w:val="24"/>
          <w:szCs w:val="24"/>
        </w:rPr>
        <w:t xml:space="preserve"> Допустимата област на Програмата покрива регионите по NUTS III или еквивалентни, разположени на границата между двете партньорски държави.</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Допустима българска област:</w:t>
      </w:r>
      <w:r w:rsidRPr="00F8728A">
        <w:rPr>
          <w:rFonts w:ascii="Times New Roman" w:hAnsi="Times New Roman"/>
          <w:sz w:val="24"/>
          <w:szCs w:val="24"/>
        </w:rPr>
        <w:t xml:space="preserve"> 3 български области: Бургас, Ямбол и Хасково.</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Уебсайт: </w:t>
      </w:r>
      <w:r w:rsidRPr="00F8728A">
        <w:rPr>
          <w:rFonts w:ascii="Times New Roman" w:hAnsi="Times New Roman"/>
          <w:sz w:val="24"/>
          <w:szCs w:val="24"/>
        </w:rPr>
        <w:t xml:space="preserve"> </w:t>
      </w:r>
      <w:hyperlink r:id="rId161" w:history="1">
        <w:r w:rsidRPr="00F8728A">
          <w:rPr>
            <w:rFonts w:ascii="Times New Roman" w:hAnsi="Times New Roman"/>
            <w:color w:val="0000FF"/>
            <w:sz w:val="24"/>
            <w:szCs w:val="24"/>
            <w:u w:val="single"/>
          </w:rPr>
          <w:t>https://www.ipacbc-bgtr.eu/</w:t>
        </w:r>
      </w:hyperlink>
    </w:p>
    <w:p w:rsidR="00AA4661" w:rsidRPr="00ED3916" w:rsidRDefault="00AA4661" w:rsidP="00CF297A">
      <w:pPr>
        <w:pStyle w:val="Heading5"/>
        <w:keepNext w:val="0"/>
        <w:keepLines w:val="0"/>
        <w:numPr>
          <w:ilvl w:val="0"/>
          <w:numId w:val="46"/>
        </w:numPr>
        <w:spacing w:before="120" w:after="60" w:line="276" w:lineRule="auto"/>
        <w:jc w:val="both"/>
        <w:rPr>
          <w:rStyle w:val="Heading5Char"/>
          <w:rFonts w:ascii="Calibri" w:hAnsi="Calibri"/>
          <w:sz w:val="24"/>
          <w:szCs w:val="24"/>
          <w:u w:val="single"/>
          <w:lang w:val="bg-BG" w:eastAsia="bg-BG"/>
        </w:rPr>
      </w:pPr>
      <w:r w:rsidRPr="00B73D7E">
        <w:rPr>
          <w:rStyle w:val="Heading5Char"/>
          <w:rFonts w:ascii="Calibri" w:hAnsi="Calibri"/>
          <w:sz w:val="24"/>
          <w:szCs w:val="24"/>
          <w:u w:val="single"/>
          <w:lang w:val="bg-BG" w:eastAsia="bg-BG"/>
        </w:rPr>
        <w:t xml:space="preserve">ПРОГРАМА ЗА ТРАНСНАЦИОНАЛНО СЪТРУДНИЧЕСТВО “ДУНАВ” (ПТСД) </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Финансиране: ИНТЕРРЕГ </w:t>
      </w:r>
      <w:r w:rsidRPr="00F8728A">
        <w:rPr>
          <w:rFonts w:ascii="Times New Roman" w:hAnsi="Times New Roman"/>
          <w:sz w:val="24"/>
          <w:szCs w:val="24"/>
        </w:rPr>
        <w:t xml:space="preserve">ЕФРР, Европейски инструмент за съседство (ЕИС) </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Описание:</w:t>
      </w:r>
      <w:r w:rsidRPr="00F8728A">
        <w:rPr>
          <w:rFonts w:ascii="Times New Roman" w:hAnsi="Times New Roman"/>
          <w:sz w:val="24"/>
          <w:szCs w:val="24"/>
        </w:rPr>
        <w:t xml:space="preserve"> ПТСД има за цел постигането на по-високо ниво на икономическа, социална и териториална кохезия в дунавския регион чрез интеграция на политики в подбрани сфери Това е комплексна програма с широко географско покритие и политически контекст. Тя има 5 приоритетни оси, свързани тематично със Стратегията на ЕС за дунавския регион (СЕСДР)</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Допустима област:</w:t>
      </w:r>
      <w:r w:rsidRPr="00F8728A">
        <w:rPr>
          <w:rFonts w:ascii="Times New Roman" w:hAnsi="Times New Roman"/>
          <w:sz w:val="24"/>
          <w:szCs w:val="24"/>
        </w:rPr>
        <w:t xml:space="preserve"> 9 държави на ЕС (Австрия, България, Хърватия, Чехия, Германия - Баден-Вюртемберг и Бавария, Унгария, Румъния, Словакия, Словения) и 5 държави извън ЕС (Босна и Херцеговина, Република Молдова, Черна Гора, Сърбия, Украйна - четири провинции: Чернивецка област, Ивано-Франкивиска област, Закарпатска област и Област Одеса).</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Допустима българска област:</w:t>
      </w:r>
      <w:r w:rsidRPr="00F8728A">
        <w:rPr>
          <w:rFonts w:ascii="Times New Roman" w:hAnsi="Times New Roman"/>
          <w:sz w:val="24"/>
          <w:szCs w:val="24"/>
        </w:rPr>
        <w:t xml:space="preserve"> Всички 6 района от ниво 2 - NUTS II.</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Уебсайт: </w:t>
      </w:r>
      <w:r w:rsidRPr="00F8728A">
        <w:rPr>
          <w:rFonts w:ascii="Times New Roman" w:hAnsi="Times New Roman"/>
          <w:sz w:val="24"/>
          <w:szCs w:val="24"/>
        </w:rPr>
        <w:t xml:space="preserve"> </w:t>
      </w:r>
      <w:hyperlink r:id="rId162" w:history="1">
        <w:r w:rsidRPr="00F8728A">
          <w:rPr>
            <w:rFonts w:ascii="Times New Roman" w:hAnsi="Times New Roman"/>
            <w:color w:val="0000FF"/>
            <w:sz w:val="24"/>
            <w:szCs w:val="24"/>
            <w:u w:val="single"/>
          </w:rPr>
          <w:t>http://www.interreg-danube.eu/about-dtp</w:t>
        </w:r>
      </w:hyperlink>
      <w:r w:rsidRPr="00F8728A">
        <w:rPr>
          <w:rFonts w:ascii="Times New Roman" w:hAnsi="Times New Roman"/>
          <w:sz w:val="24"/>
          <w:szCs w:val="24"/>
        </w:rPr>
        <w:t xml:space="preserve"> </w:t>
      </w:r>
    </w:p>
    <w:p w:rsidR="00AA4661" w:rsidRPr="00ED3916" w:rsidRDefault="00AA4661" w:rsidP="00CF297A">
      <w:pPr>
        <w:pStyle w:val="Heading5"/>
        <w:keepNext w:val="0"/>
        <w:keepLines w:val="0"/>
        <w:numPr>
          <w:ilvl w:val="0"/>
          <w:numId w:val="46"/>
        </w:numPr>
        <w:spacing w:before="120" w:after="60" w:line="276" w:lineRule="auto"/>
        <w:jc w:val="both"/>
        <w:rPr>
          <w:rStyle w:val="Heading5Char"/>
          <w:rFonts w:ascii="Calibri" w:hAnsi="Calibri"/>
          <w:sz w:val="24"/>
          <w:szCs w:val="24"/>
          <w:u w:val="single"/>
          <w:lang w:val="bg-BG" w:eastAsia="bg-BG"/>
        </w:rPr>
      </w:pPr>
      <w:r w:rsidRPr="00B73D7E">
        <w:rPr>
          <w:rStyle w:val="Heading5Char"/>
          <w:rFonts w:ascii="Calibri" w:hAnsi="Calibri"/>
          <w:sz w:val="24"/>
          <w:szCs w:val="24"/>
          <w:u w:val="single"/>
          <w:lang w:val="bg-BG" w:eastAsia="bg-BG"/>
        </w:rPr>
        <w:t>BULGARIA – ROMANIA  Cross-Border MARitime Spatial PLANning in the Black Sea MARSPLAN-BS</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Финансиране: </w:t>
      </w:r>
      <w:r w:rsidRPr="00F8728A">
        <w:rPr>
          <w:rFonts w:ascii="Times New Roman" w:hAnsi="Times New Roman"/>
          <w:sz w:val="24"/>
          <w:szCs w:val="24"/>
        </w:rPr>
        <w:t>EU DG MARE</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Описание: </w:t>
      </w:r>
      <w:r w:rsidRPr="00F8728A">
        <w:rPr>
          <w:rFonts w:ascii="Times New Roman" w:hAnsi="Times New Roman"/>
          <w:sz w:val="24"/>
          <w:szCs w:val="24"/>
        </w:rPr>
        <w:t>Основната цел на проекта MARSPLAN-BS е подкрепата на осъществяването на Директивата на ЕС за морско пространствено планиране в Черноморския басейн, започвайки от държавите членки, Румъния и България, за създаване на международна мрежа за сътрудничество и обмен на информация.  Крайната цел е подготвянето на Морски пространствен план (MSP) за трансграничната територия  Румъния - България.</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Допустима област: </w:t>
      </w:r>
      <w:r w:rsidRPr="00F8728A">
        <w:rPr>
          <w:rFonts w:ascii="Times New Roman" w:hAnsi="Times New Roman"/>
          <w:sz w:val="24"/>
          <w:szCs w:val="24"/>
        </w:rPr>
        <w:t>Румънски и български морски територии/аквагорпи по Черноморието, пилотни проектни области Eforie и Sfantul Gheorghe (Румъния) и пристанище Бургас (България)</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Допустима българска област:</w:t>
      </w:r>
      <w:r w:rsidRPr="00F8728A">
        <w:rPr>
          <w:rFonts w:ascii="Times New Roman" w:hAnsi="Times New Roman"/>
          <w:sz w:val="24"/>
          <w:szCs w:val="24"/>
        </w:rPr>
        <w:t xml:space="preserve"> Области на пилотния проект в община Бургас </w:t>
      </w:r>
    </w:p>
    <w:p w:rsidR="00AA4661" w:rsidRPr="00F8728A" w:rsidRDefault="00AA4661" w:rsidP="00776E5B">
      <w:pPr>
        <w:spacing w:after="60" w:line="276" w:lineRule="auto"/>
        <w:jc w:val="both"/>
        <w:rPr>
          <w:rFonts w:ascii="Times New Roman" w:hAnsi="Times New Roman"/>
          <w:color w:val="0000FF"/>
          <w:sz w:val="24"/>
          <w:szCs w:val="24"/>
          <w:u w:val="single"/>
        </w:rPr>
        <w:sectPr w:rsidR="00AA4661" w:rsidRPr="00F8728A" w:rsidSect="00BB6564">
          <w:pgSz w:w="11906" w:h="16838"/>
          <w:pgMar w:top="1417" w:right="1417" w:bottom="1417" w:left="1417" w:header="708" w:footer="708" w:gutter="0"/>
          <w:cols w:space="708"/>
          <w:docGrid w:linePitch="360"/>
        </w:sectPr>
      </w:pPr>
      <w:r w:rsidRPr="00F8728A">
        <w:rPr>
          <w:rFonts w:ascii="Times New Roman" w:hAnsi="Times New Roman"/>
          <w:b/>
          <w:sz w:val="24"/>
          <w:szCs w:val="24"/>
        </w:rPr>
        <w:t xml:space="preserve">Уебсайт: </w:t>
      </w:r>
      <w:r w:rsidRPr="00F8728A">
        <w:rPr>
          <w:rFonts w:ascii="Times New Roman" w:hAnsi="Times New Roman"/>
          <w:sz w:val="24"/>
          <w:szCs w:val="24"/>
        </w:rPr>
        <w:t xml:space="preserve"> </w:t>
      </w:r>
      <w:r w:rsidRPr="00F8728A">
        <w:rPr>
          <w:rFonts w:ascii="Times New Roman" w:hAnsi="Times New Roman"/>
          <w:color w:val="0000FF"/>
          <w:sz w:val="24"/>
          <w:szCs w:val="24"/>
          <w:u w:val="single"/>
        </w:rPr>
        <w:t>http://msp-platform.eu/projects/cross-border-maritime-spatial-planning-black</w:t>
      </w:r>
    </w:p>
    <w:p w:rsidR="00AA4661" w:rsidRPr="00B73D7E" w:rsidRDefault="00AA4661" w:rsidP="00B73D7E">
      <w:pPr>
        <w:pStyle w:val="Heading1"/>
        <w:spacing w:before="0" w:after="120"/>
        <w:jc w:val="both"/>
        <w:rPr>
          <w:rFonts w:eastAsia="Times New Roman"/>
          <w:bCs w:val="0"/>
          <w:color w:val="2F5496"/>
          <w:sz w:val="32"/>
          <w:szCs w:val="32"/>
          <w:lang w:val="bg-BG" w:eastAsia="en-US"/>
        </w:rPr>
      </w:pPr>
      <w:bookmarkStart w:id="953" w:name="_Toc522030625"/>
      <w:bookmarkStart w:id="954" w:name="_Toc529285610"/>
      <w:bookmarkStart w:id="955" w:name="_Toc506833636"/>
      <w:bookmarkStart w:id="956" w:name="_Toc506901804"/>
      <w:bookmarkStart w:id="957" w:name="_Toc486259788"/>
      <w:bookmarkStart w:id="958" w:name="_Toc486942242"/>
      <w:bookmarkStart w:id="959" w:name="_Toc501454919"/>
      <w:r w:rsidRPr="00B73D7E">
        <w:rPr>
          <w:rFonts w:eastAsia="Times New Roman"/>
          <w:bCs w:val="0"/>
          <w:color w:val="2F5496"/>
          <w:sz w:val="32"/>
          <w:szCs w:val="32"/>
          <w:lang w:val="bg-BG" w:eastAsia="en-US"/>
        </w:rPr>
        <w:t>Приложение 1</w:t>
      </w:r>
      <w:r w:rsidR="00517F01" w:rsidRPr="00B73D7E">
        <w:rPr>
          <w:rFonts w:eastAsia="Times New Roman"/>
          <w:bCs w:val="0"/>
          <w:color w:val="2F5496"/>
          <w:sz w:val="32"/>
          <w:szCs w:val="32"/>
          <w:lang w:val="bg-BG" w:eastAsia="en-US"/>
        </w:rPr>
        <w:t>1</w:t>
      </w:r>
      <w:r w:rsidRPr="00B73D7E">
        <w:rPr>
          <w:rFonts w:eastAsia="Times New Roman"/>
          <w:bCs w:val="0"/>
          <w:color w:val="2F5496"/>
          <w:sz w:val="32"/>
          <w:szCs w:val="32"/>
          <w:lang w:val="bg-BG" w:eastAsia="en-US"/>
        </w:rPr>
        <w:t>. Въздействия на измененията на климата върху градската среда, съответни нормативни документи и дейности</w:t>
      </w:r>
      <w:bookmarkEnd w:id="953"/>
      <w:bookmarkEnd w:id="954"/>
      <w:r w:rsidRPr="00B73D7E" w:rsidDel="00E375D3">
        <w:rPr>
          <w:rFonts w:eastAsia="Times New Roman"/>
          <w:bCs w:val="0"/>
          <w:color w:val="2F5496"/>
          <w:sz w:val="32"/>
          <w:szCs w:val="32"/>
          <w:lang w:val="bg-BG" w:eastAsia="en-US"/>
        </w:rPr>
        <w:t xml:space="preserve"> </w:t>
      </w:r>
      <w:bookmarkEnd w:id="955"/>
      <w:bookmarkEnd w:id="956"/>
    </w:p>
    <w:p w:rsidR="00AA4661" w:rsidRPr="008E7DAC" w:rsidRDefault="004E6834" w:rsidP="00B73D7E">
      <w:pPr>
        <w:pStyle w:val="FiguresTablesCaption"/>
      </w:pPr>
      <w:bookmarkStart w:id="960" w:name="_Toc529286659"/>
      <w:r w:rsidRPr="008E7DAC">
        <w:t xml:space="preserve">Таблица </w:t>
      </w:r>
      <w:r w:rsidRPr="008E7DAC">
        <w:fldChar w:fldCharType="begin"/>
      </w:r>
      <w:r w:rsidRPr="008E7DAC">
        <w:instrText xml:space="preserve"> SEQ Table \* ARABIC </w:instrText>
      </w:r>
      <w:r w:rsidRPr="008E7DAC">
        <w:fldChar w:fldCharType="separate"/>
      </w:r>
      <w:r w:rsidRPr="00B73D7E">
        <w:t>32</w:t>
      </w:r>
      <w:r w:rsidRPr="008E7DAC">
        <w:fldChar w:fldCharType="end"/>
      </w:r>
      <w:r w:rsidRPr="008E7DAC">
        <w:t xml:space="preserve">. </w:t>
      </w:r>
      <w:r w:rsidR="00AA4661" w:rsidRPr="008E7DAC">
        <w:t>Въздействия на измененията на климата върху градската среда, съответни нормативни документи и дейности</w:t>
      </w:r>
      <w:bookmarkEnd w:id="957"/>
      <w:bookmarkEnd w:id="958"/>
      <w:bookmarkEnd w:id="959"/>
      <w:bookmarkEnd w:id="960"/>
    </w:p>
    <w:tbl>
      <w:tblPr>
        <w:tblW w:w="1407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0A0" w:firstRow="1" w:lastRow="0" w:firstColumn="1" w:lastColumn="0" w:noHBand="0" w:noVBand="0"/>
      </w:tblPr>
      <w:tblGrid>
        <w:gridCol w:w="1653"/>
        <w:gridCol w:w="1212"/>
        <w:gridCol w:w="5230"/>
        <w:gridCol w:w="1520"/>
        <w:gridCol w:w="4455"/>
      </w:tblGrid>
      <w:tr w:rsidR="00AA4661" w:rsidRPr="00F8728A" w:rsidTr="00B73D7E">
        <w:trPr>
          <w:tblHeader/>
          <w:jc w:val="center"/>
        </w:trPr>
        <w:tc>
          <w:tcPr>
            <w:tcW w:w="1653" w:type="dxa"/>
            <w:shd w:val="clear" w:color="auto" w:fill="365F91"/>
            <w:tcMar>
              <w:left w:w="72" w:type="dxa"/>
              <w:right w:w="72" w:type="dxa"/>
            </w:tcMar>
            <w:vAlign w:val="center"/>
          </w:tcPr>
          <w:p w:rsidR="00AA4661" w:rsidRPr="00F8728A" w:rsidRDefault="00AA4661" w:rsidP="009E0A06">
            <w:pPr>
              <w:spacing w:before="20" w:after="20"/>
              <w:jc w:val="center"/>
              <w:rPr>
                <w:rFonts w:ascii="Calibri" w:hAnsi="Calibri" w:cs="Calibri"/>
                <w:b/>
                <w:color w:val="FFFFFF"/>
                <w:szCs w:val="20"/>
              </w:rPr>
            </w:pPr>
            <w:r w:rsidRPr="00F8728A">
              <w:rPr>
                <w:rFonts w:ascii="Calibri" w:hAnsi="Calibri" w:cs="Calibri"/>
                <w:b/>
                <w:color w:val="FFFFFF"/>
                <w:szCs w:val="20"/>
              </w:rPr>
              <w:t>Въздействие на промените в климата</w:t>
            </w:r>
          </w:p>
        </w:tc>
        <w:tc>
          <w:tcPr>
            <w:tcW w:w="1212" w:type="dxa"/>
            <w:shd w:val="clear" w:color="auto" w:fill="365F91"/>
            <w:tcMar>
              <w:left w:w="72" w:type="dxa"/>
              <w:right w:w="72" w:type="dxa"/>
            </w:tcMar>
            <w:vAlign w:val="center"/>
          </w:tcPr>
          <w:p w:rsidR="00AA4661" w:rsidRPr="00F8728A" w:rsidRDefault="00AA4661" w:rsidP="009E0A06">
            <w:pPr>
              <w:spacing w:before="20" w:after="20"/>
              <w:jc w:val="center"/>
              <w:rPr>
                <w:rFonts w:ascii="Calibri" w:hAnsi="Calibri" w:cs="Calibri"/>
                <w:b/>
                <w:color w:val="FFFFFF"/>
                <w:szCs w:val="20"/>
              </w:rPr>
            </w:pPr>
            <w:r w:rsidRPr="00F8728A">
              <w:rPr>
                <w:rFonts w:ascii="Calibri" w:hAnsi="Calibri" w:cs="Calibri"/>
                <w:b/>
                <w:color w:val="FFFFFF"/>
                <w:szCs w:val="20"/>
              </w:rPr>
              <w:t>Степен на въздейст</w:t>
            </w:r>
            <w:r w:rsidR="008E7DAC">
              <w:rPr>
                <w:rFonts w:ascii="Calibri" w:hAnsi="Calibri" w:cs="Calibri"/>
                <w:b/>
                <w:color w:val="FFFFFF"/>
                <w:szCs w:val="20"/>
              </w:rPr>
              <w:softHyphen/>
            </w:r>
            <w:r w:rsidRPr="00F8728A">
              <w:rPr>
                <w:rFonts w:ascii="Calibri" w:hAnsi="Calibri" w:cs="Calibri"/>
                <w:b/>
                <w:color w:val="FFFFFF"/>
                <w:szCs w:val="20"/>
              </w:rPr>
              <w:t>вие</w:t>
            </w:r>
          </w:p>
        </w:tc>
        <w:tc>
          <w:tcPr>
            <w:tcW w:w="5230" w:type="dxa"/>
            <w:shd w:val="clear" w:color="auto" w:fill="365F91"/>
            <w:tcMar>
              <w:left w:w="72" w:type="dxa"/>
              <w:right w:w="72" w:type="dxa"/>
            </w:tcMar>
            <w:vAlign w:val="center"/>
          </w:tcPr>
          <w:p w:rsidR="00AA4661" w:rsidRPr="00F8728A" w:rsidRDefault="00AA4661" w:rsidP="009E0A06">
            <w:pPr>
              <w:spacing w:before="20" w:after="20"/>
              <w:jc w:val="center"/>
              <w:rPr>
                <w:rFonts w:ascii="Calibri" w:hAnsi="Calibri" w:cs="Calibri"/>
                <w:b/>
                <w:color w:val="FFFFFF"/>
                <w:szCs w:val="20"/>
              </w:rPr>
            </w:pPr>
            <w:r w:rsidRPr="00F8728A">
              <w:rPr>
                <w:rFonts w:ascii="Calibri" w:hAnsi="Calibri" w:cs="Calibri"/>
                <w:b/>
                <w:color w:val="FFFFFF"/>
                <w:szCs w:val="20"/>
              </w:rPr>
              <w:t>Засягащи въздействието нормативни документи</w:t>
            </w:r>
          </w:p>
        </w:tc>
        <w:tc>
          <w:tcPr>
            <w:tcW w:w="1520" w:type="dxa"/>
            <w:shd w:val="clear" w:color="auto" w:fill="365F91"/>
            <w:tcMar>
              <w:left w:w="72" w:type="dxa"/>
              <w:right w:w="72" w:type="dxa"/>
            </w:tcMar>
            <w:vAlign w:val="center"/>
          </w:tcPr>
          <w:p w:rsidR="00AA4661" w:rsidRPr="00F8728A" w:rsidRDefault="00AA4661" w:rsidP="009E0A06">
            <w:pPr>
              <w:spacing w:before="20" w:after="20"/>
              <w:jc w:val="center"/>
              <w:rPr>
                <w:rFonts w:ascii="Calibri" w:hAnsi="Calibri" w:cs="Calibri"/>
                <w:b/>
                <w:color w:val="FFFFFF"/>
                <w:szCs w:val="20"/>
              </w:rPr>
            </w:pPr>
            <w:r w:rsidRPr="00F8728A">
              <w:rPr>
                <w:rFonts w:ascii="Calibri" w:hAnsi="Calibri" w:cs="Calibri"/>
                <w:b/>
                <w:color w:val="FFFFFF"/>
                <w:szCs w:val="20"/>
              </w:rPr>
              <w:t>Потенциални рискове поради въздействието</w:t>
            </w:r>
          </w:p>
        </w:tc>
        <w:tc>
          <w:tcPr>
            <w:tcW w:w="4455" w:type="dxa"/>
            <w:shd w:val="clear" w:color="auto" w:fill="365F91"/>
            <w:tcMar>
              <w:left w:w="72" w:type="dxa"/>
              <w:right w:w="72" w:type="dxa"/>
            </w:tcMar>
            <w:vAlign w:val="center"/>
          </w:tcPr>
          <w:p w:rsidR="00AA4661" w:rsidRPr="00F8728A" w:rsidRDefault="00AA4661" w:rsidP="009E0A06">
            <w:pPr>
              <w:spacing w:before="20" w:after="20"/>
              <w:jc w:val="center"/>
              <w:rPr>
                <w:rFonts w:ascii="Calibri" w:hAnsi="Calibri" w:cs="Calibri"/>
                <w:b/>
                <w:color w:val="FFFFFF"/>
                <w:szCs w:val="20"/>
              </w:rPr>
            </w:pPr>
            <w:r w:rsidRPr="00F8728A">
              <w:rPr>
                <w:rFonts w:ascii="Calibri" w:hAnsi="Calibri" w:cs="Calibri"/>
                <w:b/>
                <w:color w:val="FFFFFF"/>
                <w:szCs w:val="20"/>
              </w:rPr>
              <w:t>Предприети дейности за понижаване на риска</w:t>
            </w:r>
          </w:p>
        </w:tc>
      </w:tr>
      <w:tr w:rsidR="00AA4661" w:rsidRPr="00F8728A" w:rsidTr="00B73D7E">
        <w:trPr>
          <w:jc w:val="center"/>
        </w:trPr>
        <w:tc>
          <w:tcPr>
            <w:tcW w:w="1653" w:type="dxa"/>
            <w:shd w:val="clear" w:color="auto" w:fill="B8CCE4"/>
            <w:tcMar>
              <w:left w:w="72" w:type="dxa"/>
              <w:right w:w="72" w:type="dxa"/>
            </w:tcMar>
            <w:vAlign w:val="center"/>
          </w:tcPr>
          <w:p w:rsidR="00AA4661" w:rsidRPr="00F8728A" w:rsidRDefault="00AA4661" w:rsidP="009E0A06">
            <w:pPr>
              <w:spacing w:before="20" w:after="20"/>
              <w:jc w:val="center"/>
              <w:rPr>
                <w:rFonts w:ascii="Calibri" w:hAnsi="Calibri" w:cs="Calibri"/>
                <w:b/>
                <w:szCs w:val="20"/>
              </w:rPr>
            </w:pPr>
            <w:r w:rsidRPr="00F8728A">
              <w:rPr>
                <w:rFonts w:ascii="Calibri" w:hAnsi="Calibri" w:cs="Calibri"/>
                <w:b/>
                <w:szCs w:val="20"/>
              </w:rPr>
              <w:t>1. Екстремални температури</w:t>
            </w:r>
          </w:p>
        </w:tc>
        <w:tc>
          <w:tcPr>
            <w:tcW w:w="1212" w:type="dxa"/>
            <w:tcMar>
              <w:left w:w="72" w:type="dxa"/>
              <w:right w:w="72" w:type="dxa"/>
            </w:tcMar>
            <w:vAlign w:val="center"/>
          </w:tcPr>
          <w:p w:rsidR="00AA4661" w:rsidRPr="00F8728A" w:rsidRDefault="00AA4661" w:rsidP="009E0A06">
            <w:pPr>
              <w:spacing w:before="20" w:after="20"/>
              <w:jc w:val="center"/>
              <w:rPr>
                <w:rFonts w:ascii="Calibri" w:hAnsi="Calibri" w:cs="Calibri"/>
                <w:szCs w:val="20"/>
              </w:rPr>
            </w:pPr>
            <w:r w:rsidRPr="00F8728A">
              <w:rPr>
                <w:rFonts w:ascii="Calibri" w:hAnsi="Calibri" w:cs="Calibri"/>
                <w:szCs w:val="20"/>
              </w:rPr>
              <w:t>Висока</w:t>
            </w:r>
          </w:p>
        </w:tc>
        <w:tc>
          <w:tcPr>
            <w:tcW w:w="5230" w:type="dxa"/>
            <w:tcMar>
              <w:left w:w="72" w:type="dxa"/>
              <w:right w:w="72" w:type="dxa"/>
            </w:tcMar>
            <w:vAlign w:val="center"/>
          </w:tcPr>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Закон за ограничаване изменението на климата.</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Закон за чистотата на атмосферния въздух</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Закон за защита при бедствия</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Наредба № 2 за противопожарните строително-технически норми</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Закон за регионалното развитие</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 xml:space="preserve">Закон за устройство на територията </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Наредба №2 за планирането и проектирането на транспортно-комуникационни системи в урбанизираните територии</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 xml:space="preserve">Наредба №7 за правилата и нормативите за устройство на отделните видове територии и устройствени зони </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Наредба №8 за обхвата и съдържанието на устройствените планове</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Наредба №2/22.03.2004 за минималните изисквания за здравето и безопасността при извършване на строителни и монтажни работи</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Еврокодове Строителство и строителни материали – екстремална температура</w:t>
            </w:r>
          </w:p>
        </w:tc>
        <w:tc>
          <w:tcPr>
            <w:tcW w:w="1520" w:type="dxa"/>
            <w:tcMar>
              <w:left w:w="72" w:type="dxa"/>
              <w:right w:w="72" w:type="dxa"/>
            </w:tcMar>
            <w:vAlign w:val="center"/>
          </w:tcPr>
          <w:p w:rsidR="00AA4661" w:rsidRPr="00F8728A" w:rsidRDefault="00AA4661" w:rsidP="00776E5B">
            <w:pPr>
              <w:spacing w:before="20" w:after="20"/>
              <w:jc w:val="center"/>
              <w:rPr>
                <w:rFonts w:ascii="Calibri" w:hAnsi="Calibri" w:cs="Calibri"/>
                <w:szCs w:val="20"/>
              </w:rPr>
            </w:pPr>
            <w:r w:rsidRPr="00F8728A">
              <w:rPr>
                <w:rFonts w:ascii="Calibri" w:hAnsi="Calibri" w:cs="Calibri"/>
                <w:szCs w:val="20"/>
              </w:rPr>
              <w:t>Среден</w:t>
            </w:r>
          </w:p>
        </w:tc>
        <w:tc>
          <w:tcPr>
            <w:tcW w:w="4455" w:type="dxa"/>
            <w:tcMar>
              <w:left w:w="72" w:type="dxa"/>
              <w:right w:w="72" w:type="dxa"/>
            </w:tcMar>
            <w:vAlign w:val="center"/>
          </w:tcPr>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jc w:val="both"/>
              <w:rPr>
                <w:rFonts w:ascii="Calibri" w:hAnsi="Calibri" w:cs="Calibri"/>
                <w:sz w:val="20"/>
                <w:lang w:val="bg-BG" w:eastAsia="en-US"/>
              </w:rPr>
            </w:pPr>
            <w:r w:rsidRPr="00F8728A">
              <w:rPr>
                <w:rFonts w:ascii="Calibri" w:hAnsi="Calibri" w:cs="Calibri"/>
                <w:sz w:val="20"/>
                <w:lang w:val="bg-BG" w:eastAsia="en-US"/>
              </w:rPr>
              <w:t>Увеличаване на зелените площи;</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jc w:val="both"/>
              <w:rPr>
                <w:rFonts w:ascii="Calibri" w:hAnsi="Calibri" w:cs="Calibri"/>
                <w:sz w:val="20"/>
                <w:lang w:val="bg-BG" w:eastAsia="en-US"/>
              </w:rPr>
            </w:pPr>
            <w:r w:rsidRPr="00F8728A">
              <w:rPr>
                <w:rFonts w:ascii="Calibri" w:hAnsi="Calibri" w:cs="Calibri"/>
                <w:sz w:val="20"/>
                <w:lang w:val="bg-BG" w:eastAsia="en-US"/>
              </w:rPr>
              <w:t>Рехабилитация и модернизация на сградите;</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jc w:val="both"/>
              <w:rPr>
                <w:rFonts w:ascii="Calibri" w:hAnsi="Calibri" w:cs="Calibri"/>
                <w:sz w:val="20"/>
                <w:lang w:val="bg-BG" w:eastAsia="en-US"/>
              </w:rPr>
            </w:pPr>
            <w:r w:rsidRPr="00F8728A">
              <w:rPr>
                <w:rFonts w:ascii="Calibri" w:hAnsi="Calibri" w:cs="Calibri"/>
                <w:sz w:val="20"/>
                <w:lang w:val="bg-BG" w:eastAsia="en-US"/>
              </w:rPr>
              <w:t>Подобряване на обществения транспорт;</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jc w:val="both"/>
              <w:rPr>
                <w:rFonts w:ascii="Calibri" w:hAnsi="Calibri" w:cs="Calibri"/>
                <w:sz w:val="20"/>
                <w:lang w:val="bg-BG" w:eastAsia="en-US"/>
              </w:rPr>
            </w:pPr>
            <w:r w:rsidRPr="00F8728A">
              <w:rPr>
                <w:rFonts w:ascii="Calibri" w:hAnsi="Calibri" w:cs="Calibri"/>
                <w:sz w:val="20"/>
                <w:lang w:val="bg-BG" w:eastAsia="en-US"/>
              </w:rPr>
              <w:t>Намаляване на  пътуванията с лични автомобил;</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jc w:val="both"/>
              <w:rPr>
                <w:rFonts w:ascii="Calibri" w:hAnsi="Calibri" w:cs="Calibri"/>
                <w:sz w:val="20"/>
                <w:lang w:val="bg-BG" w:eastAsia="en-US"/>
              </w:rPr>
            </w:pPr>
            <w:r w:rsidRPr="00F8728A">
              <w:rPr>
                <w:rFonts w:ascii="Calibri" w:hAnsi="Calibri" w:cs="Calibri"/>
                <w:sz w:val="20"/>
                <w:lang w:val="bg-BG" w:eastAsia="en-US"/>
              </w:rPr>
              <w:t>Намаляване на моторните превозни средства, използващи обичайни горива с  50 процента;</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jc w:val="both"/>
              <w:rPr>
                <w:rFonts w:ascii="Calibri" w:hAnsi="Calibri" w:cs="Calibri"/>
                <w:sz w:val="20"/>
                <w:lang w:val="bg-BG" w:eastAsia="en-US"/>
              </w:rPr>
            </w:pPr>
            <w:r w:rsidRPr="00F8728A">
              <w:rPr>
                <w:rFonts w:ascii="Calibri" w:hAnsi="Calibri" w:cs="Calibri"/>
                <w:sz w:val="20"/>
                <w:lang w:val="bg-BG" w:eastAsia="en-US"/>
              </w:rPr>
              <w:t>Развиване на велосипедните мрежи;</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jc w:val="both"/>
              <w:rPr>
                <w:rFonts w:ascii="Calibri" w:hAnsi="Calibri" w:cs="Calibri"/>
                <w:sz w:val="20"/>
                <w:lang w:val="bg-BG" w:eastAsia="en-US"/>
              </w:rPr>
            </w:pPr>
            <w:r w:rsidRPr="00F8728A">
              <w:rPr>
                <w:rFonts w:ascii="Calibri" w:hAnsi="Calibri" w:cs="Calibri"/>
                <w:sz w:val="20"/>
                <w:lang w:val="bg-BG" w:eastAsia="en-US"/>
              </w:rPr>
              <w:t>Рехабилитация на градската улична мрежа;</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jc w:val="both"/>
              <w:rPr>
                <w:rFonts w:ascii="Calibri" w:hAnsi="Calibri" w:cs="Calibri"/>
                <w:sz w:val="20"/>
                <w:lang w:val="bg-BG" w:eastAsia="en-US"/>
              </w:rPr>
            </w:pPr>
            <w:r w:rsidRPr="00F8728A">
              <w:rPr>
                <w:rFonts w:ascii="Calibri" w:hAnsi="Calibri" w:cs="Calibri"/>
                <w:sz w:val="20"/>
                <w:lang w:val="bg-BG" w:eastAsia="en-US"/>
              </w:rPr>
              <w:t>Развиване и защита на градската зелена система и биоразнообразие;</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jc w:val="both"/>
              <w:rPr>
                <w:rFonts w:ascii="Calibri" w:hAnsi="Calibri" w:cs="Calibri"/>
                <w:sz w:val="20"/>
                <w:lang w:val="bg-BG" w:eastAsia="en-US"/>
              </w:rPr>
            </w:pPr>
            <w:r w:rsidRPr="00F8728A">
              <w:rPr>
                <w:rFonts w:ascii="Calibri" w:hAnsi="Calibri" w:cs="Calibri"/>
                <w:sz w:val="20"/>
                <w:lang w:val="bg-BG" w:eastAsia="en-US"/>
              </w:rPr>
              <w:t>Прилагане на познанията за градската екология при планиране и проектиране на ООП;</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jc w:val="both"/>
              <w:rPr>
                <w:rFonts w:ascii="Calibri" w:hAnsi="Calibri" w:cs="Calibri"/>
                <w:sz w:val="20"/>
                <w:lang w:val="bg-BG" w:eastAsia="en-US"/>
              </w:rPr>
            </w:pPr>
            <w:r w:rsidRPr="00F8728A">
              <w:rPr>
                <w:rFonts w:ascii="Calibri" w:hAnsi="Calibri" w:cs="Calibri"/>
                <w:sz w:val="20"/>
                <w:lang w:val="bg-BG" w:eastAsia="en-US"/>
              </w:rPr>
              <w:t>Използване на подходящи материали за настилки в  градски ландшафт;</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jc w:val="both"/>
              <w:rPr>
                <w:rFonts w:ascii="Calibri" w:hAnsi="Calibri" w:cs="Calibri"/>
                <w:sz w:val="20"/>
                <w:lang w:val="bg-BG" w:eastAsia="en-US"/>
              </w:rPr>
            </w:pPr>
            <w:r w:rsidRPr="00F8728A">
              <w:rPr>
                <w:rFonts w:ascii="Calibri" w:hAnsi="Calibri" w:cs="Calibri"/>
                <w:sz w:val="20"/>
                <w:lang w:val="bg-BG" w:eastAsia="en-US"/>
              </w:rPr>
              <w:t>Въвеждане на стандарти за устойчиви/ зелени сгради и енергийно управление.</w:t>
            </w:r>
          </w:p>
        </w:tc>
      </w:tr>
      <w:tr w:rsidR="00AA4661" w:rsidRPr="00F8728A" w:rsidTr="00B73D7E">
        <w:trPr>
          <w:jc w:val="center"/>
        </w:trPr>
        <w:tc>
          <w:tcPr>
            <w:tcW w:w="1653" w:type="dxa"/>
            <w:shd w:val="clear" w:color="auto" w:fill="B8CCE4"/>
            <w:tcMar>
              <w:left w:w="72" w:type="dxa"/>
              <w:right w:w="72" w:type="dxa"/>
            </w:tcMar>
            <w:vAlign w:val="center"/>
          </w:tcPr>
          <w:p w:rsidR="00AA4661" w:rsidRPr="00F8728A" w:rsidRDefault="00AA4661" w:rsidP="009E0A06">
            <w:pPr>
              <w:spacing w:before="20" w:after="20"/>
              <w:jc w:val="center"/>
              <w:rPr>
                <w:rFonts w:ascii="Calibri" w:hAnsi="Calibri" w:cs="Calibri"/>
                <w:b/>
                <w:szCs w:val="20"/>
              </w:rPr>
            </w:pPr>
            <w:r w:rsidRPr="00F8728A">
              <w:rPr>
                <w:rFonts w:ascii="Calibri" w:hAnsi="Calibri" w:cs="Calibri"/>
                <w:b/>
                <w:szCs w:val="20"/>
              </w:rPr>
              <w:t>2. Наводнения/ бури</w:t>
            </w:r>
          </w:p>
        </w:tc>
        <w:tc>
          <w:tcPr>
            <w:tcW w:w="1212" w:type="dxa"/>
            <w:tcMar>
              <w:left w:w="72" w:type="dxa"/>
              <w:right w:w="72" w:type="dxa"/>
            </w:tcMar>
            <w:vAlign w:val="center"/>
          </w:tcPr>
          <w:p w:rsidR="00AA4661" w:rsidRPr="00F8728A" w:rsidRDefault="00AA4661" w:rsidP="009E0A06">
            <w:pPr>
              <w:spacing w:before="20" w:after="20"/>
              <w:jc w:val="center"/>
              <w:rPr>
                <w:rFonts w:ascii="Calibri" w:hAnsi="Calibri" w:cs="Calibri"/>
                <w:szCs w:val="20"/>
              </w:rPr>
            </w:pPr>
            <w:r w:rsidRPr="00F8728A">
              <w:rPr>
                <w:rFonts w:ascii="Calibri" w:hAnsi="Calibri" w:cs="Calibri"/>
                <w:szCs w:val="20"/>
              </w:rPr>
              <w:t>Висока</w:t>
            </w:r>
          </w:p>
        </w:tc>
        <w:tc>
          <w:tcPr>
            <w:tcW w:w="5230" w:type="dxa"/>
            <w:tcMar>
              <w:left w:w="72" w:type="dxa"/>
              <w:right w:w="72" w:type="dxa"/>
            </w:tcMar>
            <w:vAlign w:val="center"/>
          </w:tcPr>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Закон за защита при бедствия</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Наредба №12 за проектиране на геозащитни строежи, сгради и съоръженията в свлачищни райони</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Закон за водите</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Наредба №2 за проектиране, изграждане и експлоатация на водоснабдителни системи</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Наредба № РД-02-20-8 за проектиране, изграждане и експлоатация на канализационни системи</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Закон за регионалното развитие</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Закон за устройство на територията</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 xml:space="preserve">Наредба №7 за правилата и нормативите за устройство на отделните видове територии и устройствени зони </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Наредба №8 за обхвата и съдържанието на устройствените планове</w:t>
            </w:r>
          </w:p>
          <w:p w:rsidR="00AA4661" w:rsidRPr="00F8728A" w:rsidRDefault="00AA4661" w:rsidP="00E21095">
            <w:pPr>
              <w:pStyle w:val="ListParagraph1"/>
              <w:numPr>
                <w:ilvl w:val="0"/>
                <w:numId w:val="26"/>
              </w:numPr>
              <w:tabs>
                <w:tab w:val="left" w:pos="321"/>
              </w:tabs>
              <w:spacing w:before="20" w:after="20" w:line="240" w:lineRule="auto"/>
              <w:ind w:left="0" w:firstLine="0"/>
              <w:contextualSpacing w:val="0"/>
              <w:jc w:val="both"/>
              <w:rPr>
                <w:rFonts w:ascii="Calibri" w:hAnsi="Calibri" w:cs="Calibri"/>
                <w:sz w:val="20"/>
                <w:lang w:val="bg-BG" w:eastAsia="en-US"/>
              </w:rPr>
            </w:pPr>
            <w:r w:rsidRPr="00F8728A">
              <w:rPr>
                <w:rFonts w:ascii="Calibri" w:hAnsi="Calibri" w:cs="Calibri"/>
                <w:sz w:val="20"/>
                <w:lang w:val="bg-BG" w:eastAsia="en-US"/>
              </w:rPr>
              <w:t>Закон за Червения кръст</w:t>
            </w:r>
          </w:p>
        </w:tc>
        <w:tc>
          <w:tcPr>
            <w:tcW w:w="1520" w:type="dxa"/>
            <w:tcMar>
              <w:left w:w="72" w:type="dxa"/>
              <w:right w:w="72" w:type="dxa"/>
            </w:tcMar>
            <w:vAlign w:val="center"/>
          </w:tcPr>
          <w:p w:rsidR="00AA4661" w:rsidRPr="00F8728A" w:rsidRDefault="00AA4661" w:rsidP="00776E5B">
            <w:pPr>
              <w:spacing w:before="20" w:after="20"/>
              <w:jc w:val="center"/>
              <w:rPr>
                <w:rFonts w:ascii="Calibri" w:hAnsi="Calibri" w:cs="Calibri"/>
                <w:szCs w:val="20"/>
              </w:rPr>
            </w:pPr>
            <w:r w:rsidRPr="00F8728A">
              <w:rPr>
                <w:rFonts w:ascii="Calibri" w:hAnsi="Calibri" w:cs="Calibri"/>
                <w:szCs w:val="20"/>
              </w:rPr>
              <w:t>Висока</w:t>
            </w:r>
          </w:p>
        </w:tc>
        <w:tc>
          <w:tcPr>
            <w:tcW w:w="4455" w:type="dxa"/>
            <w:tcMar>
              <w:left w:w="72" w:type="dxa"/>
              <w:right w:w="72" w:type="dxa"/>
            </w:tcMar>
            <w:vAlign w:val="center"/>
          </w:tcPr>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jc w:val="both"/>
              <w:rPr>
                <w:rFonts w:ascii="Calibri" w:hAnsi="Calibri" w:cs="Calibri"/>
                <w:sz w:val="20"/>
                <w:lang w:val="bg-BG" w:eastAsia="en-US"/>
              </w:rPr>
            </w:pPr>
            <w:r w:rsidRPr="00F8728A">
              <w:rPr>
                <w:rFonts w:ascii="Calibri" w:hAnsi="Calibri" w:cs="Calibri"/>
                <w:sz w:val="20"/>
                <w:lang w:val="bg-BG" w:eastAsia="en-US"/>
              </w:rPr>
              <w:t>Поддържане на проводимостта на коригираните речни корита в градовете;</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jc w:val="both"/>
              <w:rPr>
                <w:rFonts w:ascii="Calibri" w:hAnsi="Calibri" w:cs="Calibri"/>
                <w:sz w:val="20"/>
                <w:lang w:val="bg-BG" w:eastAsia="en-US"/>
              </w:rPr>
            </w:pPr>
            <w:r w:rsidRPr="00F8728A">
              <w:rPr>
                <w:rFonts w:ascii="Calibri" w:hAnsi="Calibri" w:cs="Calibri"/>
                <w:sz w:val="20"/>
                <w:lang w:val="bg-BG" w:eastAsia="en-US"/>
              </w:rPr>
              <w:t>Разширяване на системата и зоните за защита от наводнения;</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jc w:val="both"/>
              <w:rPr>
                <w:rFonts w:ascii="Calibri" w:hAnsi="Calibri" w:cs="Calibri"/>
                <w:sz w:val="20"/>
                <w:lang w:val="bg-BG" w:eastAsia="en-US"/>
              </w:rPr>
            </w:pPr>
            <w:r w:rsidRPr="00F8728A">
              <w:rPr>
                <w:rFonts w:ascii="Calibri" w:hAnsi="Calibri" w:cs="Calibri"/>
                <w:sz w:val="20"/>
                <w:lang w:val="bg-BG" w:eastAsia="en-US"/>
              </w:rPr>
              <w:t>Почистване на некоригираните участъци по дължината на градските реки;</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jc w:val="both"/>
              <w:rPr>
                <w:rFonts w:ascii="Calibri" w:hAnsi="Calibri" w:cs="Calibri"/>
                <w:sz w:val="20"/>
                <w:lang w:val="bg-BG" w:eastAsia="en-US"/>
              </w:rPr>
            </w:pPr>
            <w:r w:rsidRPr="00F8728A">
              <w:rPr>
                <w:rFonts w:ascii="Calibri" w:hAnsi="Calibri" w:cs="Calibri"/>
                <w:sz w:val="20"/>
                <w:lang w:val="bg-BG" w:eastAsia="en-US"/>
              </w:rPr>
              <w:t>Балансиране на терените с твърда настилка и зелено покритие в градския ландшафт за по-добро отвеждане  на повърхностните води;</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jc w:val="both"/>
              <w:rPr>
                <w:rFonts w:ascii="Calibri" w:hAnsi="Calibri" w:cs="Calibri"/>
                <w:sz w:val="20"/>
                <w:lang w:val="bg-BG" w:eastAsia="en-US"/>
              </w:rPr>
            </w:pPr>
            <w:r w:rsidRPr="00F8728A">
              <w:rPr>
                <w:rFonts w:ascii="Calibri" w:hAnsi="Calibri" w:cs="Calibri"/>
                <w:sz w:val="20"/>
                <w:lang w:val="bg-BG" w:eastAsia="en-US"/>
              </w:rPr>
              <w:t>Актуализиране на картите за заплаха и риск от наводнения;</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jc w:val="both"/>
              <w:rPr>
                <w:rFonts w:ascii="Calibri" w:hAnsi="Calibri" w:cs="Calibri"/>
                <w:sz w:val="20"/>
                <w:lang w:val="bg-BG" w:eastAsia="en-US"/>
              </w:rPr>
            </w:pPr>
            <w:r w:rsidRPr="00F8728A">
              <w:rPr>
                <w:rFonts w:ascii="Calibri" w:hAnsi="Calibri" w:cs="Calibri"/>
                <w:sz w:val="20"/>
                <w:lang w:val="bg-BG" w:eastAsia="en-US"/>
              </w:rPr>
              <w:t>Контролиране на строителството в зони с високо ниво на риск;</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jc w:val="both"/>
              <w:rPr>
                <w:rFonts w:ascii="Calibri" w:hAnsi="Calibri" w:cs="Calibri"/>
                <w:sz w:val="20"/>
                <w:lang w:val="bg-BG" w:eastAsia="en-US"/>
              </w:rPr>
            </w:pPr>
            <w:r w:rsidRPr="00F8728A">
              <w:rPr>
                <w:rFonts w:ascii="Calibri" w:hAnsi="Calibri" w:cs="Calibri"/>
                <w:sz w:val="20"/>
                <w:lang w:val="bg-BG" w:eastAsia="en-US"/>
              </w:rPr>
              <w:t xml:space="preserve">Комуникация  на знанията за риска от наводнения и възпитание на подходящо поведение; </w:t>
            </w:r>
          </w:p>
        </w:tc>
      </w:tr>
      <w:tr w:rsidR="00AA4661" w:rsidRPr="00F8728A" w:rsidTr="00B73D7E">
        <w:trPr>
          <w:jc w:val="center"/>
        </w:trPr>
        <w:tc>
          <w:tcPr>
            <w:tcW w:w="1653" w:type="dxa"/>
            <w:shd w:val="clear" w:color="auto" w:fill="B8CCE4"/>
            <w:tcMar>
              <w:left w:w="72" w:type="dxa"/>
              <w:right w:w="72" w:type="dxa"/>
            </w:tcMar>
            <w:vAlign w:val="center"/>
          </w:tcPr>
          <w:p w:rsidR="00AA4661" w:rsidRPr="00F8728A" w:rsidRDefault="00AA4661" w:rsidP="009E0A06">
            <w:pPr>
              <w:spacing w:before="20" w:after="20"/>
              <w:jc w:val="center"/>
              <w:rPr>
                <w:rFonts w:ascii="Calibri" w:hAnsi="Calibri" w:cs="Calibri"/>
                <w:b/>
                <w:szCs w:val="20"/>
              </w:rPr>
            </w:pPr>
            <w:r w:rsidRPr="00F8728A">
              <w:rPr>
                <w:rFonts w:ascii="Calibri" w:hAnsi="Calibri" w:cs="Calibri"/>
                <w:b/>
                <w:szCs w:val="20"/>
              </w:rPr>
              <w:t>3. Пожари/ Пожари в природата</w:t>
            </w:r>
          </w:p>
        </w:tc>
        <w:tc>
          <w:tcPr>
            <w:tcW w:w="1212" w:type="dxa"/>
            <w:tcMar>
              <w:left w:w="72" w:type="dxa"/>
              <w:right w:w="72" w:type="dxa"/>
            </w:tcMar>
            <w:vAlign w:val="center"/>
          </w:tcPr>
          <w:p w:rsidR="00AA4661" w:rsidRPr="00F8728A" w:rsidRDefault="00AA4661" w:rsidP="009E0A06">
            <w:pPr>
              <w:spacing w:before="20" w:after="20"/>
              <w:jc w:val="center"/>
              <w:rPr>
                <w:rFonts w:ascii="Calibri" w:hAnsi="Calibri" w:cs="Calibri"/>
                <w:szCs w:val="20"/>
              </w:rPr>
            </w:pPr>
            <w:r w:rsidRPr="00F8728A">
              <w:rPr>
                <w:rFonts w:ascii="Calibri" w:hAnsi="Calibri" w:cs="Calibri"/>
                <w:szCs w:val="20"/>
              </w:rPr>
              <w:t>Висока</w:t>
            </w:r>
          </w:p>
        </w:tc>
        <w:tc>
          <w:tcPr>
            <w:tcW w:w="5230" w:type="dxa"/>
            <w:tcMar>
              <w:left w:w="72" w:type="dxa"/>
              <w:right w:w="72" w:type="dxa"/>
            </w:tcMar>
            <w:vAlign w:val="center"/>
          </w:tcPr>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Закон за защита при бедствия</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Закон за чистотата на атмосферния въздух</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Закон за горите</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Правилник за прилагане на Закона за горите</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Наредба №2 за противопожарните строително-технически норми</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Закон за регионалното развитие</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Правилник за прилагане на Закона за регионалното развитие</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 xml:space="preserve">Закон за устройство на територията </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 xml:space="preserve">Наредба №4 за обхвата и съдържанието на инвестиционните проекти </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rPr>
                <w:rFonts w:ascii="Calibri" w:hAnsi="Calibri" w:cs="Calibri"/>
                <w:color w:val="000000"/>
                <w:sz w:val="20"/>
                <w:lang w:val="bg-BG" w:eastAsia="en-US"/>
              </w:rPr>
            </w:pPr>
            <w:r w:rsidRPr="00F8728A">
              <w:rPr>
                <w:rFonts w:ascii="Calibri" w:hAnsi="Calibri" w:cs="Calibri"/>
                <w:color w:val="000000"/>
                <w:sz w:val="20"/>
                <w:lang w:val="bg-BG" w:eastAsia="en-US"/>
              </w:rPr>
              <w:t>Наредба №8 за обхвата и съдържанието на устройствените планове</w:t>
            </w:r>
          </w:p>
          <w:p w:rsidR="00AA4661" w:rsidRPr="00F8728A" w:rsidRDefault="00AA4661" w:rsidP="00E21095">
            <w:pPr>
              <w:pStyle w:val="ListParagraph1"/>
              <w:numPr>
                <w:ilvl w:val="0"/>
                <w:numId w:val="26"/>
              </w:numPr>
              <w:tabs>
                <w:tab w:val="left" w:pos="321"/>
              </w:tabs>
              <w:spacing w:before="20" w:after="20" w:line="240" w:lineRule="auto"/>
              <w:ind w:left="0" w:firstLine="0"/>
              <w:contextualSpacing w:val="0"/>
              <w:rPr>
                <w:rFonts w:ascii="Calibri" w:hAnsi="Calibri" w:cs="Calibri"/>
                <w:color w:val="000000"/>
                <w:sz w:val="20"/>
                <w:lang w:val="bg-BG" w:eastAsia="en-US"/>
              </w:rPr>
            </w:pPr>
            <w:r w:rsidRPr="00F8728A">
              <w:rPr>
                <w:rFonts w:ascii="Calibri" w:hAnsi="Calibri" w:cs="Calibri"/>
                <w:color w:val="000000"/>
                <w:sz w:val="20"/>
                <w:lang w:val="bg-BG" w:eastAsia="en-US"/>
              </w:rPr>
              <w:t>Еврокодове Конструкции и строителни материали – огнеупорност, високи температури и др.</w:t>
            </w:r>
          </w:p>
          <w:p w:rsidR="00AA4661" w:rsidRPr="00F8728A" w:rsidRDefault="00AA4661" w:rsidP="00E21095">
            <w:pPr>
              <w:pStyle w:val="ListParagraph1"/>
              <w:numPr>
                <w:ilvl w:val="0"/>
                <w:numId w:val="26"/>
              </w:numPr>
              <w:tabs>
                <w:tab w:val="left" w:pos="321"/>
              </w:tabs>
              <w:spacing w:before="20" w:after="20" w:line="240" w:lineRule="auto"/>
              <w:ind w:left="0" w:firstLine="0"/>
              <w:contextualSpacing w:val="0"/>
              <w:rPr>
                <w:rFonts w:ascii="Calibri" w:hAnsi="Calibri" w:cs="Calibri"/>
                <w:color w:val="000000"/>
                <w:sz w:val="20"/>
                <w:lang w:val="bg-BG" w:eastAsia="en-US"/>
              </w:rPr>
            </w:pPr>
            <w:r w:rsidRPr="00F8728A">
              <w:rPr>
                <w:rFonts w:ascii="Calibri" w:hAnsi="Calibri" w:cs="Calibri"/>
                <w:color w:val="000000"/>
                <w:sz w:val="20"/>
                <w:lang w:val="bg-BG" w:eastAsia="en-US"/>
              </w:rPr>
              <w:t>Наредба №6 за техническите правила и нормативи за проектиране, изграждане и ползване на обектите и съоръженията  за пренос, съхранение, разпределение и доставка на природен газ</w:t>
            </w:r>
          </w:p>
          <w:p w:rsidR="00AA4661" w:rsidRPr="00F8728A" w:rsidRDefault="00AA4661" w:rsidP="00E21095">
            <w:pPr>
              <w:pStyle w:val="ListParagraph1"/>
              <w:numPr>
                <w:ilvl w:val="0"/>
                <w:numId w:val="26"/>
              </w:numPr>
              <w:tabs>
                <w:tab w:val="left" w:pos="321"/>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color w:val="000000"/>
                <w:sz w:val="20"/>
                <w:lang w:val="bg-BG" w:eastAsia="en-US"/>
              </w:rPr>
              <w:t>Наредба №3 за минималните изисквания за безопасност и опазване на здравето на работещите при използване на лични предпазни средства на работното място</w:t>
            </w:r>
          </w:p>
        </w:tc>
        <w:tc>
          <w:tcPr>
            <w:tcW w:w="1520" w:type="dxa"/>
            <w:tcMar>
              <w:left w:w="72" w:type="dxa"/>
              <w:right w:w="72" w:type="dxa"/>
            </w:tcMar>
            <w:vAlign w:val="center"/>
          </w:tcPr>
          <w:p w:rsidR="00AA4661" w:rsidRPr="00F8728A" w:rsidRDefault="00AA4661" w:rsidP="00776E5B">
            <w:pPr>
              <w:spacing w:before="20" w:after="20"/>
              <w:jc w:val="center"/>
              <w:rPr>
                <w:rFonts w:ascii="Calibri" w:hAnsi="Calibri" w:cs="Calibri"/>
                <w:szCs w:val="20"/>
              </w:rPr>
            </w:pPr>
            <w:r w:rsidRPr="00F8728A">
              <w:rPr>
                <w:rFonts w:ascii="Calibri" w:hAnsi="Calibri" w:cs="Calibri"/>
                <w:szCs w:val="20"/>
              </w:rPr>
              <w:t>Висока</w:t>
            </w:r>
          </w:p>
        </w:tc>
        <w:tc>
          <w:tcPr>
            <w:tcW w:w="4455" w:type="dxa"/>
            <w:tcMar>
              <w:left w:w="72" w:type="dxa"/>
              <w:right w:w="72" w:type="dxa"/>
            </w:tcMar>
            <w:vAlign w:val="center"/>
          </w:tcPr>
          <w:p w:rsidR="00AA4661" w:rsidRPr="00F8728A" w:rsidRDefault="00AA4661" w:rsidP="00E21095">
            <w:pPr>
              <w:pStyle w:val="ListParagraph1"/>
              <w:numPr>
                <w:ilvl w:val="0"/>
                <w:numId w:val="26"/>
              </w:numPr>
              <w:tabs>
                <w:tab w:val="left" w:pos="233"/>
              </w:tabs>
              <w:autoSpaceDE w:val="0"/>
              <w:autoSpaceDN w:val="0"/>
              <w:adjustRightInd w:val="0"/>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 xml:space="preserve">Поддържане на горските противопожарни просеки и пояси; </w:t>
            </w:r>
          </w:p>
          <w:p w:rsidR="00AA4661" w:rsidRPr="00F8728A" w:rsidRDefault="00AA4661" w:rsidP="00E21095">
            <w:pPr>
              <w:pStyle w:val="ListParagraph1"/>
              <w:numPr>
                <w:ilvl w:val="0"/>
                <w:numId w:val="26"/>
              </w:numPr>
              <w:tabs>
                <w:tab w:val="left" w:pos="233"/>
              </w:tabs>
              <w:autoSpaceDE w:val="0"/>
              <w:autoSpaceDN w:val="0"/>
              <w:adjustRightInd w:val="0"/>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Поставяне на знаци с информация, разпоредби и модел на поведение;</w:t>
            </w:r>
          </w:p>
          <w:p w:rsidR="00AA4661" w:rsidRPr="00F8728A" w:rsidRDefault="00AA4661" w:rsidP="00E21095">
            <w:pPr>
              <w:pStyle w:val="ListParagraph1"/>
              <w:numPr>
                <w:ilvl w:val="0"/>
                <w:numId w:val="26"/>
              </w:numPr>
              <w:tabs>
                <w:tab w:val="left" w:pos="233"/>
              </w:tabs>
              <w:autoSpaceDE w:val="0"/>
              <w:autoSpaceDN w:val="0"/>
              <w:adjustRightInd w:val="0"/>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Изграждане на източници за водоснабдяване и контролиране на снабдяването с вода;</w:t>
            </w:r>
          </w:p>
          <w:p w:rsidR="00AA4661" w:rsidRPr="00F8728A" w:rsidRDefault="00AA4661" w:rsidP="00E21095">
            <w:pPr>
              <w:pStyle w:val="ListParagraph1"/>
              <w:numPr>
                <w:ilvl w:val="0"/>
                <w:numId w:val="26"/>
              </w:numPr>
              <w:tabs>
                <w:tab w:val="left" w:pos="233"/>
              </w:tabs>
              <w:autoSpaceDE w:val="0"/>
              <w:autoSpaceDN w:val="0"/>
              <w:adjustRightInd w:val="0"/>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Закупуване на противопожарно оборудване и предпазно облекло и др.;</w:t>
            </w:r>
          </w:p>
          <w:p w:rsidR="00AA4661" w:rsidRPr="00F8728A" w:rsidRDefault="00AA4661" w:rsidP="00E21095">
            <w:pPr>
              <w:pStyle w:val="ListParagraph1"/>
              <w:numPr>
                <w:ilvl w:val="0"/>
                <w:numId w:val="26"/>
              </w:numPr>
              <w:tabs>
                <w:tab w:val="left" w:pos="233"/>
              </w:tabs>
              <w:autoSpaceDE w:val="0"/>
              <w:autoSpaceDN w:val="0"/>
              <w:adjustRightInd w:val="0"/>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Осигуряване на летателни апарати за гасене на горски пожари;</w:t>
            </w:r>
          </w:p>
          <w:p w:rsidR="00AA4661" w:rsidRPr="00F8728A" w:rsidRDefault="00AA4661" w:rsidP="00E21095">
            <w:pPr>
              <w:pStyle w:val="ListParagraph1"/>
              <w:numPr>
                <w:ilvl w:val="0"/>
                <w:numId w:val="26"/>
              </w:numPr>
              <w:tabs>
                <w:tab w:val="left" w:pos="233"/>
              </w:tabs>
              <w:autoSpaceDE w:val="0"/>
              <w:autoSpaceDN w:val="0"/>
              <w:adjustRightInd w:val="0"/>
              <w:spacing w:before="20" w:after="20" w:line="240" w:lineRule="auto"/>
              <w:ind w:left="0" w:firstLine="0"/>
              <w:contextualSpacing w:val="0"/>
              <w:jc w:val="both"/>
              <w:rPr>
                <w:rFonts w:ascii="Calibri" w:hAnsi="Calibri" w:cs="Calibri"/>
                <w:sz w:val="20"/>
                <w:lang w:val="bg-BG" w:eastAsia="en-US"/>
              </w:rPr>
            </w:pPr>
            <w:r w:rsidRPr="00F8728A">
              <w:rPr>
                <w:rFonts w:ascii="Calibri" w:hAnsi="Calibri" w:cs="Calibri"/>
                <w:sz w:val="20"/>
                <w:lang w:val="bg-BG" w:eastAsia="en-US"/>
              </w:rPr>
              <w:t>Осигуряване на нормален достъп до вода за противопожарни нужди на всички части от градовете</w:t>
            </w:r>
          </w:p>
          <w:p w:rsidR="00AA4661" w:rsidRPr="00F8728A" w:rsidRDefault="00AA4661" w:rsidP="00E21095">
            <w:pPr>
              <w:pStyle w:val="ListParagraph1"/>
              <w:numPr>
                <w:ilvl w:val="0"/>
                <w:numId w:val="26"/>
              </w:numPr>
              <w:tabs>
                <w:tab w:val="left" w:pos="233"/>
              </w:tabs>
              <w:autoSpaceDE w:val="0"/>
              <w:autoSpaceDN w:val="0"/>
              <w:adjustRightInd w:val="0"/>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Обучение и подготовка на хора и доброволци за повишаване на осведомеността</w:t>
            </w:r>
          </w:p>
        </w:tc>
      </w:tr>
      <w:tr w:rsidR="00AA4661" w:rsidRPr="00F8728A" w:rsidTr="00B73D7E">
        <w:trPr>
          <w:jc w:val="center"/>
        </w:trPr>
        <w:tc>
          <w:tcPr>
            <w:tcW w:w="1653" w:type="dxa"/>
            <w:shd w:val="clear" w:color="auto" w:fill="B8CCE4"/>
            <w:tcMar>
              <w:left w:w="72" w:type="dxa"/>
              <w:right w:w="72" w:type="dxa"/>
            </w:tcMar>
            <w:vAlign w:val="center"/>
          </w:tcPr>
          <w:p w:rsidR="00AA4661" w:rsidRPr="00F8728A" w:rsidRDefault="00AA4661" w:rsidP="009E0A06">
            <w:pPr>
              <w:spacing w:before="20" w:after="20"/>
              <w:jc w:val="center"/>
              <w:rPr>
                <w:rFonts w:ascii="Calibri" w:hAnsi="Calibri" w:cs="Calibri"/>
                <w:b/>
                <w:szCs w:val="20"/>
              </w:rPr>
            </w:pPr>
            <w:r w:rsidRPr="00F8728A">
              <w:rPr>
                <w:rFonts w:ascii="Calibri" w:hAnsi="Calibri" w:cs="Calibri"/>
                <w:b/>
                <w:szCs w:val="20"/>
              </w:rPr>
              <w:t>4. Градски води</w:t>
            </w:r>
          </w:p>
        </w:tc>
        <w:tc>
          <w:tcPr>
            <w:tcW w:w="1212" w:type="dxa"/>
            <w:tcMar>
              <w:left w:w="72" w:type="dxa"/>
              <w:right w:w="72" w:type="dxa"/>
            </w:tcMar>
            <w:vAlign w:val="center"/>
          </w:tcPr>
          <w:p w:rsidR="00AA4661" w:rsidRPr="00F8728A" w:rsidRDefault="00AA4661" w:rsidP="009E0A06">
            <w:pPr>
              <w:spacing w:before="20" w:after="20"/>
              <w:jc w:val="center"/>
              <w:rPr>
                <w:rFonts w:ascii="Calibri" w:hAnsi="Calibri" w:cs="Calibri"/>
                <w:szCs w:val="20"/>
              </w:rPr>
            </w:pPr>
            <w:r w:rsidRPr="00F8728A">
              <w:rPr>
                <w:rFonts w:ascii="Calibri" w:hAnsi="Calibri" w:cs="Calibri"/>
                <w:szCs w:val="20"/>
              </w:rPr>
              <w:t>Среден</w:t>
            </w:r>
          </w:p>
        </w:tc>
        <w:tc>
          <w:tcPr>
            <w:tcW w:w="5230" w:type="dxa"/>
            <w:tcMar>
              <w:left w:w="72" w:type="dxa"/>
              <w:right w:w="72" w:type="dxa"/>
            </w:tcMar>
            <w:vAlign w:val="center"/>
          </w:tcPr>
          <w:p w:rsidR="00AA4661" w:rsidRPr="00F8728A" w:rsidRDefault="00AA4661" w:rsidP="00E21095">
            <w:pPr>
              <w:pStyle w:val="ListParagraph1"/>
              <w:numPr>
                <w:ilvl w:val="0"/>
                <w:numId w:val="26"/>
              </w:numPr>
              <w:tabs>
                <w:tab w:val="left" w:pos="321"/>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Закон за водите</w:t>
            </w:r>
          </w:p>
          <w:p w:rsidR="00AA4661" w:rsidRPr="00F8728A" w:rsidRDefault="00AA4661" w:rsidP="00E21095">
            <w:pPr>
              <w:pStyle w:val="ListParagraph1"/>
              <w:numPr>
                <w:ilvl w:val="0"/>
                <w:numId w:val="26"/>
              </w:numPr>
              <w:tabs>
                <w:tab w:val="left" w:pos="321"/>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Наредба №3 за условията и реда за проучване, проектиране, одобряване и ескплоатация на санитарно-охранителни зони около водни ресурси и съоръжения за питейна вода и водоизточниците за минерални води...</w:t>
            </w:r>
          </w:p>
          <w:p w:rsidR="00AA4661" w:rsidRPr="00F8728A" w:rsidRDefault="00AA4661" w:rsidP="00E21095">
            <w:pPr>
              <w:pStyle w:val="ListParagraph1"/>
              <w:numPr>
                <w:ilvl w:val="0"/>
                <w:numId w:val="26"/>
              </w:numPr>
              <w:tabs>
                <w:tab w:val="left" w:pos="321"/>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Наредба №1 за проучване, ползване и опазване на подземните  води</w:t>
            </w:r>
          </w:p>
          <w:p w:rsidR="00AA4661" w:rsidRPr="00F8728A" w:rsidRDefault="00AA4661" w:rsidP="00E21095">
            <w:pPr>
              <w:pStyle w:val="ListParagraph1"/>
              <w:numPr>
                <w:ilvl w:val="0"/>
                <w:numId w:val="26"/>
              </w:numPr>
              <w:tabs>
                <w:tab w:val="left" w:pos="321"/>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Наредба №2 за проектиране, изграждане и експлоатация на водоснабдителни системи</w:t>
            </w:r>
          </w:p>
          <w:p w:rsidR="00AA4661" w:rsidRPr="00F8728A" w:rsidRDefault="00AA4661" w:rsidP="00E21095">
            <w:pPr>
              <w:pStyle w:val="ListParagraph1"/>
              <w:numPr>
                <w:ilvl w:val="0"/>
                <w:numId w:val="26"/>
              </w:numPr>
              <w:tabs>
                <w:tab w:val="left" w:pos="321"/>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Наредба № РД-02-20-8 за проектиране, изграждане и експлоатация на канализационни системи</w:t>
            </w:r>
          </w:p>
          <w:p w:rsidR="00AA4661" w:rsidRPr="00F8728A" w:rsidRDefault="00AA4661" w:rsidP="00E21095">
            <w:pPr>
              <w:pStyle w:val="ListParagraph1"/>
              <w:numPr>
                <w:ilvl w:val="0"/>
                <w:numId w:val="26"/>
              </w:numPr>
              <w:tabs>
                <w:tab w:val="left" w:pos="321"/>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Закон за опазване на околната среда</w:t>
            </w:r>
          </w:p>
          <w:p w:rsidR="00AA4661" w:rsidRPr="00F8728A" w:rsidRDefault="00AA4661" w:rsidP="00E21095">
            <w:pPr>
              <w:pStyle w:val="ListParagraph1"/>
              <w:numPr>
                <w:ilvl w:val="0"/>
                <w:numId w:val="26"/>
              </w:numPr>
              <w:tabs>
                <w:tab w:val="left" w:pos="321"/>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 xml:space="preserve">Наредба №6 за емисионни норми  </w:t>
            </w:r>
          </w:p>
          <w:p w:rsidR="00AA4661" w:rsidRPr="00F8728A" w:rsidRDefault="00AA4661" w:rsidP="009E0A06">
            <w:pPr>
              <w:tabs>
                <w:tab w:val="left" w:pos="321"/>
              </w:tabs>
              <w:autoSpaceDE w:val="0"/>
              <w:autoSpaceDN w:val="0"/>
              <w:adjustRightInd w:val="0"/>
              <w:spacing w:before="20" w:after="20"/>
              <w:rPr>
                <w:rFonts w:ascii="Calibri" w:hAnsi="Calibri" w:cs="Calibri"/>
                <w:szCs w:val="20"/>
              </w:rPr>
            </w:pPr>
            <w:r w:rsidRPr="00F8728A">
              <w:rPr>
                <w:rFonts w:ascii="Calibri" w:hAnsi="Calibri" w:cs="Calibri"/>
                <w:color w:val="000000"/>
                <w:szCs w:val="20"/>
              </w:rPr>
              <w:t xml:space="preserve">за допустимото съдържание на вредни и опасни вещества в отпадъчните води, зауствани във водни обекти  </w:t>
            </w:r>
          </w:p>
          <w:p w:rsidR="00AA4661" w:rsidRPr="00F8728A" w:rsidRDefault="00AA4661" w:rsidP="00E21095">
            <w:pPr>
              <w:pStyle w:val="ListParagraph1"/>
              <w:numPr>
                <w:ilvl w:val="0"/>
                <w:numId w:val="26"/>
              </w:numPr>
              <w:tabs>
                <w:tab w:val="left" w:pos="321"/>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Закон за горите</w:t>
            </w:r>
          </w:p>
          <w:p w:rsidR="00AA4661" w:rsidRPr="00F8728A" w:rsidRDefault="00AA4661" w:rsidP="00E21095">
            <w:pPr>
              <w:pStyle w:val="ListParagraph1"/>
              <w:numPr>
                <w:ilvl w:val="0"/>
                <w:numId w:val="26"/>
              </w:numPr>
              <w:tabs>
                <w:tab w:val="left" w:pos="321"/>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Правилник за прилагане на Закона за горите</w:t>
            </w:r>
          </w:p>
          <w:p w:rsidR="00AA4661" w:rsidRPr="00F8728A" w:rsidRDefault="00AA4661" w:rsidP="00E21095">
            <w:pPr>
              <w:pStyle w:val="ListParagraph1"/>
              <w:numPr>
                <w:ilvl w:val="0"/>
                <w:numId w:val="26"/>
              </w:numPr>
              <w:tabs>
                <w:tab w:val="left" w:pos="321"/>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Закон за регионалното развитие</w:t>
            </w:r>
          </w:p>
          <w:p w:rsidR="00AA4661" w:rsidRPr="00F8728A" w:rsidRDefault="00AA4661" w:rsidP="00E21095">
            <w:pPr>
              <w:pStyle w:val="ListParagraph1"/>
              <w:numPr>
                <w:ilvl w:val="0"/>
                <w:numId w:val="26"/>
              </w:numPr>
              <w:tabs>
                <w:tab w:val="left" w:pos="321"/>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Закон за пространственото планиране</w:t>
            </w:r>
          </w:p>
          <w:p w:rsidR="00AA4661" w:rsidRPr="00F8728A" w:rsidRDefault="00AA4661" w:rsidP="00E21095">
            <w:pPr>
              <w:pStyle w:val="ListParagraph1"/>
              <w:numPr>
                <w:ilvl w:val="0"/>
                <w:numId w:val="26"/>
              </w:numPr>
              <w:tabs>
                <w:tab w:val="left" w:pos="321"/>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 xml:space="preserve">Наредба №7 за правилата и нормативите за устройство на отделните видове територии и устройствени зони </w:t>
            </w:r>
          </w:p>
          <w:p w:rsidR="00AA4661" w:rsidRPr="00F8728A" w:rsidRDefault="00AA4661" w:rsidP="00E21095">
            <w:pPr>
              <w:pStyle w:val="ListParagraph1"/>
              <w:numPr>
                <w:ilvl w:val="0"/>
                <w:numId w:val="26"/>
              </w:numPr>
              <w:tabs>
                <w:tab w:val="left" w:pos="321"/>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Наредба №8 за обхвата и съдържанието на устройствените планове</w:t>
            </w:r>
          </w:p>
        </w:tc>
        <w:tc>
          <w:tcPr>
            <w:tcW w:w="1520" w:type="dxa"/>
            <w:tcMar>
              <w:left w:w="72" w:type="dxa"/>
              <w:right w:w="72" w:type="dxa"/>
            </w:tcMar>
            <w:vAlign w:val="center"/>
          </w:tcPr>
          <w:p w:rsidR="00AA4661" w:rsidRPr="00F8728A" w:rsidRDefault="00AA4661" w:rsidP="00776E5B">
            <w:pPr>
              <w:spacing w:before="20" w:after="20"/>
              <w:jc w:val="center"/>
              <w:rPr>
                <w:rFonts w:ascii="Calibri" w:hAnsi="Calibri" w:cs="Calibri"/>
                <w:szCs w:val="20"/>
              </w:rPr>
            </w:pPr>
            <w:r w:rsidRPr="00F8728A">
              <w:rPr>
                <w:rFonts w:ascii="Calibri" w:hAnsi="Calibri" w:cs="Calibri"/>
                <w:szCs w:val="20"/>
              </w:rPr>
              <w:t>Среден</w:t>
            </w:r>
          </w:p>
        </w:tc>
        <w:tc>
          <w:tcPr>
            <w:tcW w:w="4455" w:type="dxa"/>
            <w:tcMar>
              <w:left w:w="72" w:type="dxa"/>
              <w:right w:w="72" w:type="dxa"/>
            </w:tcMar>
            <w:vAlign w:val="center"/>
          </w:tcPr>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Защита на горите и контролиране на промените в използването на земята в горските територии;</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Контролиране на застрояването в близост до водосборни басейни;</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Проектиране, изграждане и реконструиране на водоснабдителната мрежа и резервоарите;</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Изграждане и рехабилиация на пречиствателните станции за питейни и отпадъчни води;</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Организиране на кампании за пестене на вода;</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Организиране на кампании за залесяване;</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Изпълняване на мерки за подобряване на ефективността на институциите.</w:t>
            </w:r>
          </w:p>
        </w:tc>
      </w:tr>
      <w:tr w:rsidR="00AA4661" w:rsidRPr="00F8728A" w:rsidTr="00B73D7E">
        <w:trPr>
          <w:trHeight w:val="4355"/>
          <w:jc w:val="center"/>
        </w:trPr>
        <w:tc>
          <w:tcPr>
            <w:tcW w:w="1653" w:type="dxa"/>
            <w:shd w:val="clear" w:color="auto" w:fill="B8CCE4"/>
            <w:tcMar>
              <w:left w:w="72" w:type="dxa"/>
              <w:right w:w="72" w:type="dxa"/>
            </w:tcMar>
            <w:vAlign w:val="center"/>
          </w:tcPr>
          <w:p w:rsidR="00AA4661" w:rsidRPr="00F8728A" w:rsidRDefault="00AA4661" w:rsidP="009E0A06">
            <w:pPr>
              <w:spacing w:before="20" w:after="20"/>
              <w:jc w:val="center"/>
              <w:rPr>
                <w:rFonts w:ascii="Calibri" w:hAnsi="Calibri" w:cs="Calibri"/>
                <w:b/>
                <w:szCs w:val="20"/>
              </w:rPr>
            </w:pPr>
            <w:r w:rsidRPr="00F8728A">
              <w:rPr>
                <w:rFonts w:ascii="Calibri" w:hAnsi="Calibri" w:cs="Calibri"/>
                <w:b/>
                <w:szCs w:val="20"/>
              </w:rPr>
              <w:t>5. Управление на риска от бедствия</w:t>
            </w:r>
          </w:p>
        </w:tc>
        <w:tc>
          <w:tcPr>
            <w:tcW w:w="1212" w:type="dxa"/>
            <w:tcMar>
              <w:left w:w="72" w:type="dxa"/>
              <w:right w:w="72" w:type="dxa"/>
            </w:tcMar>
            <w:vAlign w:val="center"/>
          </w:tcPr>
          <w:p w:rsidR="00AA4661" w:rsidRPr="00F8728A" w:rsidRDefault="00AA4661" w:rsidP="009E0A06">
            <w:pPr>
              <w:spacing w:before="20" w:after="20"/>
              <w:jc w:val="center"/>
              <w:rPr>
                <w:rFonts w:ascii="Calibri" w:hAnsi="Calibri" w:cs="Calibri"/>
                <w:szCs w:val="20"/>
              </w:rPr>
            </w:pPr>
            <w:r w:rsidRPr="00F8728A">
              <w:rPr>
                <w:rFonts w:ascii="Calibri" w:hAnsi="Calibri" w:cs="Calibri"/>
                <w:szCs w:val="20"/>
              </w:rPr>
              <w:t>Среден</w:t>
            </w:r>
          </w:p>
        </w:tc>
        <w:tc>
          <w:tcPr>
            <w:tcW w:w="5230" w:type="dxa"/>
            <w:tcMar>
              <w:left w:w="72" w:type="dxa"/>
              <w:right w:w="72" w:type="dxa"/>
            </w:tcMar>
            <w:vAlign w:val="center"/>
          </w:tcPr>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Закон за защита при бедствия</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 xml:space="preserve">Закон за националната система за спешни повиквания с единен европейски номер 112 </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Закон за бюджета</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 xml:space="preserve">Наредба №25 за неотложната медицинска помощ </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Наредба №3 за минималните изисквания за безопасност и опазване на здравето на работещите при използване на лични предпазни средства на работното място</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Закон за Червения кръст</w:t>
            </w:r>
          </w:p>
        </w:tc>
        <w:tc>
          <w:tcPr>
            <w:tcW w:w="1520" w:type="dxa"/>
            <w:tcMar>
              <w:left w:w="72" w:type="dxa"/>
              <w:right w:w="72" w:type="dxa"/>
            </w:tcMar>
            <w:vAlign w:val="center"/>
          </w:tcPr>
          <w:p w:rsidR="00AA4661" w:rsidRPr="00F8728A" w:rsidRDefault="00AA4661" w:rsidP="00776E5B">
            <w:pPr>
              <w:spacing w:before="20" w:after="20"/>
              <w:jc w:val="center"/>
              <w:rPr>
                <w:rFonts w:ascii="Calibri" w:hAnsi="Calibri" w:cs="Calibri"/>
                <w:szCs w:val="20"/>
              </w:rPr>
            </w:pPr>
            <w:r w:rsidRPr="00F8728A">
              <w:rPr>
                <w:rFonts w:ascii="Calibri" w:hAnsi="Calibri" w:cs="Calibri"/>
                <w:szCs w:val="20"/>
              </w:rPr>
              <w:t>Среден</w:t>
            </w:r>
          </w:p>
        </w:tc>
        <w:tc>
          <w:tcPr>
            <w:tcW w:w="4455" w:type="dxa"/>
            <w:tcMar>
              <w:left w:w="72" w:type="dxa"/>
              <w:right w:w="72" w:type="dxa"/>
            </w:tcMar>
            <w:vAlign w:val="center"/>
          </w:tcPr>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 xml:space="preserve">Подкрепа на Българския червен кръст; </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 xml:space="preserve">Обучаване на населението; </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 xml:space="preserve">Организиране на информационни кампании; </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Подобряване на възможностите за обмен на информация с международни институции;</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 xml:space="preserve">Организиране на доброволни формации и обучаването им; </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 xml:space="preserve">Преоборудване на звената на Единната система за спасяване със съвременно оборудване; </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Осигуряване на финансови и човешки ресурси за военните части за справяне с последиците от бедствия;</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 xml:space="preserve">Допълнително развитие на системата за ранно предупреждаване; </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Обучаване на изпълнителните власти;</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jc w:val="both"/>
              <w:rPr>
                <w:rFonts w:ascii="Calibri" w:hAnsi="Calibri" w:cs="Calibri"/>
                <w:sz w:val="20"/>
                <w:lang w:val="bg-BG" w:eastAsia="en-US"/>
              </w:rPr>
            </w:pPr>
            <w:r w:rsidRPr="00F8728A">
              <w:rPr>
                <w:rFonts w:ascii="Calibri" w:hAnsi="Calibri" w:cs="Calibri"/>
                <w:sz w:val="20"/>
                <w:lang w:val="bg-BG" w:eastAsia="en-US"/>
              </w:rPr>
              <w:t>Актуализиране на програмите за обучаване на младите.</w:t>
            </w:r>
          </w:p>
        </w:tc>
      </w:tr>
    </w:tbl>
    <w:p w:rsidR="00AA4661" w:rsidRPr="00B73D7E" w:rsidRDefault="00AA4661" w:rsidP="00676435">
      <w:pPr>
        <w:pStyle w:val="BodyText"/>
        <w:numPr>
          <w:ilvl w:val="0"/>
          <w:numId w:val="0"/>
        </w:numPr>
        <w:rPr>
          <w:rFonts w:eastAsia="Times New Roman" w:cs="Arial"/>
          <w:szCs w:val="20"/>
          <w:lang w:val="bg-BG"/>
        </w:rPr>
        <w:sectPr w:rsidR="00AA4661" w:rsidRPr="00B73D7E" w:rsidSect="00C74C26">
          <w:footerReference w:type="default" r:id="rId163"/>
          <w:pgSz w:w="16838" w:h="11906" w:orient="landscape"/>
          <w:pgMar w:top="1417" w:right="1417" w:bottom="1417" w:left="1417" w:header="708" w:footer="708" w:gutter="0"/>
          <w:cols w:space="708"/>
          <w:docGrid w:linePitch="360"/>
        </w:sectPr>
      </w:pPr>
    </w:p>
    <w:p w:rsidR="00AA4661" w:rsidRPr="00B73D7E" w:rsidRDefault="00AA4661" w:rsidP="00B73D7E">
      <w:pPr>
        <w:pStyle w:val="Heading1"/>
        <w:spacing w:before="0" w:after="120"/>
        <w:jc w:val="both"/>
        <w:rPr>
          <w:rFonts w:eastAsia="Times New Roman"/>
          <w:bCs w:val="0"/>
          <w:color w:val="2F5496"/>
          <w:sz w:val="32"/>
          <w:szCs w:val="32"/>
          <w:lang w:val="bg-BG" w:eastAsia="en-US"/>
        </w:rPr>
      </w:pPr>
      <w:bookmarkStart w:id="961" w:name="_Toc522030626"/>
      <w:bookmarkStart w:id="962" w:name="_Toc529285611"/>
      <w:bookmarkStart w:id="963" w:name="_Toc486942243"/>
      <w:bookmarkStart w:id="964" w:name="_Toc501454920"/>
      <w:r w:rsidRPr="00B73D7E">
        <w:rPr>
          <w:rFonts w:eastAsia="Times New Roman"/>
          <w:bCs w:val="0"/>
          <w:color w:val="2F5496"/>
          <w:sz w:val="32"/>
          <w:szCs w:val="32"/>
          <w:lang w:val="bg-BG" w:eastAsia="en-US"/>
        </w:rPr>
        <w:t>Приложение 1</w:t>
      </w:r>
      <w:r w:rsidR="00B257B6" w:rsidRPr="00B73D7E">
        <w:rPr>
          <w:rFonts w:eastAsia="Times New Roman"/>
          <w:bCs w:val="0"/>
          <w:color w:val="2F5496"/>
          <w:sz w:val="32"/>
          <w:szCs w:val="32"/>
          <w:lang w:val="bg-BG" w:eastAsia="en-US"/>
        </w:rPr>
        <w:t>2</w:t>
      </w:r>
      <w:r w:rsidRPr="00B73D7E">
        <w:rPr>
          <w:rFonts w:eastAsia="Times New Roman"/>
          <w:bCs w:val="0"/>
          <w:color w:val="2F5496"/>
          <w:sz w:val="32"/>
          <w:szCs w:val="32"/>
          <w:lang w:val="bg-BG" w:eastAsia="en-US"/>
        </w:rPr>
        <w:t>. Възможности за адаптация, свързани с градската среда и общи мерки за АИК в българските стратегически документи</w:t>
      </w:r>
      <w:bookmarkEnd w:id="961"/>
      <w:bookmarkEnd w:id="962"/>
    </w:p>
    <w:p w:rsidR="00AA4661" w:rsidRPr="00D325A0" w:rsidRDefault="004E6834" w:rsidP="00B73D7E">
      <w:pPr>
        <w:pStyle w:val="FiguresTablesCaption"/>
      </w:pPr>
      <w:bookmarkStart w:id="965" w:name="_Toc529286660"/>
      <w:r w:rsidRPr="00D325A0">
        <w:t xml:space="preserve">Таблица </w:t>
      </w:r>
      <w:r w:rsidRPr="00D325A0">
        <w:fldChar w:fldCharType="begin"/>
      </w:r>
      <w:r w:rsidRPr="00D325A0">
        <w:instrText xml:space="preserve"> SEQ Table \* ARABIC </w:instrText>
      </w:r>
      <w:r w:rsidRPr="00D325A0">
        <w:fldChar w:fldCharType="separate"/>
      </w:r>
      <w:r w:rsidRPr="00B73D7E">
        <w:t>33</w:t>
      </w:r>
      <w:r w:rsidRPr="00D325A0">
        <w:fldChar w:fldCharType="end"/>
      </w:r>
      <w:r w:rsidRPr="00D325A0">
        <w:t xml:space="preserve">. </w:t>
      </w:r>
      <w:r w:rsidR="00AA4661" w:rsidRPr="00D325A0">
        <w:t>Възможности за адаптация, свързани с градската среда, в българските стратегически документи</w:t>
      </w:r>
      <w:bookmarkEnd w:id="963"/>
      <w:bookmarkEnd w:id="964"/>
      <w:bookmarkEnd w:id="965"/>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A0" w:firstRow="1" w:lastRow="0" w:firstColumn="1" w:lastColumn="0" w:noHBand="0" w:noVBand="0"/>
      </w:tblPr>
      <w:tblGrid>
        <w:gridCol w:w="1821"/>
        <w:gridCol w:w="2134"/>
        <w:gridCol w:w="2948"/>
        <w:gridCol w:w="3854"/>
        <w:gridCol w:w="3554"/>
      </w:tblGrid>
      <w:tr w:rsidR="00AA4661" w:rsidRPr="00F8728A" w:rsidTr="00FF5825">
        <w:trPr>
          <w:trHeight w:val="436"/>
          <w:tblHeader/>
          <w:jc w:val="center"/>
        </w:trPr>
        <w:tc>
          <w:tcPr>
            <w:tcW w:w="1821" w:type="dxa"/>
            <w:vMerge w:val="restart"/>
            <w:tcBorders>
              <w:top w:val="single" w:sz="4" w:space="0" w:color="5B9BD5"/>
              <w:left w:val="single" w:sz="4" w:space="0" w:color="5B9BD5"/>
              <w:bottom w:val="single" w:sz="4" w:space="0" w:color="5B9BD5"/>
              <w:right w:val="single" w:sz="4" w:space="0" w:color="5B9BD5"/>
            </w:tcBorders>
            <w:shd w:val="clear" w:color="auto" w:fill="365F91"/>
          </w:tcPr>
          <w:p w:rsidR="00AA4661" w:rsidRPr="00F8728A" w:rsidRDefault="00AA4661" w:rsidP="00FF5825">
            <w:pPr>
              <w:spacing w:before="20" w:after="20"/>
              <w:jc w:val="center"/>
              <w:rPr>
                <w:rFonts w:ascii="Calibri" w:hAnsi="Calibri" w:cs="Calibri"/>
                <w:color w:val="FFFFFF"/>
                <w:sz w:val="22"/>
              </w:rPr>
            </w:pPr>
            <w:r w:rsidRPr="00F8728A">
              <w:rPr>
                <w:rFonts w:ascii="Calibri" w:hAnsi="Calibri" w:cs="Calibri"/>
                <w:b/>
                <w:color w:val="FFFFFF"/>
                <w:sz w:val="22"/>
              </w:rPr>
              <w:t>Въздействие на екстремалните метеорологични условия/ ИК</w:t>
            </w:r>
          </w:p>
        </w:tc>
        <w:tc>
          <w:tcPr>
            <w:tcW w:w="12264" w:type="dxa"/>
            <w:gridSpan w:val="4"/>
            <w:tcBorders>
              <w:top w:val="single" w:sz="4" w:space="0" w:color="5B9BD5"/>
              <w:left w:val="single" w:sz="4" w:space="0" w:color="5B9BD5"/>
              <w:bottom w:val="single" w:sz="4" w:space="0" w:color="5B9BD5"/>
              <w:right w:val="single" w:sz="4" w:space="0" w:color="5B9BD5"/>
            </w:tcBorders>
            <w:shd w:val="clear" w:color="auto" w:fill="365F91"/>
            <w:vAlign w:val="center"/>
          </w:tcPr>
          <w:p w:rsidR="00AA4661" w:rsidRPr="00F8728A" w:rsidRDefault="00AA4661" w:rsidP="00FF5825">
            <w:pPr>
              <w:spacing w:before="40" w:after="40"/>
              <w:jc w:val="center"/>
              <w:rPr>
                <w:rFonts w:ascii="Calibri" w:hAnsi="Calibri" w:cs="Calibri"/>
                <w:b/>
                <w:color w:val="FFFFFF"/>
                <w:sz w:val="22"/>
              </w:rPr>
            </w:pPr>
            <w:r w:rsidRPr="00F8728A">
              <w:rPr>
                <w:rFonts w:ascii="Calibri" w:hAnsi="Calibri" w:cs="Calibri"/>
                <w:b/>
                <w:color w:val="FFFFFF"/>
                <w:sz w:val="22"/>
              </w:rPr>
              <w:t>Възможности за адаптация към изменението на климата</w:t>
            </w:r>
          </w:p>
        </w:tc>
      </w:tr>
      <w:tr w:rsidR="00AA4661" w:rsidRPr="00F8728A" w:rsidTr="00FF5825">
        <w:trPr>
          <w:trHeight w:val="508"/>
          <w:tblHeader/>
          <w:jc w:val="center"/>
        </w:trPr>
        <w:tc>
          <w:tcPr>
            <w:tcW w:w="1821" w:type="dxa"/>
            <w:vMerge/>
            <w:tcBorders>
              <w:top w:val="single" w:sz="4" w:space="0" w:color="5B9BD5"/>
              <w:left w:val="single" w:sz="4" w:space="0" w:color="5B9BD5"/>
              <w:bottom w:val="single" w:sz="4" w:space="0" w:color="5B9BD5"/>
              <w:right w:val="single" w:sz="4" w:space="0" w:color="5B9BD5"/>
            </w:tcBorders>
            <w:shd w:val="clear" w:color="auto" w:fill="4F81BD"/>
          </w:tcPr>
          <w:p w:rsidR="00AA4661" w:rsidRPr="00F8728A" w:rsidRDefault="00AA4661" w:rsidP="00FF5825">
            <w:pPr>
              <w:spacing w:before="20" w:after="20"/>
              <w:jc w:val="both"/>
              <w:rPr>
                <w:rFonts w:ascii="Calibri" w:hAnsi="Calibri" w:cs="Calibri"/>
                <w:b/>
                <w:color w:val="FFFFFF"/>
                <w:sz w:val="22"/>
              </w:rPr>
            </w:pPr>
          </w:p>
        </w:tc>
        <w:tc>
          <w:tcPr>
            <w:tcW w:w="2134" w:type="dxa"/>
            <w:tcBorders>
              <w:top w:val="single" w:sz="4" w:space="0" w:color="5B9BD5"/>
              <w:left w:val="single" w:sz="4" w:space="0" w:color="5B9BD5"/>
              <w:bottom w:val="single" w:sz="4" w:space="0" w:color="5B9BD5"/>
              <w:right w:val="single" w:sz="4" w:space="0" w:color="5B9BD5"/>
            </w:tcBorders>
            <w:shd w:val="clear" w:color="auto" w:fill="F2F2F2"/>
            <w:vAlign w:val="center"/>
          </w:tcPr>
          <w:p w:rsidR="00AA4661" w:rsidRPr="00F8728A" w:rsidRDefault="00AA4661" w:rsidP="00FF5825">
            <w:pPr>
              <w:spacing w:before="20" w:after="20"/>
              <w:jc w:val="center"/>
              <w:rPr>
                <w:rFonts w:ascii="Calibri" w:hAnsi="Calibri" w:cs="Calibri"/>
                <w:b/>
                <w:sz w:val="22"/>
              </w:rPr>
            </w:pPr>
            <w:r w:rsidRPr="00F8728A">
              <w:rPr>
                <w:rFonts w:ascii="Calibri" w:hAnsi="Calibri" w:cs="Calibri"/>
                <w:b/>
                <w:sz w:val="22"/>
              </w:rPr>
              <w:t>Национално ниво</w:t>
            </w:r>
          </w:p>
        </w:tc>
        <w:tc>
          <w:tcPr>
            <w:tcW w:w="2948" w:type="dxa"/>
            <w:tcBorders>
              <w:top w:val="single" w:sz="4" w:space="0" w:color="5B9BD5"/>
              <w:left w:val="single" w:sz="4" w:space="0" w:color="5B9BD5"/>
              <w:bottom w:val="single" w:sz="4" w:space="0" w:color="5B9BD5"/>
              <w:right w:val="single" w:sz="4" w:space="0" w:color="5B9BD5"/>
            </w:tcBorders>
            <w:shd w:val="clear" w:color="auto" w:fill="F2F2F2"/>
            <w:vAlign w:val="center"/>
          </w:tcPr>
          <w:p w:rsidR="00AA4661" w:rsidRPr="00F8728A" w:rsidRDefault="00AA4661" w:rsidP="00FF5825">
            <w:pPr>
              <w:spacing w:before="20" w:after="20"/>
              <w:jc w:val="center"/>
              <w:rPr>
                <w:rFonts w:ascii="Calibri" w:hAnsi="Calibri" w:cs="Calibri"/>
                <w:b/>
                <w:sz w:val="22"/>
              </w:rPr>
            </w:pPr>
            <w:r w:rsidRPr="00F8728A">
              <w:rPr>
                <w:rFonts w:ascii="Calibri" w:hAnsi="Calibri" w:cs="Calibri"/>
                <w:b/>
                <w:sz w:val="22"/>
              </w:rPr>
              <w:t>Регионално ниво</w:t>
            </w:r>
          </w:p>
        </w:tc>
        <w:tc>
          <w:tcPr>
            <w:tcW w:w="0" w:type="auto"/>
            <w:tcBorders>
              <w:top w:val="single" w:sz="4" w:space="0" w:color="5B9BD5"/>
              <w:left w:val="single" w:sz="4" w:space="0" w:color="5B9BD5"/>
              <w:bottom w:val="single" w:sz="4" w:space="0" w:color="5B9BD5"/>
              <w:right w:val="single" w:sz="4" w:space="0" w:color="5B9BD5"/>
            </w:tcBorders>
            <w:shd w:val="clear" w:color="auto" w:fill="F2F2F2"/>
            <w:vAlign w:val="center"/>
          </w:tcPr>
          <w:p w:rsidR="00AA4661" w:rsidRPr="00F8728A" w:rsidRDefault="00AA4661" w:rsidP="00FF5825">
            <w:pPr>
              <w:spacing w:before="20" w:after="20"/>
              <w:jc w:val="center"/>
              <w:rPr>
                <w:rFonts w:ascii="Calibri" w:hAnsi="Calibri" w:cs="Calibri"/>
                <w:b/>
                <w:sz w:val="22"/>
              </w:rPr>
            </w:pPr>
            <w:r w:rsidRPr="00F8728A">
              <w:rPr>
                <w:rFonts w:ascii="Calibri" w:hAnsi="Calibri" w:cs="Calibri"/>
                <w:b/>
                <w:sz w:val="22"/>
              </w:rPr>
              <w:t>Местно/градско ниво</w:t>
            </w:r>
          </w:p>
        </w:tc>
        <w:tc>
          <w:tcPr>
            <w:tcW w:w="0" w:type="auto"/>
            <w:tcBorders>
              <w:top w:val="single" w:sz="4" w:space="0" w:color="5B9BD5"/>
              <w:left w:val="single" w:sz="4" w:space="0" w:color="5B9BD5"/>
              <w:bottom w:val="single" w:sz="4" w:space="0" w:color="5B9BD5"/>
              <w:right w:val="single" w:sz="4" w:space="0" w:color="5B9BD5"/>
            </w:tcBorders>
            <w:shd w:val="clear" w:color="auto" w:fill="F2F2F2"/>
            <w:vAlign w:val="center"/>
          </w:tcPr>
          <w:p w:rsidR="00AA4661" w:rsidRPr="00F8728A" w:rsidRDefault="00AA4661" w:rsidP="00FF5825">
            <w:pPr>
              <w:spacing w:before="20" w:after="20"/>
              <w:jc w:val="center"/>
              <w:rPr>
                <w:rFonts w:ascii="Calibri" w:hAnsi="Calibri" w:cs="Calibri"/>
                <w:b/>
                <w:sz w:val="22"/>
              </w:rPr>
            </w:pPr>
            <w:r w:rsidRPr="00F8728A">
              <w:rPr>
                <w:rFonts w:ascii="Calibri" w:hAnsi="Calibri" w:cs="Calibri"/>
                <w:b/>
                <w:sz w:val="22"/>
              </w:rPr>
              <w:t>Сгради/ инфраструктура</w:t>
            </w:r>
          </w:p>
        </w:tc>
      </w:tr>
      <w:tr w:rsidR="00AA4661" w:rsidRPr="00F8728A" w:rsidTr="00FF5825">
        <w:trPr>
          <w:jc w:val="center"/>
        </w:trPr>
        <w:tc>
          <w:tcPr>
            <w:tcW w:w="1821"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tcPr>
          <w:p w:rsidR="00AA4661" w:rsidRPr="00F8728A" w:rsidRDefault="00AA4661" w:rsidP="00FF5825">
            <w:pPr>
              <w:spacing w:before="20" w:after="20"/>
              <w:jc w:val="center"/>
              <w:rPr>
                <w:rFonts w:ascii="Calibri" w:hAnsi="Calibri" w:cs="Calibri"/>
                <w:b/>
                <w:sz w:val="22"/>
              </w:rPr>
            </w:pPr>
            <w:r w:rsidRPr="00F8728A">
              <w:rPr>
                <w:rFonts w:ascii="Calibri" w:hAnsi="Calibri" w:cs="Calibri"/>
                <w:b/>
                <w:sz w:val="22"/>
              </w:rPr>
              <w:t>Екстремални температури</w:t>
            </w: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Разработване на Националната жилищна стратегия с придружаващите я Програми за приложение</w:t>
            </w: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Насърчаване на проектирането и изграждането на зелени сгради и сгради с нулево потребление на енергия;</w:t>
            </w:r>
          </w:p>
        </w:tc>
      </w:tr>
      <w:tr w:rsidR="00AA4661" w:rsidRPr="00F8728A" w:rsidTr="00FF5825">
        <w:trPr>
          <w:jc w:val="center"/>
        </w:trPr>
        <w:tc>
          <w:tcPr>
            <w:tcW w:w="1821" w:type="dxa"/>
            <w:vMerge/>
            <w:tcBorders>
              <w:top w:val="single" w:sz="4" w:space="0" w:color="5B9BD5"/>
              <w:left w:val="single" w:sz="4" w:space="0" w:color="5B9BD5"/>
              <w:bottom w:val="single" w:sz="4" w:space="0" w:color="5B9BD5"/>
              <w:right w:val="single" w:sz="4" w:space="0" w:color="5B9BD5"/>
            </w:tcBorders>
            <w:shd w:val="clear" w:color="auto" w:fill="B8CCE4"/>
          </w:tcPr>
          <w:p w:rsidR="00AA4661" w:rsidRPr="00F8728A" w:rsidRDefault="00AA4661" w:rsidP="00FF5825">
            <w:pPr>
              <w:spacing w:before="20" w:after="20"/>
              <w:jc w:val="center"/>
              <w:rPr>
                <w:rFonts w:ascii="Calibri" w:hAnsi="Calibri" w:cs="Calibri"/>
                <w:b/>
                <w:sz w:val="22"/>
              </w:rPr>
            </w:pP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Преразглеждане и допълнение на наредбите и нормативите за пространствено планиране</w:t>
            </w: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Прилагане на занижени норми за планиране в територии с по-висока гъстота и плътност на застрояване;</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 xml:space="preserve">Проектиране на строителни кодекси и норми, подходящи за микроклимата на града </w:t>
            </w:r>
          </w:p>
        </w:tc>
      </w:tr>
      <w:tr w:rsidR="00AA4661" w:rsidRPr="00F8728A" w:rsidTr="00FF5825">
        <w:trPr>
          <w:jc w:val="center"/>
        </w:trPr>
        <w:tc>
          <w:tcPr>
            <w:tcW w:w="1821" w:type="dxa"/>
            <w:vMerge/>
            <w:tcBorders>
              <w:top w:val="single" w:sz="4" w:space="0" w:color="5B9BD5"/>
              <w:left w:val="single" w:sz="4" w:space="0" w:color="5B9BD5"/>
              <w:bottom w:val="single" w:sz="4" w:space="0" w:color="5B9BD5"/>
              <w:right w:val="single" w:sz="4" w:space="0" w:color="5B9BD5"/>
            </w:tcBorders>
            <w:shd w:val="clear" w:color="auto" w:fill="B8CCE4"/>
          </w:tcPr>
          <w:p w:rsidR="00AA4661" w:rsidRPr="00F8728A" w:rsidRDefault="00AA4661" w:rsidP="00FF5825">
            <w:pPr>
              <w:spacing w:before="20" w:after="20"/>
              <w:jc w:val="center"/>
              <w:rPr>
                <w:rFonts w:ascii="Calibri" w:hAnsi="Calibri" w:cs="Calibri"/>
                <w:b/>
                <w:sz w:val="22"/>
              </w:rPr>
            </w:pP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Преразглеждане и допълване на съдържанието на ЕО и ОВОС</w:t>
            </w: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Включване на оценка на промените в климата и мерки за адаптация в ЕО и ОВОС</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p>
        </w:tc>
      </w:tr>
      <w:tr w:rsidR="00AA4661" w:rsidRPr="00F8728A" w:rsidTr="00FF5825">
        <w:trPr>
          <w:jc w:val="center"/>
        </w:trPr>
        <w:tc>
          <w:tcPr>
            <w:tcW w:w="1821" w:type="dxa"/>
            <w:vMerge/>
            <w:tcBorders>
              <w:top w:val="single" w:sz="4" w:space="0" w:color="5B9BD5"/>
              <w:left w:val="single" w:sz="4" w:space="0" w:color="5B9BD5"/>
              <w:bottom w:val="single" w:sz="4" w:space="0" w:color="5B9BD5"/>
              <w:right w:val="single" w:sz="4" w:space="0" w:color="5B9BD5"/>
            </w:tcBorders>
            <w:shd w:val="clear" w:color="auto" w:fill="B8CCE4"/>
          </w:tcPr>
          <w:p w:rsidR="00AA4661" w:rsidRPr="00F8728A" w:rsidRDefault="00AA4661" w:rsidP="00FF5825">
            <w:pPr>
              <w:spacing w:before="20" w:after="20"/>
              <w:jc w:val="center"/>
              <w:rPr>
                <w:rFonts w:ascii="Calibri" w:hAnsi="Calibri" w:cs="Calibri"/>
                <w:b/>
                <w:sz w:val="22"/>
              </w:rPr>
            </w:pP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Ограничаване на градското разрастване чрез по-добро пространствено планиране</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 xml:space="preserve">Приоритетно развитие на изоставени промишлени терени вместо застрояване на „зелена поляна“ </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Обновяване на сградния фонд и прилагане на стандартите за енергийна ефективност на ЕС</w:t>
            </w:r>
          </w:p>
        </w:tc>
      </w:tr>
      <w:tr w:rsidR="00AA4661" w:rsidRPr="00F8728A" w:rsidTr="00FF5825">
        <w:trPr>
          <w:cantSplit/>
          <w:jc w:val="center"/>
        </w:trPr>
        <w:tc>
          <w:tcPr>
            <w:tcW w:w="1821" w:type="dxa"/>
            <w:vMerge/>
            <w:tcBorders>
              <w:top w:val="single" w:sz="4" w:space="0" w:color="5B9BD5"/>
              <w:left w:val="single" w:sz="4" w:space="0" w:color="5B9BD5"/>
              <w:bottom w:val="single" w:sz="4" w:space="0" w:color="5B9BD5"/>
              <w:right w:val="single" w:sz="4" w:space="0" w:color="5B9BD5"/>
            </w:tcBorders>
            <w:shd w:val="clear" w:color="auto" w:fill="B8CCE4"/>
          </w:tcPr>
          <w:p w:rsidR="00AA4661" w:rsidRPr="00F8728A" w:rsidRDefault="00AA4661" w:rsidP="00FF5825">
            <w:pPr>
              <w:spacing w:before="20" w:after="20"/>
              <w:jc w:val="center"/>
              <w:rPr>
                <w:rFonts w:ascii="Calibri" w:hAnsi="Calibri" w:cs="Calibri"/>
                <w:b/>
                <w:sz w:val="22"/>
              </w:rPr>
            </w:pP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 xml:space="preserve">Опазване на горите и зелените коридори за по-добро естествено проветряване на прилежащите градски територии </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Контролиране или забрана за строителство в обществени открити и зелени пространства, училищни дворове и др.</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Въвеждане на зелени стени и зелени покриви на нови сгради</w:t>
            </w:r>
          </w:p>
        </w:tc>
      </w:tr>
      <w:tr w:rsidR="00AA4661" w:rsidRPr="00F8728A" w:rsidTr="00FF5825">
        <w:trPr>
          <w:jc w:val="center"/>
        </w:trPr>
        <w:tc>
          <w:tcPr>
            <w:tcW w:w="1821" w:type="dxa"/>
            <w:vMerge/>
            <w:tcBorders>
              <w:top w:val="single" w:sz="4" w:space="0" w:color="5B9BD5"/>
              <w:left w:val="single" w:sz="4" w:space="0" w:color="5B9BD5"/>
              <w:bottom w:val="single" w:sz="4" w:space="0" w:color="5B9BD5"/>
              <w:right w:val="single" w:sz="4" w:space="0" w:color="5B9BD5"/>
            </w:tcBorders>
            <w:shd w:val="clear" w:color="auto" w:fill="B8CCE4"/>
          </w:tcPr>
          <w:p w:rsidR="00AA4661" w:rsidRPr="00F8728A" w:rsidRDefault="00AA4661" w:rsidP="00FF5825">
            <w:pPr>
              <w:spacing w:before="20" w:after="20"/>
              <w:jc w:val="center"/>
              <w:rPr>
                <w:rFonts w:ascii="Calibri" w:hAnsi="Calibri" w:cs="Calibri"/>
                <w:b/>
                <w:sz w:val="22"/>
              </w:rPr>
            </w:pP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Въвеждане на планове за интегрирана градска мобилност в по-големите градове и транспониране на принципите им в по-малките;</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Дострояване на линиите на метрото в София.</w:t>
            </w:r>
          </w:p>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Развиване на велосипедната мрежа в градските територии и предградията</w:t>
            </w:r>
          </w:p>
        </w:tc>
      </w:tr>
      <w:tr w:rsidR="00AA4661" w:rsidRPr="00F8728A" w:rsidTr="00FF5825">
        <w:trPr>
          <w:jc w:val="center"/>
        </w:trPr>
        <w:tc>
          <w:tcPr>
            <w:tcW w:w="1821" w:type="dxa"/>
            <w:vMerge/>
            <w:tcBorders>
              <w:top w:val="single" w:sz="4" w:space="0" w:color="5B9BD5"/>
              <w:left w:val="single" w:sz="4" w:space="0" w:color="5B9BD5"/>
              <w:bottom w:val="single" w:sz="4" w:space="0" w:color="5B9BD5"/>
              <w:right w:val="single" w:sz="4" w:space="0" w:color="5B9BD5"/>
            </w:tcBorders>
            <w:shd w:val="clear" w:color="auto" w:fill="B8CCE4"/>
          </w:tcPr>
          <w:p w:rsidR="00AA4661" w:rsidRPr="00F8728A" w:rsidRDefault="00AA4661" w:rsidP="00FF5825">
            <w:pPr>
              <w:spacing w:before="20" w:after="20"/>
              <w:jc w:val="center"/>
              <w:rPr>
                <w:rFonts w:ascii="Calibri" w:hAnsi="Calibri" w:cs="Calibri"/>
                <w:b/>
                <w:sz w:val="22"/>
              </w:rPr>
            </w:pP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Установяване на връзки между регионалните и градските транспортни системи</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Развиване на зелен транспорт и използване на електрически превозни средства;</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Иновации в производството и строителството на нови сгради;</w:t>
            </w:r>
          </w:p>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Подходящи материали и изолация;</w:t>
            </w:r>
          </w:p>
        </w:tc>
      </w:tr>
      <w:tr w:rsidR="00AA4661" w:rsidRPr="00F8728A" w:rsidTr="00FF5825">
        <w:trPr>
          <w:jc w:val="center"/>
        </w:trPr>
        <w:tc>
          <w:tcPr>
            <w:tcW w:w="1821"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tcPr>
          <w:p w:rsidR="00AA4661" w:rsidRPr="00F8728A" w:rsidRDefault="00AA4661" w:rsidP="00FF5825">
            <w:pPr>
              <w:spacing w:before="20" w:after="20"/>
              <w:jc w:val="center"/>
              <w:rPr>
                <w:rFonts w:ascii="Calibri" w:hAnsi="Calibri" w:cs="Calibri"/>
                <w:b/>
                <w:sz w:val="22"/>
              </w:rPr>
            </w:pPr>
            <w:r w:rsidRPr="00F8728A">
              <w:rPr>
                <w:rFonts w:ascii="Calibri" w:hAnsi="Calibri" w:cs="Calibri"/>
                <w:b/>
                <w:sz w:val="22"/>
              </w:rPr>
              <w:t>Наводнение/ буря</w:t>
            </w: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Установяване на териториите с опасност от наводнения за цялата страна въз основа на оценка на риска от наводнения на речните басейни</w:t>
            </w: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Интегрирано управление на крайбрежните зони и речните басейни за територии по р. Дунав и Черноморието</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Картографиране на зоните с риск от наводнение и ограничаване на строителството в  схемите за пространствено развитие</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Използване на устойчиви на наводнения материали и подходяща изолация</w:t>
            </w:r>
          </w:p>
        </w:tc>
      </w:tr>
      <w:tr w:rsidR="00AA4661" w:rsidRPr="00F8728A" w:rsidTr="00FF5825">
        <w:trPr>
          <w:jc w:val="center"/>
        </w:trPr>
        <w:tc>
          <w:tcPr>
            <w:tcW w:w="1821" w:type="dxa"/>
            <w:vMerge/>
            <w:tcBorders>
              <w:top w:val="single" w:sz="4" w:space="0" w:color="5B9BD5"/>
              <w:left w:val="single" w:sz="4" w:space="0" w:color="5B9BD5"/>
              <w:bottom w:val="single" w:sz="4" w:space="0" w:color="5B9BD5"/>
              <w:right w:val="single" w:sz="4" w:space="0" w:color="5B9BD5"/>
            </w:tcBorders>
            <w:shd w:val="clear" w:color="auto" w:fill="B8CCE4"/>
          </w:tcPr>
          <w:p w:rsidR="00AA4661" w:rsidRPr="00F8728A" w:rsidRDefault="00AA4661" w:rsidP="00FF5825">
            <w:pPr>
              <w:spacing w:before="20" w:after="20"/>
              <w:jc w:val="center"/>
              <w:rPr>
                <w:rFonts w:ascii="Calibri" w:hAnsi="Calibri" w:cs="Calibri"/>
                <w:b/>
                <w:sz w:val="22"/>
              </w:rPr>
            </w:pP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Разработване на синтезна  схема за рисковете от природни бедствия към НКПР</w:t>
            </w: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Обмен на информация относно зоните, изложени на риск от наводнение, от плановете на речните басейни в регионалните схеми за пространствено развитие</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Балансиране на твърдите и зелени покрития в градския ландшафт и внедряване на по-добри системи и повърхности за отводняване</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Пренастаняване  на уязвимите групи;</w:t>
            </w:r>
          </w:p>
        </w:tc>
      </w:tr>
      <w:tr w:rsidR="00AA4661" w:rsidRPr="00F8728A" w:rsidTr="00FF5825">
        <w:trPr>
          <w:jc w:val="center"/>
        </w:trPr>
        <w:tc>
          <w:tcPr>
            <w:tcW w:w="1821" w:type="dxa"/>
            <w:vMerge/>
            <w:tcBorders>
              <w:top w:val="single" w:sz="4" w:space="0" w:color="5B9BD5"/>
              <w:left w:val="single" w:sz="4" w:space="0" w:color="5B9BD5"/>
              <w:bottom w:val="single" w:sz="4" w:space="0" w:color="5B9BD5"/>
              <w:right w:val="single" w:sz="4" w:space="0" w:color="5B9BD5"/>
            </w:tcBorders>
            <w:shd w:val="clear" w:color="auto" w:fill="B8CCE4"/>
          </w:tcPr>
          <w:p w:rsidR="00AA4661" w:rsidRPr="00F8728A" w:rsidRDefault="00AA4661" w:rsidP="00FF5825">
            <w:pPr>
              <w:spacing w:before="20" w:after="20"/>
              <w:jc w:val="center"/>
              <w:rPr>
                <w:rFonts w:ascii="Calibri" w:hAnsi="Calibri" w:cs="Calibri"/>
                <w:b/>
                <w:sz w:val="22"/>
              </w:rPr>
            </w:pP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Контрол върху резервоарите и каналите, поддръжка и почистване на речните корита</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 xml:space="preserve">Разработка и внедряване на интегрирани планове за градска инфраструктура; </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Реконструкция на инфраструктурата, особено канализацията за повърхностни/дъждовни води;</w:t>
            </w:r>
          </w:p>
        </w:tc>
      </w:tr>
      <w:tr w:rsidR="00AA4661" w:rsidRPr="00F8728A" w:rsidTr="00FF5825">
        <w:trPr>
          <w:jc w:val="center"/>
        </w:trPr>
        <w:tc>
          <w:tcPr>
            <w:tcW w:w="1821" w:type="dxa"/>
            <w:vMerge/>
            <w:tcBorders>
              <w:top w:val="single" w:sz="4" w:space="0" w:color="5B9BD5"/>
              <w:left w:val="single" w:sz="4" w:space="0" w:color="5B9BD5"/>
              <w:bottom w:val="single" w:sz="4" w:space="0" w:color="5B9BD5"/>
              <w:right w:val="single" w:sz="4" w:space="0" w:color="5B9BD5"/>
            </w:tcBorders>
            <w:shd w:val="clear" w:color="auto" w:fill="B8CCE4"/>
          </w:tcPr>
          <w:p w:rsidR="00AA4661" w:rsidRPr="00F8728A" w:rsidRDefault="00AA4661" w:rsidP="00FF5825">
            <w:pPr>
              <w:spacing w:before="20" w:after="20"/>
              <w:jc w:val="center"/>
              <w:rPr>
                <w:rFonts w:ascii="Calibri" w:hAnsi="Calibri" w:cs="Calibri"/>
                <w:b/>
                <w:sz w:val="22"/>
              </w:rPr>
            </w:pP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Инспектиране на язовирни стени</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 xml:space="preserve">Разработка на съвременни системи за ранно предупреждаване, вкл. за зоните около язовир Искър и язовир Кърджали. </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 xml:space="preserve">Строителство на съоръжения за зашита от наводнения и изграждане на бариери </w:t>
            </w:r>
          </w:p>
        </w:tc>
      </w:tr>
      <w:tr w:rsidR="00AA4661" w:rsidRPr="00F8728A" w:rsidTr="00FF5825">
        <w:trPr>
          <w:jc w:val="center"/>
        </w:trPr>
        <w:tc>
          <w:tcPr>
            <w:tcW w:w="1821" w:type="dxa"/>
            <w:tcBorders>
              <w:top w:val="single" w:sz="4" w:space="0" w:color="5B9BD5"/>
              <w:left w:val="single" w:sz="4" w:space="0" w:color="5B9BD5"/>
              <w:bottom w:val="single" w:sz="4" w:space="0" w:color="5B9BD5"/>
              <w:right w:val="single" w:sz="4" w:space="0" w:color="5B9BD5"/>
            </w:tcBorders>
            <w:shd w:val="clear" w:color="auto" w:fill="B8CCE4"/>
            <w:vAlign w:val="center"/>
          </w:tcPr>
          <w:p w:rsidR="00AA4661" w:rsidRPr="00F8728A" w:rsidRDefault="00AA4661" w:rsidP="00FF5825">
            <w:pPr>
              <w:spacing w:before="20" w:after="20"/>
              <w:jc w:val="center"/>
              <w:rPr>
                <w:rFonts w:ascii="Calibri" w:hAnsi="Calibri" w:cs="Calibri"/>
                <w:b/>
                <w:sz w:val="22"/>
              </w:rPr>
            </w:pPr>
            <w:r w:rsidRPr="00F8728A">
              <w:rPr>
                <w:rFonts w:ascii="Calibri" w:hAnsi="Calibri" w:cs="Calibri"/>
                <w:b/>
                <w:sz w:val="22"/>
              </w:rPr>
              <w:t>Свлачища</w:t>
            </w: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 xml:space="preserve">Включване на зоните с геоложки рискове и регистрираните свлачища в синтезнатата схема към НКПР </w:t>
            </w: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Поддръжка на добре установена система за мониторинг на зони с геоложки рискове</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Пълно ограничение и по-добър контрол върху рисковите зони и разрушаване на незаконните сгради</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 xml:space="preserve">Геозащитни съоръжения и конструкции, интегрирани в ландшафтните планове </w:t>
            </w:r>
          </w:p>
        </w:tc>
      </w:tr>
      <w:tr w:rsidR="00AA4661" w:rsidRPr="00F8728A" w:rsidTr="00FF5825">
        <w:trPr>
          <w:jc w:val="center"/>
        </w:trPr>
        <w:tc>
          <w:tcPr>
            <w:tcW w:w="1821"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tcPr>
          <w:p w:rsidR="00AA4661" w:rsidRPr="00F8728A" w:rsidRDefault="00AA4661" w:rsidP="00FF5825">
            <w:pPr>
              <w:spacing w:before="20" w:after="20"/>
              <w:jc w:val="center"/>
              <w:rPr>
                <w:rFonts w:ascii="Calibri" w:hAnsi="Calibri" w:cs="Calibri"/>
                <w:b/>
                <w:sz w:val="22"/>
              </w:rPr>
            </w:pPr>
            <w:r w:rsidRPr="00F8728A">
              <w:rPr>
                <w:rFonts w:ascii="Calibri" w:hAnsi="Calibri" w:cs="Calibri"/>
                <w:b/>
                <w:sz w:val="22"/>
              </w:rPr>
              <w:t>Пожари в природата/ горски пожари и пожари в градска среда</w:t>
            </w: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Интегриране на плановете за управление на горите с НКПР</w:t>
            </w: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Интегриране на плановете за управление на горите с регионалните схеми за пространствено развитие</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Идентификация на застрашените от пожар зони в  общите устройствени  планове</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p>
        </w:tc>
      </w:tr>
      <w:tr w:rsidR="00AA4661" w:rsidRPr="00F8728A" w:rsidTr="00FF5825">
        <w:trPr>
          <w:jc w:val="center"/>
        </w:trPr>
        <w:tc>
          <w:tcPr>
            <w:tcW w:w="1821" w:type="dxa"/>
            <w:vMerge/>
            <w:tcBorders>
              <w:top w:val="single" w:sz="4" w:space="0" w:color="5B9BD5"/>
              <w:left w:val="single" w:sz="4" w:space="0" w:color="5B9BD5"/>
              <w:bottom w:val="single" w:sz="4" w:space="0" w:color="5B9BD5"/>
              <w:right w:val="single" w:sz="4" w:space="0" w:color="5B9BD5"/>
            </w:tcBorders>
            <w:shd w:val="clear" w:color="auto" w:fill="B8CCE4"/>
          </w:tcPr>
          <w:p w:rsidR="00AA4661" w:rsidRPr="00F8728A" w:rsidRDefault="00AA4661" w:rsidP="00FF5825">
            <w:pPr>
              <w:spacing w:before="20" w:after="20"/>
              <w:jc w:val="center"/>
              <w:rPr>
                <w:rFonts w:ascii="Calibri" w:hAnsi="Calibri" w:cs="Calibri"/>
                <w:b/>
                <w:sz w:val="22"/>
              </w:rPr>
            </w:pP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Разрушаване на незаконните жилища и пренастаняване на застрашените обитатели</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Ревизия на сградния фонд и внедряване на текущите норми и съоръжения за пожарна безопасност</w:t>
            </w:r>
          </w:p>
        </w:tc>
      </w:tr>
      <w:tr w:rsidR="00AA4661" w:rsidRPr="00F8728A" w:rsidTr="00FF5825">
        <w:trPr>
          <w:cantSplit/>
          <w:jc w:val="center"/>
        </w:trPr>
        <w:tc>
          <w:tcPr>
            <w:tcW w:w="1821" w:type="dxa"/>
            <w:vMerge/>
            <w:tcBorders>
              <w:top w:val="single" w:sz="4" w:space="0" w:color="5B9BD5"/>
              <w:left w:val="single" w:sz="4" w:space="0" w:color="5B9BD5"/>
              <w:bottom w:val="single" w:sz="4" w:space="0" w:color="5B9BD5"/>
              <w:right w:val="single" w:sz="4" w:space="0" w:color="5B9BD5"/>
            </w:tcBorders>
            <w:shd w:val="clear" w:color="auto" w:fill="B8CCE4"/>
          </w:tcPr>
          <w:p w:rsidR="00AA4661" w:rsidRPr="00F8728A" w:rsidRDefault="00AA4661" w:rsidP="00FF5825">
            <w:pPr>
              <w:spacing w:before="20" w:after="20"/>
              <w:jc w:val="center"/>
              <w:rPr>
                <w:rFonts w:ascii="Calibri" w:hAnsi="Calibri" w:cs="Calibri"/>
                <w:b/>
                <w:sz w:val="22"/>
              </w:rPr>
            </w:pP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 xml:space="preserve">Класификация и картографиране на застрашените от пожари земеделски земи </w:t>
            </w: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 xml:space="preserve">Поддръжка на горските противопожарни просеки </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 xml:space="preserve">Подходящо разполагане на противопожарните съоръжения </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Ревизия на противопожарното оборудване на сградите</w:t>
            </w:r>
          </w:p>
        </w:tc>
      </w:tr>
      <w:tr w:rsidR="00AA4661" w:rsidRPr="00F8728A" w:rsidTr="00FF5825">
        <w:trPr>
          <w:jc w:val="center"/>
        </w:trPr>
        <w:tc>
          <w:tcPr>
            <w:tcW w:w="1821" w:type="dxa"/>
            <w:tcBorders>
              <w:top w:val="single" w:sz="4" w:space="0" w:color="5B9BD5"/>
              <w:left w:val="single" w:sz="4" w:space="0" w:color="5B9BD5"/>
              <w:bottom w:val="single" w:sz="4" w:space="0" w:color="5B9BD5"/>
              <w:right w:val="single" w:sz="4" w:space="0" w:color="5B9BD5"/>
            </w:tcBorders>
            <w:shd w:val="clear" w:color="auto" w:fill="B8CCE4"/>
          </w:tcPr>
          <w:p w:rsidR="00AA4661" w:rsidRPr="00F8728A" w:rsidRDefault="00AA4661" w:rsidP="00FF5825">
            <w:pPr>
              <w:spacing w:before="20" w:after="20"/>
              <w:jc w:val="center"/>
              <w:rPr>
                <w:rFonts w:ascii="Calibri" w:hAnsi="Calibri" w:cs="Calibri"/>
                <w:b/>
                <w:sz w:val="22"/>
              </w:rPr>
            </w:pP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Поддръжка на основната транспортна инфраструктура за по-добър достъп при извънредни ситуации</w:t>
            </w: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Поддръжка на водните резервоари и събиране на вода за извънредни нужди</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Подходящо разполагане на системи за ранно предупреждение и съоръжения за извънредни ситуации</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Поддръжка на машини и техника, включително алармени системи на сгради</w:t>
            </w:r>
          </w:p>
        </w:tc>
      </w:tr>
      <w:tr w:rsidR="00AA4661" w:rsidRPr="00F8728A" w:rsidTr="00FF5825">
        <w:trPr>
          <w:jc w:val="center"/>
        </w:trPr>
        <w:tc>
          <w:tcPr>
            <w:tcW w:w="1821"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tcPr>
          <w:p w:rsidR="00AA4661" w:rsidRPr="00F8728A" w:rsidRDefault="00AA4661" w:rsidP="00FF5825">
            <w:pPr>
              <w:spacing w:before="20" w:after="20"/>
              <w:jc w:val="center"/>
              <w:rPr>
                <w:rFonts w:ascii="Calibri" w:hAnsi="Calibri" w:cs="Calibri"/>
                <w:b/>
                <w:sz w:val="22"/>
              </w:rPr>
            </w:pPr>
            <w:r w:rsidRPr="00F8728A">
              <w:rPr>
                <w:rFonts w:ascii="Calibri" w:hAnsi="Calibri" w:cs="Calibri"/>
                <w:b/>
                <w:sz w:val="22"/>
              </w:rPr>
              <w:t>Проблеми с водата в градовете</w:t>
            </w: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 xml:space="preserve">Поддържане и мониторинг на нуждите от водоснабдяване </w:t>
            </w: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 xml:space="preserve">Контрол върху качеството на питейната вода </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Интегриране на реконструкцията на водоснабдителната инфраструктура с Интегрираните планове за градско възстановяване и развитие  (ИПГВР)</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Култура и съоръжения за ниско потребление на вода;</w:t>
            </w:r>
          </w:p>
          <w:p w:rsidR="00AA4661" w:rsidRPr="00F8728A" w:rsidRDefault="00AA4661" w:rsidP="00FF5825">
            <w:pPr>
              <w:spacing w:before="20" w:after="20"/>
              <w:jc w:val="both"/>
              <w:rPr>
                <w:rFonts w:asciiTheme="minorHAnsi" w:hAnsiTheme="minorHAnsi" w:cs="Calibri"/>
                <w:szCs w:val="20"/>
              </w:rPr>
            </w:pPr>
          </w:p>
        </w:tc>
      </w:tr>
      <w:tr w:rsidR="00AA4661" w:rsidRPr="00F8728A" w:rsidTr="00FF5825">
        <w:trPr>
          <w:jc w:val="center"/>
        </w:trPr>
        <w:tc>
          <w:tcPr>
            <w:tcW w:w="1821" w:type="dxa"/>
            <w:vMerge/>
            <w:tcBorders>
              <w:top w:val="single" w:sz="4" w:space="0" w:color="5B9BD5"/>
              <w:left w:val="single" w:sz="4" w:space="0" w:color="5B9BD5"/>
              <w:bottom w:val="single" w:sz="4" w:space="0" w:color="5B9BD5"/>
              <w:right w:val="single" w:sz="4" w:space="0" w:color="5B9BD5"/>
            </w:tcBorders>
            <w:shd w:val="clear" w:color="auto" w:fill="B8CCE4"/>
          </w:tcPr>
          <w:p w:rsidR="00AA4661" w:rsidRPr="00F8728A" w:rsidRDefault="00AA4661" w:rsidP="00FF5825">
            <w:pPr>
              <w:spacing w:before="20" w:after="20"/>
              <w:jc w:val="center"/>
              <w:rPr>
                <w:rFonts w:ascii="Calibri" w:hAnsi="Calibri" w:cs="Calibri"/>
                <w:b/>
                <w:sz w:val="22"/>
              </w:rPr>
            </w:pP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Залесяване за по-добро задържане на сняг/ вода</w:t>
            </w: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Проучване на местните водни ресурси и разработка на инфраструктура и съоръжения;</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 xml:space="preserve">Използване на рециклирана вода за градските водни съоръжения </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Събиране и повторно използване на дъждовната вода</w:t>
            </w:r>
          </w:p>
        </w:tc>
      </w:tr>
      <w:tr w:rsidR="00AA4661" w:rsidRPr="00F8728A" w:rsidTr="00FF5825">
        <w:trPr>
          <w:jc w:val="center"/>
        </w:trPr>
        <w:tc>
          <w:tcPr>
            <w:tcW w:w="1821" w:type="dxa"/>
            <w:vMerge/>
            <w:tcBorders>
              <w:top w:val="single" w:sz="4" w:space="0" w:color="5B9BD5"/>
              <w:left w:val="single" w:sz="4" w:space="0" w:color="5B9BD5"/>
              <w:bottom w:val="single" w:sz="4" w:space="0" w:color="5B9BD5"/>
              <w:right w:val="single" w:sz="4" w:space="0" w:color="5B9BD5"/>
            </w:tcBorders>
            <w:shd w:val="clear" w:color="auto" w:fill="B8CCE4"/>
          </w:tcPr>
          <w:p w:rsidR="00AA4661" w:rsidRPr="00F8728A" w:rsidRDefault="00AA4661" w:rsidP="00FF5825">
            <w:pPr>
              <w:spacing w:before="20" w:after="20"/>
              <w:jc w:val="center"/>
              <w:rPr>
                <w:rFonts w:ascii="Calibri" w:hAnsi="Calibri" w:cs="Calibri"/>
                <w:b/>
                <w:sz w:val="22"/>
              </w:rPr>
            </w:pP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Реконструкция на водоснабдителната мрежа и съоръжения;</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p>
        </w:tc>
      </w:tr>
      <w:tr w:rsidR="00AA4661" w:rsidRPr="00F8728A" w:rsidTr="00FF5825">
        <w:trPr>
          <w:jc w:val="center"/>
        </w:trPr>
        <w:tc>
          <w:tcPr>
            <w:tcW w:w="1821"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tcPr>
          <w:p w:rsidR="00AA4661" w:rsidRPr="00F8728A" w:rsidRDefault="00AA4661" w:rsidP="00FF5825">
            <w:pPr>
              <w:spacing w:before="20" w:after="20"/>
              <w:jc w:val="center"/>
              <w:rPr>
                <w:rFonts w:ascii="Calibri" w:hAnsi="Calibri" w:cs="Calibri"/>
                <w:b/>
                <w:sz w:val="22"/>
              </w:rPr>
            </w:pPr>
            <w:r w:rsidRPr="00F8728A">
              <w:rPr>
                <w:rFonts w:ascii="Calibri" w:hAnsi="Calibri" w:cs="Calibri"/>
                <w:b/>
                <w:sz w:val="22"/>
              </w:rPr>
              <w:t>Земетресения</w:t>
            </w: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Разработване на по-добри разпоредби за устройствено планиране на зони със сеизмичен риск</w:t>
            </w: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Поддръжка на пътно-транспортната мрежа за по-добра достъпност при извънредни ситуации</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Защита на ООП, училищните и други дворове като аварийни изходи</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Прилагане на еврокодове в строителното проектиране</w:t>
            </w:r>
          </w:p>
          <w:p w:rsidR="00AA4661" w:rsidRPr="00F8728A" w:rsidRDefault="00AA4661" w:rsidP="00FF5825">
            <w:pPr>
              <w:spacing w:before="20" w:after="20"/>
              <w:jc w:val="both"/>
              <w:rPr>
                <w:rFonts w:asciiTheme="minorHAnsi" w:hAnsiTheme="minorHAnsi" w:cs="Calibri"/>
                <w:szCs w:val="20"/>
              </w:rPr>
            </w:pPr>
          </w:p>
        </w:tc>
      </w:tr>
      <w:tr w:rsidR="00AA4661" w:rsidRPr="00F8728A" w:rsidTr="00FF5825">
        <w:trPr>
          <w:jc w:val="center"/>
        </w:trPr>
        <w:tc>
          <w:tcPr>
            <w:tcW w:w="1821" w:type="dxa"/>
            <w:vMerge/>
            <w:tcBorders>
              <w:top w:val="single" w:sz="4" w:space="0" w:color="5B9BD5"/>
              <w:left w:val="single" w:sz="4" w:space="0" w:color="5B9BD5"/>
              <w:bottom w:val="single" w:sz="4" w:space="0" w:color="5B9BD5"/>
              <w:right w:val="single" w:sz="4" w:space="0" w:color="5B9BD5"/>
            </w:tcBorders>
            <w:shd w:val="clear" w:color="auto" w:fill="B8CCE4"/>
          </w:tcPr>
          <w:p w:rsidR="00AA4661" w:rsidRPr="00F8728A" w:rsidRDefault="00AA4661" w:rsidP="00FF5825">
            <w:pPr>
              <w:spacing w:before="20" w:after="20"/>
              <w:jc w:val="both"/>
              <w:rPr>
                <w:rFonts w:ascii="Calibri" w:hAnsi="Calibri" w:cs="Calibri"/>
                <w:sz w:val="22"/>
              </w:rPr>
            </w:pP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Превантивни мерки за археологическите обекти и културното наследство от национално значение.</w:t>
            </w: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 xml:space="preserve">Контрол върху местоположението на по-високите сгради спрямо регулационните  линии по дължината на основните градски транспортни артерии в подробните устройствени планове </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Обследване на конструкцията и структурно подсилване на сградния фонд и инфраструктурата</w:t>
            </w:r>
          </w:p>
        </w:tc>
      </w:tr>
      <w:tr w:rsidR="00AA4661" w:rsidRPr="00F8728A" w:rsidTr="00FF5825">
        <w:trPr>
          <w:jc w:val="center"/>
        </w:trPr>
        <w:tc>
          <w:tcPr>
            <w:tcW w:w="1821" w:type="dxa"/>
            <w:vMerge/>
            <w:tcBorders>
              <w:top w:val="single" w:sz="4" w:space="0" w:color="5B9BD5"/>
              <w:left w:val="single" w:sz="4" w:space="0" w:color="5B9BD5"/>
              <w:bottom w:val="single" w:sz="4" w:space="0" w:color="5B9BD5"/>
              <w:right w:val="single" w:sz="4" w:space="0" w:color="5B9BD5"/>
            </w:tcBorders>
            <w:shd w:val="clear" w:color="auto" w:fill="B8CCE4"/>
          </w:tcPr>
          <w:p w:rsidR="00AA4661" w:rsidRPr="00F8728A" w:rsidRDefault="00AA4661" w:rsidP="00FF5825">
            <w:pPr>
              <w:spacing w:before="20" w:after="20"/>
              <w:jc w:val="both"/>
              <w:rPr>
                <w:rFonts w:ascii="Calibri" w:hAnsi="Calibri" w:cs="Calibri"/>
                <w:sz w:val="22"/>
              </w:rPr>
            </w:pP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Разработка на сценарии за сеизмичен риск за големите градове в страната</w:t>
            </w: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 xml:space="preserve">Защита от сеизмичен риск на важните обществени сгради (училища, болници), критична инфраструктура </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Забрана за реконструкция с изменения в структурните елементи на приземните етажи на сградите (конструктивни промени)</w:t>
            </w:r>
          </w:p>
        </w:tc>
      </w:tr>
      <w:tr w:rsidR="00AA4661" w:rsidRPr="00F8728A" w:rsidTr="00FF5825">
        <w:trPr>
          <w:jc w:val="center"/>
        </w:trPr>
        <w:tc>
          <w:tcPr>
            <w:tcW w:w="1821" w:type="dxa"/>
            <w:vMerge/>
            <w:tcBorders>
              <w:top w:val="single" w:sz="4" w:space="0" w:color="5B9BD5"/>
              <w:left w:val="single" w:sz="4" w:space="0" w:color="5B9BD5"/>
              <w:bottom w:val="single" w:sz="4" w:space="0" w:color="5B9BD5"/>
              <w:right w:val="single" w:sz="4" w:space="0" w:color="5B9BD5"/>
            </w:tcBorders>
            <w:shd w:val="clear" w:color="auto" w:fill="B8CCE4"/>
          </w:tcPr>
          <w:p w:rsidR="00AA4661" w:rsidRPr="00F8728A" w:rsidRDefault="00AA4661" w:rsidP="00FF5825">
            <w:pPr>
              <w:spacing w:before="20" w:after="20"/>
              <w:jc w:val="both"/>
              <w:rPr>
                <w:rFonts w:ascii="Calibri" w:hAnsi="Calibri" w:cs="Calibri"/>
                <w:sz w:val="22"/>
              </w:rPr>
            </w:pP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Международно сътрудничество и обмен на данни за сеизмичната активност</w:t>
            </w: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 xml:space="preserve">Разработка на сценарии за сеизмичен риск за големите градове </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Разработка и поддръжка на система за ранно предупреждаване</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 xml:space="preserve">Обучаване на аварийните служители и населението за подходящо поведение преди, по време на и след земетресение </w:t>
            </w:r>
          </w:p>
        </w:tc>
      </w:tr>
    </w:tbl>
    <w:p w:rsidR="00AA4661" w:rsidRPr="00F8728A" w:rsidRDefault="00AA4661" w:rsidP="00776E5B">
      <w:pPr>
        <w:autoSpaceDE w:val="0"/>
        <w:autoSpaceDN w:val="0"/>
        <w:adjustRightInd w:val="0"/>
        <w:spacing w:before="120" w:after="120"/>
        <w:jc w:val="center"/>
        <w:rPr>
          <w:rFonts w:ascii="Calibri" w:hAnsi="Calibri" w:cs="Calibri"/>
          <w:i/>
          <w:szCs w:val="20"/>
        </w:rPr>
      </w:pPr>
      <w:r w:rsidRPr="00F8728A">
        <w:rPr>
          <w:rFonts w:ascii="Calibri" w:hAnsi="Calibri" w:cs="Calibri"/>
          <w:i/>
          <w:szCs w:val="20"/>
        </w:rPr>
        <w:t xml:space="preserve">Източници: Национална програма за защита при бедствия 2014–2018 г., адрес: </w:t>
      </w:r>
      <w:hyperlink r:id="rId164" w:history="1">
        <w:r w:rsidRPr="00F8728A">
          <w:rPr>
            <w:rFonts w:ascii="Calibri" w:hAnsi="Calibri" w:cs="Calibri"/>
            <w:i/>
            <w:szCs w:val="20"/>
            <w:u w:val="single"/>
          </w:rPr>
          <w:t>http://www.nspbzn.mvr.bg/NR/rdonlyres/317033AA-E99D-4C51-AC8E-DB37272F2866/0/NPZB_20142018.pdf</w:t>
        </w:r>
      </w:hyperlink>
      <w:r w:rsidRPr="00F8728A">
        <w:rPr>
          <w:rFonts w:ascii="Calibri" w:hAnsi="Calibri" w:cs="Calibri"/>
          <w:i/>
          <w:szCs w:val="20"/>
        </w:rPr>
        <w:t xml:space="preserve"> и Национална програма за превенция и ограничаване на свлачищата на територията на Република България, ерозията и абразията по дунавското и черноморското крайбрежие 2015–2020 г., </w:t>
      </w:r>
      <w:hyperlink r:id="rId165" w:history="1">
        <w:r w:rsidRPr="00F8728A">
          <w:rPr>
            <w:rFonts w:ascii="Calibri" w:hAnsi="Calibri" w:cs="Calibri"/>
            <w:i/>
            <w:szCs w:val="20"/>
            <w:u w:val="single"/>
          </w:rPr>
          <w:t>http://www.mrrb.government.bg/nacionalna-programa-za-prevenciya-i-ogranichavane-na-svlachistata-na-teritoriyata-na-republika-bulgariya-eroziyata-i-abraziyata-po-dunavskoto-i-chernomorskoto-krajbrejie-2015-2020-g-i-dopulnenie-kum-neya-s-novovuzniknali-77199/</w:t>
        </w:r>
      </w:hyperlink>
      <w:r w:rsidRPr="00F8728A">
        <w:rPr>
          <w:rFonts w:ascii="Calibri" w:hAnsi="Calibri" w:cs="Calibri"/>
          <w:i/>
          <w:szCs w:val="20"/>
        </w:rPr>
        <w:t>, съставено ор НЦРР, София.</w:t>
      </w:r>
    </w:p>
    <w:p w:rsidR="00AA4661" w:rsidRPr="00F8728A" w:rsidRDefault="00AA4661" w:rsidP="00776E5B">
      <w:pPr>
        <w:widowControl w:val="0"/>
        <w:spacing w:after="0"/>
        <w:jc w:val="both"/>
        <w:rPr>
          <w:rFonts w:ascii="Times New Roman" w:hAnsi="Times New Roman"/>
          <w:sz w:val="24"/>
          <w:szCs w:val="24"/>
        </w:rPr>
      </w:pPr>
      <w:r w:rsidRPr="00F8728A">
        <w:br w:type="page"/>
      </w:r>
    </w:p>
    <w:p w:rsidR="00AA4661" w:rsidRPr="00D325A0" w:rsidRDefault="004E6834" w:rsidP="00B73D7E">
      <w:pPr>
        <w:pStyle w:val="FiguresTablesCaption"/>
      </w:pPr>
      <w:bookmarkStart w:id="966" w:name="_Toc486942244"/>
      <w:bookmarkStart w:id="967" w:name="_Toc501454921"/>
      <w:bookmarkStart w:id="968" w:name="_Toc529286661"/>
      <w:r w:rsidRPr="00D325A0">
        <w:t xml:space="preserve">Таблица </w:t>
      </w:r>
      <w:r w:rsidRPr="00D325A0">
        <w:fldChar w:fldCharType="begin"/>
      </w:r>
      <w:r w:rsidRPr="00D325A0">
        <w:instrText xml:space="preserve"> SEQ Table \* ARABIC </w:instrText>
      </w:r>
      <w:r w:rsidRPr="00D325A0">
        <w:fldChar w:fldCharType="separate"/>
      </w:r>
      <w:r w:rsidRPr="00B73D7E">
        <w:t>34</w:t>
      </w:r>
      <w:r w:rsidRPr="00D325A0">
        <w:fldChar w:fldCharType="end"/>
      </w:r>
      <w:r w:rsidRPr="00D325A0">
        <w:t xml:space="preserve">. </w:t>
      </w:r>
      <w:r w:rsidR="00AA4661" w:rsidRPr="00D325A0">
        <w:t>Общи мерки за адаптиране към промените в климата в българските стратегически документи</w:t>
      </w:r>
      <w:bookmarkEnd w:id="966"/>
      <w:bookmarkEnd w:id="967"/>
      <w:bookmarkEnd w:id="968"/>
    </w:p>
    <w:tbl>
      <w:tblPr>
        <w:tblW w:w="5000" w:type="pct"/>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2219"/>
        <w:gridCol w:w="2155"/>
        <w:gridCol w:w="1268"/>
        <w:gridCol w:w="1133"/>
        <w:gridCol w:w="4634"/>
        <w:gridCol w:w="2902"/>
      </w:tblGrid>
      <w:tr w:rsidR="00AA4661" w:rsidRPr="00F8728A" w:rsidTr="00776E5B">
        <w:trPr>
          <w:tblHeader/>
        </w:trPr>
        <w:tc>
          <w:tcPr>
            <w:tcW w:w="775" w:type="pct"/>
            <w:vMerge w:val="restart"/>
            <w:shd w:val="clear" w:color="auto" w:fill="365F91"/>
            <w:vAlign w:val="center"/>
          </w:tcPr>
          <w:p w:rsidR="00AA4661" w:rsidRPr="00F8728A" w:rsidRDefault="00AA4661" w:rsidP="00776E5B">
            <w:pPr>
              <w:spacing w:before="60" w:after="60"/>
              <w:jc w:val="center"/>
              <w:rPr>
                <w:rFonts w:ascii="Calibri" w:hAnsi="Calibri" w:cs="Calibri"/>
                <w:color w:val="FFFFFF"/>
                <w:szCs w:val="20"/>
              </w:rPr>
            </w:pPr>
            <w:r w:rsidRPr="00F8728A">
              <w:rPr>
                <w:rFonts w:ascii="Calibri" w:hAnsi="Calibri" w:cs="Calibri"/>
                <w:b/>
                <w:color w:val="FFFFFF"/>
                <w:szCs w:val="20"/>
              </w:rPr>
              <w:t>Възможности за адаптация</w:t>
            </w:r>
          </w:p>
        </w:tc>
        <w:tc>
          <w:tcPr>
            <w:tcW w:w="4225" w:type="pct"/>
            <w:gridSpan w:val="5"/>
            <w:shd w:val="clear" w:color="auto" w:fill="365F91"/>
          </w:tcPr>
          <w:p w:rsidR="00AA4661" w:rsidRPr="00F8728A" w:rsidRDefault="00AA4661" w:rsidP="00776E5B">
            <w:pPr>
              <w:spacing w:before="60" w:after="60"/>
              <w:jc w:val="center"/>
              <w:rPr>
                <w:rFonts w:ascii="Calibri" w:hAnsi="Calibri" w:cs="Calibri"/>
                <w:b/>
                <w:color w:val="FFFFFF"/>
                <w:szCs w:val="20"/>
              </w:rPr>
            </w:pPr>
            <w:r w:rsidRPr="00F8728A">
              <w:rPr>
                <w:rFonts w:ascii="Calibri" w:hAnsi="Calibri" w:cs="Calibri"/>
                <w:b/>
                <w:color w:val="FFFFFF"/>
                <w:szCs w:val="20"/>
              </w:rPr>
              <w:t>Мерки за адаптация към промените в климата</w:t>
            </w:r>
          </w:p>
        </w:tc>
      </w:tr>
      <w:tr w:rsidR="00AA4661" w:rsidRPr="00F8728A" w:rsidTr="00776E5B">
        <w:trPr>
          <w:tblHeader/>
        </w:trPr>
        <w:tc>
          <w:tcPr>
            <w:tcW w:w="775" w:type="pct"/>
            <w:vMerge/>
            <w:shd w:val="clear" w:color="auto" w:fill="365F91"/>
          </w:tcPr>
          <w:p w:rsidR="00AA4661" w:rsidRPr="00F8728A" w:rsidRDefault="00AA4661" w:rsidP="00776E5B">
            <w:pPr>
              <w:spacing w:before="60" w:after="60"/>
              <w:jc w:val="center"/>
              <w:rPr>
                <w:rFonts w:ascii="Calibri" w:hAnsi="Calibri" w:cs="Calibri"/>
                <w:b/>
                <w:color w:val="FFFFFF"/>
                <w:szCs w:val="20"/>
              </w:rPr>
            </w:pPr>
          </w:p>
        </w:tc>
        <w:tc>
          <w:tcPr>
            <w:tcW w:w="753" w:type="pct"/>
            <w:shd w:val="clear" w:color="auto" w:fill="F2F2F2"/>
            <w:vAlign w:val="center"/>
          </w:tcPr>
          <w:p w:rsidR="00AA4661" w:rsidRPr="00F8728A" w:rsidRDefault="00AA4661" w:rsidP="00776E5B">
            <w:pPr>
              <w:spacing w:before="60" w:after="60"/>
              <w:ind w:left="1416" w:hanging="1416"/>
              <w:jc w:val="center"/>
              <w:rPr>
                <w:rFonts w:ascii="Calibri" w:hAnsi="Calibri" w:cs="Calibri"/>
                <w:b/>
                <w:szCs w:val="20"/>
              </w:rPr>
            </w:pPr>
            <w:r w:rsidRPr="00F8728A">
              <w:rPr>
                <w:rFonts w:ascii="Calibri" w:hAnsi="Calibri" w:cs="Calibri"/>
                <w:b/>
                <w:szCs w:val="20"/>
              </w:rPr>
              <w:t>Национално ниво</w:t>
            </w:r>
          </w:p>
        </w:tc>
        <w:tc>
          <w:tcPr>
            <w:tcW w:w="839" w:type="pct"/>
            <w:gridSpan w:val="2"/>
            <w:shd w:val="clear" w:color="auto" w:fill="F2F2F2"/>
            <w:vAlign w:val="center"/>
          </w:tcPr>
          <w:p w:rsidR="00AA4661" w:rsidRPr="00F8728A" w:rsidRDefault="00AA4661" w:rsidP="00776E5B">
            <w:pPr>
              <w:spacing w:before="60" w:after="60"/>
              <w:jc w:val="center"/>
              <w:rPr>
                <w:rFonts w:ascii="Calibri" w:hAnsi="Calibri" w:cs="Calibri"/>
                <w:b/>
                <w:szCs w:val="20"/>
              </w:rPr>
            </w:pPr>
            <w:r w:rsidRPr="00F8728A">
              <w:rPr>
                <w:rFonts w:ascii="Calibri" w:hAnsi="Calibri" w:cs="Calibri"/>
                <w:b/>
                <w:szCs w:val="20"/>
              </w:rPr>
              <w:t>Регионално ниво</w:t>
            </w:r>
          </w:p>
        </w:tc>
        <w:tc>
          <w:tcPr>
            <w:tcW w:w="1619" w:type="pct"/>
            <w:shd w:val="clear" w:color="auto" w:fill="F2F2F2"/>
            <w:vAlign w:val="center"/>
          </w:tcPr>
          <w:p w:rsidR="00AA4661" w:rsidRPr="00F8728A" w:rsidRDefault="00AA4661" w:rsidP="00776E5B">
            <w:pPr>
              <w:spacing w:before="60" w:after="60"/>
              <w:jc w:val="center"/>
              <w:rPr>
                <w:rFonts w:ascii="Calibri" w:hAnsi="Calibri" w:cs="Calibri"/>
                <w:b/>
                <w:szCs w:val="20"/>
              </w:rPr>
            </w:pPr>
            <w:r w:rsidRPr="00F8728A">
              <w:rPr>
                <w:rFonts w:ascii="Calibri" w:hAnsi="Calibri" w:cs="Calibri"/>
                <w:b/>
                <w:szCs w:val="20"/>
              </w:rPr>
              <w:t>Местно/ градско ниво</w:t>
            </w:r>
          </w:p>
        </w:tc>
        <w:tc>
          <w:tcPr>
            <w:tcW w:w="1015" w:type="pct"/>
            <w:shd w:val="clear" w:color="auto" w:fill="F2F2F2"/>
            <w:vAlign w:val="center"/>
          </w:tcPr>
          <w:p w:rsidR="00AA4661" w:rsidRPr="00F8728A" w:rsidRDefault="00AA4661" w:rsidP="00776E5B">
            <w:pPr>
              <w:spacing w:before="60" w:after="60"/>
              <w:jc w:val="center"/>
              <w:rPr>
                <w:rFonts w:ascii="Calibri" w:hAnsi="Calibri" w:cs="Calibri"/>
                <w:b/>
                <w:szCs w:val="20"/>
              </w:rPr>
            </w:pPr>
            <w:r w:rsidRPr="00F8728A">
              <w:rPr>
                <w:rFonts w:ascii="Calibri" w:hAnsi="Calibri" w:cs="Calibri"/>
                <w:b/>
                <w:szCs w:val="20"/>
              </w:rPr>
              <w:t>Сгради/ инфраструктура</w:t>
            </w:r>
          </w:p>
        </w:tc>
      </w:tr>
      <w:tr w:rsidR="00AA4661" w:rsidRPr="00F8728A" w:rsidTr="00B45225">
        <w:tc>
          <w:tcPr>
            <w:tcW w:w="775" w:type="pct"/>
            <w:vMerge w:val="restart"/>
            <w:shd w:val="clear" w:color="auto" w:fill="B8CCE4"/>
            <w:vAlign w:val="center"/>
          </w:tcPr>
          <w:p w:rsidR="00AA4661" w:rsidRPr="00F8728A" w:rsidRDefault="00AA4661" w:rsidP="00776E5B">
            <w:pPr>
              <w:spacing w:before="60" w:after="60"/>
              <w:jc w:val="center"/>
              <w:rPr>
                <w:rFonts w:ascii="Calibri" w:hAnsi="Calibri" w:cs="Calibri"/>
                <w:b/>
                <w:szCs w:val="20"/>
              </w:rPr>
            </w:pPr>
            <w:r w:rsidRPr="00F8728A">
              <w:rPr>
                <w:rFonts w:ascii="Calibri" w:hAnsi="Calibri" w:cs="Calibri"/>
                <w:b/>
              </w:rPr>
              <w:t>Информация</w:t>
            </w:r>
          </w:p>
        </w:tc>
        <w:tc>
          <w:tcPr>
            <w:tcW w:w="753" w:type="pct"/>
            <w:vAlign w:val="center"/>
          </w:tcPr>
          <w:p w:rsidR="00AA4661" w:rsidRPr="00F8728A" w:rsidRDefault="00AA4661" w:rsidP="00776E5B">
            <w:pPr>
              <w:spacing w:before="60" w:after="60"/>
              <w:jc w:val="both"/>
              <w:rPr>
                <w:rFonts w:ascii="Calibri" w:hAnsi="Calibri" w:cs="Calibri"/>
                <w:szCs w:val="20"/>
              </w:rPr>
            </w:pPr>
            <w:r w:rsidRPr="00F8728A">
              <w:rPr>
                <w:rFonts w:ascii="Calibri" w:hAnsi="Calibri" w:cs="Calibri"/>
              </w:rPr>
              <w:t>Подобряване на достъпа до базите данни на национално ниво относно времето и климатичните промени</w:t>
            </w:r>
          </w:p>
        </w:tc>
        <w:tc>
          <w:tcPr>
            <w:tcW w:w="839" w:type="pct"/>
            <w:gridSpan w:val="2"/>
            <w:vAlign w:val="center"/>
          </w:tcPr>
          <w:p w:rsidR="00AA4661" w:rsidRPr="00F8728A" w:rsidRDefault="00AA4661" w:rsidP="00776E5B">
            <w:pPr>
              <w:spacing w:before="60" w:after="60"/>
              <w:jc w:val="both"/>
              <w:rPr>
                <w:rFonts w:ascii="Calibri" w:hAnsi="Calibri" w:cs="Calibri"/>
                <w:szCs w:val="20"/>
              </w:rPr>
            </w:pPr>
            <w:r w:rsidRPr="00F8728A">
              <w:rPr>
                <w:rFonts w:ascii="Calibri" w:hAnsi="Calibri" w:cs="Calibri"/>
              </w:rPr>
              <w:t xml:space="preserve">Проучване и картографиране на обектите на незаконно строителство във всички общини </w:t>
            </w:r>
          </w:p>
        </w:tc>
        <w:tc>
          <w:tcPr>
            <w:tcW w:w="1619" w:type="pct"/>
            <w:vAlign w:val="center"/>
          </w:tcPr>
          <w:p w:rsidR="00AA4661" w:rsidRPr="00F8728A" w:rsidRDefault="00AA4661" w:rsidP="00776E5B">
            <w:pPr>
              <w:spacing w:before="60" w:after="60"/>
              <w:jc w:val="both"/>
              <w:rPr>
                <w:rFonts w:ascii="Calibri" w:hAnsi="Calibri" w:cs="Calibri"/>
                <w:szCs w:val="20"/>
              </w:rPr>
            </w:pPr>
            <w:r w:rsidRPr="00F8728A">
              <w:rPr>
                <w:rFonts w:ascii="Calibri" w:hAnsi="Calibri" w:cs="Calibri"/>
              </w:rPr>
              <w:t>Събиране, комуникация и предоставяне на достъп до информация на градско ниво за времето, промените в климата, минали събития при бедствия и настоящите опасности и рискове.</w:t>
            </w:r>
          </w:p>
        </w:tc>
        <w:tc>
          <w:tcPr>
            <w:tcW w:w="1015" w:type="pct"/>
            <w:vAlign w:val="center"/>
          </w:tcPr>
          <w:p w:rsidR="00AA4661" w:rsidRPr="00F8728A" w:rsidRDefault="00AA4661" w:rsidP="00776E5B">
            <w:pPr>
              <w:spacing w:before="60" w:after="60"/>
              <w:jc w:val="both"/>
              <w:rPr>
                <w:rFonts w:ascii="Calibri" w:hAnsi="Calibri" w:cs="Calibri"/>
                <w:szCs w:val="20"/>
              </w:rPr>
            </w:pPr>
            <w:r w:rsidRPr="00F8728A">
              <w:rPr>
                <w:rFonts w:ascii="Calibri" w:hAnsi="Calibri" w:cs="Calibri"/>
              </w:rPr>
              <w:t xml:space="preserve">Прилагане на разпоредбите и стандартите на ЕС за строителни материали </w:t>
            </w:r>
          </w:p>
        </w:tc>
      </w:tr>
      <w:tr w:rsidR="00AA4661" w:rsidRPr="00F8728A" w:rsidTr="00B45225">
        <w:tc>
          <w:tcPr>
            <w:tcW w:w="775" w:type="pct"/>
            <w:vMerge/>
            <w:shd w:val="clear" w:color="auto" w:fill="B8CCE4"/>
          </w:tcPr>
          <w:p w:rsidR="00AA4661" w:rsidRPr="00F8728A" w:rsidRDefault="00AA4661" w:rsidP="00776E5B">
            <w:pPr>
              <w:spacing w:before="60" w:after="60"/>
              <w:jc w:val="center"/>
              <w:rPr>
                <w:rFonts w:ascii="Calibri" w:hAnsi="Calibri" w:cs="Calibri"/>
                <w:b/>
                <w:szCs w:val="20"/>
              </w:rPr>
            </w:pPr>
          </w:p>
        </w:tc>
        <w:tc>
          <w:tcPr>
            <w:tcW w:w="4225" w:type="pct"/>
            <w:gridSpan w:val="5"/>
            <w:vAlign w:val="center"/>
          </w:tcPr>
          <w:p w:rsidR="00AA4661" w:rsidRPr="00F8728A" w:rsidRDefault="00AA4661" w:rsidP="00776E5B">
            <w:pPr>
              <w:spacing w:before="60" w:after="60"/>
              <w:jc w:val="both"/>
              <w:rPr>
                <w:rFonts w:ascii="Calibri" w:hAnsi="Calibri" w:cs="Calibri"/>
                <w:szCs w:val="20"/>
              </w:rPr>
            </w:pPr>
            <w:r w:rsidRPr="00F8728A">
              <w:rPr>
                <w:rFonts w:ascii="Calibri" w:hAnsi="Calibri" w:cs="Calibri"/>
              </w:rPr>
              <w:t>Подобрена комуникация на информацията и данните</w:t>
            </w:r>
          </w:p>
        </w:tc>
      </w:tr>
      <w:tr w:rsidR="00AA4661" w:rsidRPr="00F8728A" w:rsidTr="00B45225">
        <w:tc>
          <w:tcPr>
            <w:tcW w:w="775" w:type="pct"/>
            <w:vMerge w:val="restart"/>
            <w:shd w:val="clear" w:color="auto" w:fill="B8CCE4"/>
            <w:vAlign w:val="center"/>
          </w:tcPr>
          <w:p w:rsidR="00AA4661" w:rsidRPr="00F8728A" w:rsidRDefault="00AA4661" w:rsidP="00776E5B">
            <w:pPr>
              <w:spacing w:before="60" w:after="60"/>
              <w:jc w:val="center"/>
              <w:rPr>
                <w:rFonts w:ascii="Calibri" w:hAnsi="Calibri" w:cs="Calibri"/>
                <w:b/>
                <w:szCs w:val="20"/>
              </w:rPr>
            </w:pPr>
            <w:r w:rsidRPr="00F8728A">
              <w:rPr>
                <w:rFonts w:ascii="Calibri" w:hAnsi="Calibri" w:cs="Calibri"/>
                <w:b/>
              </w:rPr>
              <w:t>Научни изследвания</w:t>
            </w:r>
          </w:p>
        </w:tc>
        <w:tc>
          <w:tcPr>
            <w:tcW w:w="753" w:type="pct"/>
            <w:vAlign w:val="center"/>
          </w:tcPr>
          <w:p w:rsidR="00AA4661" w:rsidRPr="00F8728A" w:rsidRDefault="00AA4661" w:rsidP="00776E5B">
            <w:pPr>
              <w:spacing w:before="60" w:after="60"/>
              <w:jc w:val="both"/>
              <w:rPr>
                <w:rFonts w:ascii="Calibri" w:hAnsi="Calibri" w:cs="Calibri"/>
                <w:szCs w:val="20"/>
              </w:rPr>
            </w:pPr>
            <w:r w:rsidRPr="00F8728A">
              <w:rPr>
                <w:rFonts w:ascii="Calibri" w:hAnsi="Calibri" w:cs="Calibri"/>
              </w:rPr>
              <w:t>Включване на темата за адаптацията към промените в климата в Националната стратегия за научни изследвания</w:t>
            </w:r>
          </w:p>
        </w:tc>
        <w:tc>
          <w:tcPr>
            <w:tcW w:w="839" w:type="pct"/>
            <w:gridSpan w:val="2"/>
            <w:vAlign w:val="center"/>
          </w:tcPr>
          <w:p w:rsidR="00AA4661" w:rsidRPr="00F8728A" w:rsidRDefault="00AA4661" w:rsidP="00776E5B">
            <w:pPr>
              <w:spacing w:before="60" w:after="60"/>
              <w:jc w:val="both"/>
              <w:rPr>
                <w:rFonts w:ascii="Calibri" w:hAnsi="Calibri" w:cs="Calibri"/>
                <w:szCs w:val="20"/>
              </w:rPr>
            </w:pPr>
            <w:r w:rsidRPr="00F8728A">
              <w:rPr>
                <w:rFonts w:ascii="Calibri" w:hAnsi="Calibri" w:cs="Calibri"/>
              </w:rPr>
              <w:t>Ограничаване на регионалните рискове за ландшафта и тези от промените в климата; застрашени региони/ зони – крайбрежни, планински, големи и средни градове</w:t>
            </w:r>
          </w:p>
        </w:tc>
        <w:tc>
          <w:tcPr>
            <w:tcW w:w="1619" w:type="pct"/>
            <w:vAlign w:val="center"/>
          </w:tcPr>
          <w:p w:rsidR="00AA4661" w:rsidRPr="00F8728A" w:rsidRDefault="00AA4661" w:rsidP="00776E5B">
            <w:pPr>
              <w:spacing w:before="60" w:after="60"/>
              <w:jc w:val="both"/>
              <w:rPr>
                <w:rFonts w:ascii="Calibri" w:hAnsi="Calibri" w:cs="Calibri"/>
                <w:szCs w:val="20"/>
              </w:rPr>
            </w:pPr>
            <w:r w:rsidRPr="00F8728A">
              <w:rPr>
                <w:rFonts w:ascii="Calibri" w:hAnsi="Calibri" w:cs="Calibri"/>
              </w:rPr>
              <w:t>Промените в климата засягат градската среда и съответните политики за ограничаване на риска и адаптацията</w:t>
            </w:r>
          </w:p>
        </w:tc>
        <w:tc>
          <w:tcPr>
            <w:tcW w:w="1015" w:type="pct"/>
            <w:vAlign w:val="center"/>
          </w:tcPr>
          <w:p w:rsidR="00AA4661" w:rsidRPr="00F8728A" w:rsidRDefault="00AA4661" w:rsidP="00776E5B">
            <w:pPr>
              <w:spacing w:before="60" w:after="60"/>
              <w:jc w:val="both"/>
              <w:rPr>
                <w:rFonts w:ascii="Calibri" w:hAnsi="Calibri" w:cs="Calibri"/>
                <w:szCs w:val="20"/>
              </w:rPr>
            </w:pPr>
            <w:r w:rsidRPr="00F8728A">
              <w:rPr>
                <w:rFonts w:ascii="Calibri" w:hAnsi="Calibri" w:cs="Calibri"/>
              </w:rPr>
              <w:t>Човешко здраве и социално поведение при силно напрежение</w:t>
            </w:r>
          </w:p>
          <w:p w:rsidR="00AA4661" w:rsidRPr="00F8728A" w:rsidRDefault="00AA4661" w:rsidP="00776E5B">
            <w:pPr>
              <w:spacing w:before="60" w:after="60"/>
              <w:jc w:val="both"/>
              <w:rPr>
                <w:rFonts w:ascii="Calibri" w:hAnsi="Calibri" w:cs="Calibri"/>
                <w:szCs w:val="20"/>
              </w:rPr>
            </w:pPr>
            <w:r w:rsidRPr="00F8728A">
              <w:rPr>
                <w:rFonts w:ascii="Calibri" w:hAnsi="Calibri" w:cs="Calibri"/>
              </w:rPr>
              <w:t>Промените в климата се отразяват върху уязвимите групи</w:t>
            </w:r>
          </w:p>
        </w:tc>
      </w:tr>
      <w:tr w:rsidR="00AA4661" w:rsidRPr="00F8728A" w:rsidTr="00B45225">
        <w:tc>
          <w:tcPr>
            <w:tcW w:w="775" w:type="pct"/>
            <w:vMerge/>
            <w:shd w:val="clear" w:color="auto" w:fill="B8CCE4"/>
          </w:tcPr>
          <w:p w:rsidR="00AA4661" w:rsidRPr="00F8728A" w:rsidRDefault="00AA4661" w:rsidP="00776E5B">
            <w:pPr>
              <w:spacing w:before="60" w:after="60"/>
              <w:jc w:val="center"/>
              <w:rPr>
                <w:rFonts w:ascii="Calibri" w:hAnsi="Calibri" w:cs="Calibri"/>
                <w:b/>
                <w:szCs w:val="20"/>
              </w:rPr>
            </w:pPr>
          </w:p>
        </w:tc>
        <w:tc>
          <w:tcPr>
            <w:tcW w:w="3210" w:type="pct"/>
            <w:gridSpan w:val="4"/>
            <w:vAlign w:val="center"/>
          </w:tcPr>
          <w:p w:rsidR="00AA4661" w:rsidRPr="00F8728A" w:rsidRDefault="00AA4661" w:rsidP="00776E5B">
            <w:pPr>
              <w:spacing w:before="60" w:after="60"/>
              <w:jc w:val="both"/>
              <w:rPr>
                <w:rFonts w:ascii="Calibri" w:hAnsi="Calibri" w:cs="Calibri"/>
                <w:szCs w:val="20"/>
              </w:rPr>
            </w:pPr>
            <w:r w:rsidRPr="00F8728A">
              <w:rPr>
                <w:rFonts w:ascii="Calibri" w:hAnsi="Calibri" w:cs="Calibri"/>
              </w:rPr>
              <w:t>Прилагане на методи за дистанционни наблюдения на градската среда и сравнение на сателитни данни;</w:t>
            </w:r>
          </w:p>
        </w:tc>
        <w:tc>
          <w:tcPr>
            <w:tcW w:w="1015" w:type="pct"/>
            <w:vAlign w:val="center"/>
          </w:tcPr>
          <w:p w:rsidR="00AA4661" w:rsidRPr="00F8728A" w:rsidRDefault="00AA4661" w:rsidP="00776E5B">
            <w:pPr>
              <w:spacing w:before="60" w:after="60"/>
              <w:jc w:val="both"/>
              <w:rPr>
                <w:rFonts w:ascii="Calibri" w:hAnsi="Calibri" w:cs="Calibri"/>
                <w:szCs w:val="20"/>
              </w:rPr>
            </w:pPr>
            <w:r w:rsidRPr="00F8728A">
              <w:rPr>
                <w:rFonts w:ascii="Calibri" w:hAnsi="Calibri" w:cs="Calibri"/>
              </w:rPr>
              <w:t>Въвеждане на иновативни дистанционни  методи за наблюдение и оценка на енергийната ефективност</w:t>
            </w:r>
          </w:p>
        </w:tc>
      </w:tr>
      <w:tr w:rsidR="00AA4661" w:rsidRPr="00F8728A" w:rsidTr="00B45225">
        <w:tc>
          <w:tcPr>
            <w:tcW w:w="775" w:type="pct"/>
            <w:shd w:val="clear" w:color="auto" w:fill="B8CCE4"/>
            <w:vAlign w:val="center"/>
          </w:tcPr>
          <w:p w:rsidR="00AA4661" w:rsidRPr="00F8728A" w:rsidRDefault="00AA4661" w:rsidP="00776E5B">
            <w:pPr>
              <w:spacing w:before="60" w:after="60"/>
              <w:jc w:val="center"/>
              <w:rPr>
                <w:rFonts w:ascii="Calibri" w:hAnsi="Calibri" w:cs="Calibri"/>
                <w:b/>
                <w:szCs w:val="20"/>
              </w:rPr>
            </w:pPr>
            <w:r w:rsidRPr="00F8728A">
              <w:rPr>
                <w:rFonts w:ascii="Calibri" w:hAnsi="Calibri" w:cs="Calibri"/>
                <w:b/>
              </w:rPr>
              <w:t>Образование</w:t>
            </w:r>
          </w:p>
        </w:tc>
        <w:tc>
          <w:tcPr>
            <w:tcW w:w="4225" w:type="pct"/>
            <w:gridSpan w:val="5"/>
            <w:vAlign w:val="center"/>
          </w:tcPr>
          <w:p w:rsidR="00AA4661" w:rsidRPr="00F8728A" w:rsidRDefault="00AA4661" w:rsidP="00776E5B">
            <w:pPr>
              <w:spacing w:before="60" w:after="60"/>
              <w:jc w:val="both"/>
              <w:rPr>
                <w:rFonts w:ascii="Calibri" w:hAnsi="Calibri" w:cs="Calibri"/>
                <w:szCs w:val="20"/>
              </w:rPr>
            </w:pPr>
            <w:r w:rsidRPr="00F8728A">
              <w:rPr>
                <w:rFonts w:ascii="Calibri" w:hAnsi="Calibri" w:cs="Calibri"/>
              </w:rPr>
              <w:t>Развиване  на знанията за адаптация към промените в климата на всички нива – от политиците до широката общественост и децата, както и сред всички заинтересовани лица.</w:t>
            </w:r>
          </w:p>
          <w:p w:rsidR="00AA4661" w:rsidRPr="00F8728A" w:rsidRDefault="00AA4661" w:rsidP="00776E5B">
            <w:pPr>
              <w:spacing w:before="60" w:after="60"/>
              <w:jc w:val="both"/>
              <w:rPr>
                <w:rFonts w:ascii="Calibri" w:hAnsi="Calibri" w:cs="Calibri"/>
                <w:szCs w:val="20"/>
              </w:rPr>
            </w:pPr>
            <w:r w:rsidRPr="00F8728A">
              <w:rPr>
                <w:rFonts w:ascii="Calibri" w:hAnsi="Calibri" w:cs="Calibri"/>
              </w:rPr>
              <w:t xml:space="preserve">Преквалификация на академичния състав  за актуализиране на учебните планове и включване на темите за адаптацията към промените в климата, разработени за обучаването на урбанисти,, архитекти, строителните инженери, ландшафтните архитекти; </w:t>
            </w:r>
          </w:p>
          <w:p w:rsidR="00AA4661" w:rsidRPr="00F8728A" w:rsidRDefault="00AA4661" w:rsidP="00776E5B">
            <w:pPr>
              <w:spacing w:before="60" w:after="60"/>
              <w:jc w:val="both"/>
              <w:rPr>
                <w:rFonts w:ascii="Calibri" w:hAnsi="Calibri" w:cs="Calibri"/>
                <w:szCs w:val="20"/>
              </w:rPr>
            </w:pPr>
            <w:r w:rsidRPr="00F8728A">
              <w:rPr>
                <w:rFonts w:ascii="Calibri" w:hAnsi="Calibri" w:cs="Calibri"/>
              </w:rPr>
              <w:t>Разработка на учебни материали и/или интерактивни платформи за обучение на различни възрастови групи;</w:t>
            </w:r>
          </w:p>
          <w:p w:rsidR="00AA4661" w:rsidRPr="00F8728A" w:rsidRDefault="00AA4661" w:rsidP="00776E5B">
            <w:pPr>
              <w:spacing w:before="60" w:after="60"/>
              <w:jc w:val="both"/>
              <w:rPr>
                <w:rFonts w:ascii="Calibri" w:hAnsi="Calibri" w:cs="Calibri"/>
                <w:szCs w:val="20"/>
              </w:rPr>
            </w:pPr>
            <w:r w:rsidRPr="00F8728A">
              <w:rPr>
                <w:rFonts w:ascii="Calibri" w:hAnsi="Calibri" w:cs="Calibri"/>
              </w:rPr>
              <w:t xml:space="preserve">Специфично обучение за служителите от спешните и аварийни двена; </w:t>
            </w:r>
          </w:p>
        </w:tc>
      </w:tr>
      <w:tr w:rsidR="00AA4661" w:rsidRPr="00F8728A" w:rsidTr="00B45225">
        <w:tc>
          <w:tcPr>
            <w:tcW w:w="775" w:type="pct"/>
            <w:shd w:val="clear" w:color="auto" w:fill="B8CCE4"/>
            <w:vAlign w:val="center"/>
          </w:tcPr>
          <w:p w:rsidR="00AA4661" w:rsidRPr="00F8728A" w:rsidRDefault="00AA4661" w:rsidP="00776E5B">
            <w:pPr>
              <w:spacing w:before="60" w:after="60"/>
              <w:jc w:val="center"/>
              <w:rPr>
                <w:rFonts w:ascii="Calibri" w:hAnsi="Calibri" w:cs="Calibri"/>
                <w:b/>
                <w:szCs w:val="20"/>
              </w:rPr>
            </w:pPr>
            <w:r w:rsidRPr="00F8728A">
              <w:rPr>
                <w:rFonts w:ascii="Calibri" w:hAnsi="Calibri" w:cs="Calibri"/>
                <w:b/>
              </w:rPr>
              <w:t>Изграждане на капацитет</w:t>
            </w:r>
          </w:p>
        </w:tc>
        <w:tc>
          <w:tcPr>
            <w:tcW w:w="1196" w:type="pct"/>
            <w:gridSpan w:val="2"/>
            <w:vAlign w:val="center"/>
          </w:tcPr>
          <w:p w:rsidR="00AA4661" w:rsidRPr="00F8728A" w:rsidRDefault="00AA4661" w:rsidP="00776E5B">
            <w:pPr>
              <w:spacing w:before="60" w:after="60"/>
              <w:jc w:val="both"/>
              <w:rPr>
                <w:rFonts w:ascii="Calibri" w:hAnsi="Calibri" w:cs="Calibri"/>
                <w:szCs w:val="20"/>
              </w:rPr>
            </w:pPr>
            <w:r w:rsidRPr="00F8728A">
              <w:rPr>
                <w:rFonts w:ascii="Calibri" w:hAnsi="Calibri" w:cs="Calibri"/>
              </w:rPr>
              <w:t>Разпространяване на информация до властите, заинтересованите лица и широката общественост</w:t>
            </w:r>
          </w:p>
        </w:tc>
        <w:tc>
          <w:tcPr>
            <w:tcW w:w="3029" w:type="pct"/>
            <w:gridSpan w:val="3"/>
            <w:vAlign w:val="center"/>
          </w:tcPr>
          <w:p w:rsidR="00AA4661" w:rsidRPr="00F8728A" w:rsidRDefault="00AA4661" w:rsidP="00776E5B">
            <w:pPr>
              <w:spacing w:before="60" w:after="60"/>
              <w:jc w:val="both"/>
              <w:rPr>
                <w:rFonts w:ascii="Calibri" w:hAnsi="Calibri" w:cs="Calibri"/>
                <w:szCs w:val="20"/>
              </w:rPr>
            </w:pPr>
            <w:r w:rsidRPr="00F8728A">
              <w:rPr>
                <w:rFonts w:ascii="Calibri" w:hAnsi="Calibri" w:cs="Calibri"/>
              </w:rPr>
              <w:t>Обучение за развиване на знания/ умения;</w:t>
            </w:r>
          </w:p>
          <w:p w:rsidR="00AA4661" w:rsidRPr="00F8728A" w:rsidRDefault="00AA4661" w:rsidP="00776E5B">
            <w:pPr>
              <w:spacing w:before="60" w:after="60"/>
              <w:jc w:val="both"/>
              <w:rPr>
                <w:rFonts w:ascii="Calibri" w:hAnsi="Calibri" w:cs="Calibri"/>
                <w:szCs w:val="20"/>
              </w:rPr>
            </w:pPr>
            <w:r w:rsidRPr="00F8728A">
              <w:rPr>
                <w:rFonts w:ascii="Calibri" w:hAnsi="Calibri" w:cs="Calibri"/>
              </w:rPr>
              <w:t>Идентифициране на най-добрите практики</w:t>
            </w:r>
          </w:p>
        </w:tc>
      </w:tr>
      <w:tr w:rsidR="00AA4661" w:rsidRPr="00F8728A" w:rsidTr="00B45225">
        <w:tc>
          <w:tcPr>
            <w:tcW w:w="775" w:type="pct"/>
            <w:shd w:val="clear" w:color="auto" w:fill="B8CCE4"/>
            <w:vAlign w:val="center"/>
          </w:tcPr>
          <w:p w:rsidR="00AA4661" w:rsidRPr="00F8728A" w:rsidRDefault="00AA4661" w:rsidP="00776E5B">
            <w:pPr>
              <w:spacing w:before="60" w:after="60"/>
              <w:jc w:val="center"/>
              <w:rPr>
                <w:rFonts w:ascii="Calibri" w:hAnsi="Calibri" w:cs="Calibri"/>
                <w:b/>
                <w:szCs w:val="20"/>
              </w:rPr>
            </w:pPr>
            <w:r w:rsidRPr="00F8728A">
              <w:rPr>
                <w:rFonts w:ascii="Calibri" w:hAnsi="Calibri" w:cs="Calibri"/>
                <w:b/>
              </w:rPr>
              <w:t>Партньорство</w:t>
            </w:r>
          </w:p>
        </w:tc>
        <w:tc>
          <w:tcPr>
            <w:tcW w:w="4225" w:type="pct"/>
            <w:gridSpan w:val="5"/>
            <w:vAlign w:val="center"/>
          </w:tcPr>
          <w:p w:rsidR="00AA4661" w:rsidRPr="00F8728A" w:rsidRDefault="00AA4661" w:rsidP="00776E5B">
            <w:pPr>
              <w:autoSpaceDE w:val="0"/>
              <w:autoSpaceDN w:val="0"/>
              <w:adjustRightInd w:val="0"/>
              <w:spacing w:before="60" w:after="60"/>
              <w:jc w:val="both"/>
              <w:rPr>
                <w:rFonts w:ascii="Calibri" w:hAnsi="Calibri" w:cs="Calibri"/>
                <w:szCs w:val="20"/>
              </w:rPr>
            </w:pPr>
            <w:r w:rsidRPr="00F8728A">
              <w:rPr>
                <w:rFonts w:ascii="Calibri" w:hAnsi="Calibri" w:cs="Calibri"/>
                <w:bCs/>
                <w:color w:val="000000"/>
                <w:szCs w:val="20"/>
              </w:rPr>
              <w:t xml:space="preserve">Създаване на научни лаборатории и постоянни експертни работни групи в изследователски организации, НПО, търговски дружества, с участието на експерти от различни сфери. </w:t>
            </w:r>
          </w:p>
        </w:tc>
      </w:tr>
      <w:tr w:rsidR="00AA4661" w:rsidRPr="00F8728A" w:rsidTr="00B45225">
        <w:tc>
          <w:tcPr>
            <w:tcW w:w="775" w:type="pct"/>
            <w:shd w:val="clear" w:color="auto" w:fill="B8CCE4"/>
            <w:vAlign w:val="center"/>
          </w:tcPr>
          <w:p w:rsidR="00AA4661" w:rsidRPr="00F8728A" w:rsidRDefault="00AA4661" w:rsidP="00776E5B">
            <w:pPr>
              <w:spacing w:before="60" w:after="60"/>
              <w:jc w:val="center"/>
              <w:rPr>
                <w:rFonts w:ascii="Calibri" w:hAnsi="Calibri" w:cs="Calibri"/>
                <w:b/>
                <w:szCs w:val="20"/>
              </w:rPr>
            </w:pPr>
            <w:r w:rsidRPr="00F8728A">
              <w:rPr>
                <w:rFonts w:ascii="Calibri" w:hAnsi="Calibri" w:cs="Calibri"/>
                <w:b/>
              </w:rPr>
              <w:t>Осведоменост</w:t>
            </w:r>
          </w:p>
        </w:tc>
        <w:tc>
          <w:tcPr>
            <w:tcW w:w="4225" w:type="pct"/>
            <w:gridSpan w:val="5"/>
            <w:vAlign w:val="center"/>
          </w:tcPr>
          <w:p w:rsidR="00AA4661" w:rsidRPr="00F8728A" w:rsidRDefault="00AA4661" w:rsidP="00776E5B">
            <w:pPr>
              <w:spacing w:before="60" w:after="60"/>
              <w:jc w:val="both"/>
              <w:rPr>
                <w:rFonts w:ascii="Calibri" w:hAnsi="Calibri" w:cs="Calibri"/>
                <w:szCs w:val="20"/>
              </w:rPr>
            </w:pPr>
            <w:r w:rsidRPr="00F8728A">
              <w:rPr>
                <w:rFonts w:ascii="Calibri" w:hAnsi="Calibri" w:cs="Calibri"/>
              </w:rPr>
              <w:t>Развиване на култура и ангажираност сред населението</w:t>
            </w:r>
          </w:p>
          <w:p w:rsidR="00AA4661" w:rsidRPr="00F8728A" w:rsidRDefault="00AA4661" w:rsidP="00776E5B">
            <w:pPr>
              <w:spacing w:before="60" w:after="60"/>
              <w:jc w:val="both"/>
              <w:rPr>
                <w:rFonts w:ascii="Calibri" w:hAnsi="Calibri" w:cs="Calibri"/>
                <w:szCs w:val="20"/>
              </w:rPr>
            </w:pPr>
            <w:r w:rsidRPr="00F8728A">
              <w:rPr>
                <w:rFonts w:ascii="Calibri" w:hAnsi="Calibri" w:cs="Calibri"/>
              </w:rPr>
              <w:t>Работа в партньорство</w:t>
            </w:r>
          </w:p>
          <w:p w:rsidR="00AA4661" w:rsidRPr="00F8728A" w:rsidRDefault="00AA4661" w:rsidP="00776E5B">
            <w:pPr>
              <w:spacing w:before="60" w:after="60"/>
              <w:jc w:val="both"/>
              <w:rPr>
                <w:rFonts w:ascii="Calibri" w:hAnsi="Calibri" w:cs="Calibri"/>
                <w:szCs w:val="20"/>
              </w:rPr>
            </w:pPr>
            <w:r w:rsidRPr="00F8728A">
              <w:rPr>
                <w:rFonts w:ascii="Calibri" w:hAnsi="Calibri" w:cs="Calibri"/>
              </w:rPr>
              <w:t xml:space="preserve">Подобряване на комуникацията и социалното поведение, вкл. справяне със загубите и стреса след бедствия </w:t>
            </w:r>
          </w:p>
          <w:p w:rsidR="00AA4661" w:rsidRPr="00F8728A" w:rsidRDefault="00AA4661" w:rsidP="00776E5B">
            <w:pPr>
              <w:spacing w:before="60" w:after="60"/>
              <w:jc w:val="both"/>
              <w:rPr>
                <w:rFonts w:ascii="Calibri" w:hAnsi="Calibri" w:cs="Calibri"/>
                <w:szCs w:val="20"/>
              </w:rPr>
            </w:pPr>
            <w:r w:rsidRPr="00F8728A">
              <w:rPr>
                <w:rFonts w:ascii="Calibri" w:hAnsi="Calibri" w:cs="Calibri"/>
              </w:rPr>
              <w:t>Работа с медиите</w:t>
            </w:r>
          </w:p>
        </w:tc>
      </w:tr>
    </w:tbl>
    <w:p w:rsidR="00AA4661" w:rsidRPr="00F8728A" w:rsidRDefault="00AA4661" w:rsidP="00CA02EB">
      <w:pPr>
        <w:autoSpaceDE w:val="0"/>
        <w:autoSpaceDN w:val="0"/>
        <w:adjustRightInd w:val="0"/>
        <w:spacing w:before="120" w:after="120"/>
        <w:jc w:val="center"/>
        <w:rPr>
          <w:rFonts w:ascii="Calibri" w:hAnsi="Calibri"/>
          <w:i/>
          <w:sz w:val="22"/>
        </w:rPr>
      </w:pPr>
      <w:r w:rsidRPr="00F8728A">
        <w:rPr>
          <w:rFonts w:ascii="Calibri" w:hAnsi="Calibri"/>
          <w:i/>
          <w:sz w:val="22"/>
        </w:rPr>
        <w:t xml:space="preserve">Източници: Национална програма за защита от бедствия 2014–2018 г., налична на адрес: </w:t>
      </w:r>
      <w:hyperlink r:id="rId166" w:history="1">
        <w:r w:rsidRPr="00F8728A">
          <w:rPr>
            <w:rStyle w:val="Hyperlink"/>
            <w:rFonts w:ascii="Calibri" w:hAnsi="Calibri"/>
            <w:i/>
            <w:sz w:val="22"/>
          </w:rPr>
          <w:t>http://www.nspbzn.mvr.bg/NR/rdonlyres/317033AA-E99D-4C51-AC8E-DB37272F2866/0/NPZB_20142018.pdf</w:t>
        </w:r>
      </w:hyperlink>
      <w:r w:rsidRPr="00F8728A">
        <w:rPr>
          <w:rFonts w:ascii="Calibri" w:hAnsi="Calibri"/>
          <w:i/>
          <w:sz w:val="22"/>
        </w:rPr>
        <w:t xml:space="preserve"> и Национална програма за превенция и ограничаване на свлачищата на територията на Република България, ерозията и абразията по дунавското и черноморското крайбрежие 2015–2020 г., налична на адрес </w:t>
      </w:r>
      <w:hyperlink r:id="rId167" w:history="1">
        <w:r w:rsidRPr="00F8728A">
          <w:rPr>
            <w:rStyle w:val="Hyperlink"/>
            <w:rFonts w:ascii="Calibri" w:hAnsi="Calibri"/>
            <w:i/>
            <w:sz w:val="22"/>
          </w:rPr>
          <w:t>http://www.mrrb.government.bg/nacionalna-programa-za-prevenciya-i-ogranichavane-na-svlachistata-na-teritoriyata-na-republika-bulgariya-eroziyata-i-abraziyata-po-dunavskoto-i-chernomorskoto-krajbrejie-2015-2020-g-i-dopulnenie-kum-neya-s-novovuzniknali-77199/</w:t>
        </w:r>
      </w:hyperlink>
      <w:r w:rsidRPr="00F8728A">
        <w:rPr>
          <w:rFonts w:ascii="Calibri" w:hAnsi="Calibri"/>
          <w:i/>
          <w:sz w:val="22"/>
        </w:rPr>
        <w:t>, Съставено от Национален център за териториално развитие, София.</w:t>
      </w:r>
    </w:p>
    <w:p w:rsidR="00AA4661" w:rsidRPr="00F8728A" w:rsidRDefault="00AA4661" w:rsidP="00676435">
      <w:pPr>
        <w:widowControl w:val="0"/>
        <w:spacing w:after="0"/>
        <w:jc w:val="both"/>
        <w:rPr>
          <w:rFonts w:ascii="Calibri" w:hAnsi="Calibri" w:cs="Arial"/>
          <w:sz w:val="22"/>
        </w:rPr>
      </w:pPr>
    </w:p>
    <w:sectPr w:rsidR="00AA4661" w:rsidRPr="00F8728A" w:rsidSect="00B45225">
      <w:pgSz w:w="16838" w:h="11906" w:orient="landscape"/>
      <w:pgMar w:top="1417" w:right="1326"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F5281" w:rsidRDefault="00BF5281" w:rsidP="005F24EB">
      <w:pPr>
        <w:spacing w:after="0"/>
      </w:pPr>
      <w:r>
        <w:separator/>
      </w:r>
    </w:p>
  </w:endnote>
  <w:endnote w:type="continuationSeparator" w:id="0">
    <w:p w:rsidR="00BF5281" w:rsidRDefault="00BF5281" w:rsidP="005F24E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CC"/>
    <w:family w:val="swiss"/>
    <w:pitch w:val="variable"/>
    <w:sig w:usb0="E1002EFF" w:usb1="C000605B" w:usb2="00000029" w:usb3="00000000" w:csb0="000101FF" w:csb1="00000000"/>
  </w:font>
  <w:font w:name="Lucida Grande">
    <w:altName w:val="Times New Roman"/>
    <w:charset w:val="00"/>
    <w:family w:val="auto"/>
    <w:pitch w:val="variable"/>
    <w:sig w:usb0="00000000" w:usb1="5000A1FF" w:usb2="00000000" w:usb3="00000000" w:csb0="000001BF" w:csb1="00000000"/>
  </w:font>
  <w:font w:name="Palatino Linotype">
    <w:panose1 w:val="02040502050505030304"/>
    <w:charset w:val="CC"/>
    <w:family w:val="roman"/>
    <w:pitch w:val="variable"/>
    <w:sig w:usb0="E0000287" w:usb1="40000013" w:usb2="00000000" w:usb3="00000000" w:csb0="0000019F" w:csb1="00000000"/>
  </w:font>
  <w:font w:name="Verdana">
    <w:panose1 w:val="020B0604030504040204"/>
    <w:charset w:val="CC"/>
    <w:family w:val="swiss"/>
    <w:pitch w:val="variable"/>
    <w:sig w:usb0="A10006FF" w:usb1="4000205B" w:usb2="0000001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Arial Narrow">
    <w:panose1 w:val="020B0606020202030204"/>
    <w:charset w:val="CC"/>
    <w:family w:val="swiss"/>
    <w:pitch w:val="variable"/>
    <w:sig w:usb0="00000287" w:usb1="00000800" w:usb2="00000000" w:usb3="00000000" w:csb0="0000009F" w:csb1="00000000"/>
  </w:font>
  <w:font w:name="EUAlbertina">
    <w:altName w:val="Times New Roman"/>
    <w:panose1 w:val="00000000000000000000"/>
    <w:charset w:val="00"/>
    <w:family w:val="roman"/>
    <w:notTrueType/>
    <w:pitch w:val="default"/>
    <w:sig w:usb0="00000003" w:usb1="00000000" w:usb2="00000000" w:usb3="00000000" w:csb0="00000001" w:csb1="00000000"/>
  </w:font>
  <w:font w:name="TradeGothic CondEighteen">
    <w:altName w:val="Arial"/>
    <w:panose1 w:val="00000000000000000000"/>
    <w:charset w:val="00"/>
    <w:family w:val="swiss"/>
    <w:notTrueType/>
    <w:pitch w:val="default"/>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4561" w:rsidRPr="000D39D8" w:rsidRDefault="00FB4561" w:rsidP="000D39D8">
    <w:pPr>
      <w:pStyle w:val="Footer"/>
      <w:spacing w:after="60"/>
      <w:jc w:val="center"/>
      <w:rPr>
        <w:lang w:val="x-none"/>
      </w:rPr>
    </w:pPr>
    <w:r w:rsidRPr="000D39D8">
      <w:rPr>
        <w:rFonts w:ascii="Times New Roman" w:hAnsi="Times New Roman"/>
        <w:sz w:val="24"/>
        <w:lang w:val="en-US" w:eastAsia="en-US"/>
      </w:rPr>
      <w:tab/>
      <w:t xml:space="preserve">--------------------------------------- </w:t>
    </w:r>
    <w:hyperlink r:id="rId1" w:history="1">
      <w:r w:rsidRPr="000D39D8">
        <w:rPr>
          <w:rFonts w:ascii="Times New Roman" w:hAnsi="Times New Roman"/>
          <w:color w:val="0000FF"/>
          <w:sz w:val="24"/>
          <w:u w:val="single"/>
          <w:lang w:val="en-US" w:eastAsia="en-US"/>
        </w:rPr>
        <w:t>www.eufunds.bg</w:t>
      </w:r>
    </w:hyperlink>
    <w:r w:rsidRPr="000D39D8">
      <w:rPr>
        <w:rFonts w:ascii="Times New Roman" w:hAnsi="Times New Roman"/>
        <w:sz w:val="24"/>
        <w:lang w:val="en-US" w:eastAsia="en-US"/>
      </w:rPr>
      <w:t xml:space="preserve"> ---------------------------------------</w:t>
    </w:r>
    <w:r w:rsidRPr="000D39D8">
      <w:rPr>
        <w:rFonts w:ascii="Times New Roman" w:hAnsi="Times New Roman"/>
        <w:sz w:val="24"/>
        <w:lang w:val="en-US" w:eastAsia="en-US"/>
      </w:rPr>
      <w:tab/>
    </w:r>
    <w:r w:rsidRPr="000D39D8">
      <w:rPr>
        <w:rFonts w:ascii="Times New Roman" w:hAnsi="Times New Roman"/>
        <w:sz w:val="24"/>
        <w:szCs w:val="24"/>
        <w:lang w:val="x-none"/>
      </w:rPr>
      <w:fldChar w:fldCharType="begin"/>
    </w:r>
    <w:r w:rsidRPr="000D39D8">
      <w:rPr>
        <w:rFonts w:ascii="Times New Roman" w:hAnsi="Times New Roman"/>
        <w:sz w:val="24"/>
        <w:szCs w:val="24"/>
        <w:lang w:val="x-none"/>
      </w:rPr>
      <w:instrText xml:space="preserve"> PAGE   \* MERGEFORMAT </w:instrText>
    </w:r>
    <w:r w:rsidRPr="000D39D8">
      <w:rPr>
        <w:rFonts w:ascii="Times New Roman" w:hAnsi="Times New Roman"/>
        <w:sz w:val="24"/>
        <w:szCs w:val="24"/>
        <w:lang w:val="x-none"/>
      </w:rPr>
      <w:fldChar w:fldCharType="separate"/>
    </w:r>
    <w:r w:rsidR="00EE729C">
      <w:rPr>
        <w:rFonts w:ascii="Times New Roman" w:hAnsi="Times New Roman"/>
        <w:noProof/>
        <w:sz w:val="24"/>
        <w:szCs w:val="24"/>
        <w:lang w:val="x-none" w:eastAsia="bg-BG"/>
      </w:rPr>
      <w:t>iii</w:t>
    </w:r>
    <w:r w:rsidRPr="000D39D8">
      <w:rPr>
        <w:rFonts w:ascii="Times New Roman" w:hAnsi="Times New Roman"/>
        <w:sz w:val="24"/>
        <w:szCs w:val="24"/>
        <w:lang w:val="x-none"/>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4561" w:rsidRPr="005F5EA7" w:rsidRDefault="00FB4561" w:rsidP="00ED1903">
    <w:pPr>
      <w:pStyle w:val="Footer"/>
      <w:jc w:val="center"/>
      <w:rPr>
        <w:rFonts w:ascii="Times New Roman" w:hAnsi="Times New Roman"/>
        <w:sz w:val="24"/>
        <w:szCs w:val="24"/>
      </w:rPr>
    </w:pPr>
    <w:r w:rsidRPr="005F5EA7">
      <w:rPr>
        <w:rFonts w:ascii="Times New Roman" w:hAnsi="Times New Roman"/>
        <w:sz w:val="24"/>
        <w:szCs w:val="24"/>
      </w:rPr>
      <w:t xml:space="preserve">--------------------------------------- </w:t>
    </w:r>
    <w:hyperlink r:id="rId1" w:history="1">
      <w:r w:rsidRPr="005F5EA7">
        <w:rPr>
          <w:rFonts w:ascii="Times New Roman" w:hAnsi="Times New Roman"/>
          <w:color w:val="0000FF"/>
          <w:sz w:val="24"/>
          <w:szCs w:val="24"/>
          <w:u w:val="single"/>
        </w:rPr>
        <w:t>www.eufunds.bg</w:t>
      </w:r>
    </w:hyperlink>
    <w:r w:rsidRPr="005F5EA7">
      <w:rPr>
        <w:rFonts w:ascii="Times New Roman" w:hAnsi="Times New Roman"/>
        <w:sz w:val="24"/>
        <w:szCs w:val="24"/>
      </w:rPr>
      <w:t xml:space="preserve"> ---------------------------------------</w:t>
    </w:r>
    <w:r w:rsidRPr="005F5EA7">
      <w:rPr>
        <w:rFonts w:ascii="Times New Roman" w:hAnsi="Times New Roman"/>
        <w:sz w:val="24"/>
        <w:szCs w:val="24"/>
      </w:rPr>
      <w:tab/>
    </w:r>
    <w:r w:rsidRPr="005F5EA7">
      <w:rPr>
        <w:rFonts w:ascii="Times New Roman" w:hAnsi="Times New Roman"/>
        <w:sz w:val="24"/>
        <w:szCs w:val="24"/>
      </w:rPr>
      <w:fldChar w:fldCharType="begin"/>
    </w:r>
    <w:r w:rsidRPr="005F5EA7">
      <w:rPr>
        <w:rFonts w:ascii="Times New Roman" w:hAnsi="Times New Roman"/>
        <w:sz w:val="24"/>
        <w:szCs w:val="24"/>
      </w:rPr>
      <w:instrText xml:space="preserve"> PAGE   \* MERGEFORMAT </w:instrText>
    </w:r>
    <w:r w:rsidRPr="005F5EA7">
      <w:rPr>
        <w:rFonts w:ascii="Times New Roman" w:hAnsi="Times New Roman"/>
        <w:sz w:val="24"/>
        <w:szCs w:val="24"/>
      </w:rPr>
      <w:fldChar w:fldCharType="separate"/>
    </w:r>
    <w:r w:rsidR="00FB1791">
      <w:rPr>
        <w:rFonts w:ascii="Times New Roman" w:hAnsi="Times New Roman"/>
        <w:noProof/>
        <w:sz w:val="24"/>
        <w:szCs w:val="24"/>
      </w:rPr>
      <w:t>241</w:t>
    </w:r>
    <w:r w:rsidRPr="005F5EA7">
      <w:rPr>
        <w:rFonts w:ascii="Times New Roman" w:hAnsi="Times New Roman"/>
        <w:sz w:val="24"/>
        <w:szCs w:val="24"/>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F5281" w:rsidRDefault="00BF5281" w:rsidP="005F24EB">
      <w:pPr>
        <w:spacing w:after="0"/>
      </w:pPr>
      <w:r>
        <w:separator/>
      </w:r>
    </w:p>
  </w:footnote>
  <w:footnote w:type="continuationSeparator" w:id="0">
    <w:p w:rsidR="00BF5281" w:rsidRDefault="00BF5281" w:rsidP="005F24EB">
      <w:pPr>
        <w:spacing w:after="0"/>
      </w:pPr>
      <w:r>
        <w:continuationSeparator/>
      </w:r>
    </w:p>
  </w:footnote>
  <w:footnote w:id="1">
    <w:p w:rsidR="00FB4561" w:rsidRPr="00B73D7E" w:rsidRDefault="00FB4561" w:rsidP="000D39D8">
      <w:pPr>
        <w:pStyle w:val="FootnoteText"/>
        <w:rPr>
          <w:rFonts w:ascii="Times New Roman" w:hAnsi="Times New Roman"/>
          <w:sz w:val="18"/>
          <w:szCs w:val="18"/>
        </w:rPr>
      </w:pPr>
      <w:r w:rsidRPr="00506D91">
        <w:rPr>
          <w:rStyle w:val="FootnoteReference"/>
          <w:rFonts w:ascii="Times New Roman" w:hAnsi="Times New Roman"/>
          <w:sz w:val="18"/>
          <w:szCs w:val="18"/>
        </w:rPr>
        <w:footnoteRef/>
      </w:r>
      <w:r w:rsidRPr="00506D91">
        <w:rPr>
          <w:rFonts w:ascii="Times New Roman" w:hAnsi="Times New Roman"/>
          <w:sz w:val="18"/>
          <w:szCs w:val="18"/>
        </w:rPr>
        <w:t xml:space="preserve"> Дефинициите се базират на WGII AR5 (IPCC</w:t>
      </w:r>
      <w:r w:rsidRPr="00506D91">
        <w:rPr>
          <w:rFonts w:ascii="Times New Roman" w:hAnsi="Times New Roman"/>
          <w:sz w:val="18"/>
          <w:szCs w:val="18"/>
          <w:lang w:val="en-US"/>
        </w:rPr>
        <w:t>,</w:t>
      </w:r>
      <w:r w:rsidRPr="00506D91">
        <w:rPr>
          <w:rFonts w:ascii="Times New Roman" w:hAnsi="Times New Roman"/>
          <w:sz w:val="18"/>
          <w:szCs w:val="18"/>
        </w:rPr>
        <w:t xml:space="preserve"> 2014</w:t>
      </w:r>
      <w:r w:rsidRPr="00506D91">
        <w:rPr>
          <w:rFonts w:ascii="Times New Roman" w:hAnsi="Times New Roman"/>
          <w:sz w:val="18"/>
          <w:szCs w:val="18"/>
          <w:lang w:val="en-GB"/>
        </w:rPr>
        <w:t xml:space="preserve"> г.</w:t>
      </w:r>
      <w:r w:rsidRPr="00506D91">
        <w:rPr>
          <w:rFonts w:ascii="Times New Roman" w:hAnsi="Times New Roman"/>
          <w:sz w:val="18"/>
          <w:szCs w:val="18"/>
        </w:rPr>
        <w:t>)</w:t>
      </w:r>
    </w:p>
  </w:footnote>
  <w:footnote w:id="2">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Национален статистически институт, </w:t>
      </w:r>
      <w:hyperlink r:id="rId1" w:history="1">
        <w:r w:rsidRPr="00F8728A">
          <w:rPr>
            <w:rStyle w:val="Hyperlink"/>
            <w:rFonts w:ascii="Times New Roman" w:hAnsi="Times New Roman"/>
            <w:color w:val="auto"/>
            <w:sz w:val="18"/>
            <w:szCs w:val="18"/>
          </w:rPr>
          <w:t>http://www.nsi.bg/en/content/6703/population</w:t>
        </w:r>
      </w:hyperlink>
    </w:p>
  </w:footnote>
  <w:footnote w:id="3">
    <w:p w:rsidR="00FB4561" w:rsidRPr="00B73D7E" w:rsidRDefault="00FB4561" w:rsidP="001E6121">
      <w:pPr>
        <w:pStyle w:val="FootnoteText"/>
        <w:jc w:val="both"/>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Съгласно член 1, параграф 1 от Наредба № 7 за правила и нормативи за устройство на отделните видове територии и устройствени зони (ДВ бр. № 3/2004) градовете са класифицирани, както следва: а) Много големи – над 200.000 жители, б) Големи – от 100.000 до 200.000, в) Средни – от 30.000 до 100.000, г) Малки – от 10.000 до 30.000, д) Много малки – до 10.000 жители.</w:t>
      </w:r>
    </w:p>
  </w:footnote>
  <w:footnote w:id="4">
    <w:p w:rsidR="00FB4561" w:rsidRPr="00B73D7E" w:rsidRDefault="00FB4561" w:rsidP="001E6121">
      <w:pPr>
        <w:pStyle w:val="FootnoteText"/>
        <w:jc w:val="both"/>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Според Националната програма за развитие на селските райони (2007–2013 г.) „селски район“ е община без населено място с над 30.000 жители. Тази програма е основана на оценката на 231 съществуващи селски общини, които обхващат 81,4 процента от територията на страната.</w:t>
      </w:r>
    </w:p>
  </w:footnote>
  <w:footnote w:id="5">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Сценариите са определени съгласно регламентите на Европейския съюз (ЕС) относно демографското и социално-икономическото развитие на държавите членки</w:t>
      </w:r>
      <w:hyperlink r:id="rId2" w:history="1">
        <w:r w:rsidRPr="00F8728A">
          <w:rPr>
            <w:rStyle w:val="Hyperlink"/>
            <w:rFonts w:ascii="Times New Roman" w:hAnsi="Times New Roman"/>
            <w:color w:val="auto"/>
            <w:sz w:val="18"/>
            <w:szCs w:val="18"/>
          </w:rPr>
          <w:t>http://www.nsi.bg/en/content/6727/population-projections-sex-and-age</w:t>
        </w:r>
      </w:hyperlink>
    </w:p>
  </w:footnote>
  <w:footnote w:id="6">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w:t>
      </w:r>
      <w:hyperlink r:id="rId3" w:history="1">
        <w:r w:rsidRPr="00F8728A">
          <w:rPr>
            <w:rStyle w:val="Hyperlink"/>
            <w:rFonts w:ascii="Times New Roman" w:hAnsi="Times New Roman"/>
            <w:color w:val="auto"/>
            <w:sz w:val="18"/>
            <w:szCs w:val="18"/>
          </w:rPr>
          <w:t>http://www.nsi.bg/bg/content/</w:t>
        </w:r>
      </w:hyperlink>
    </w:p>
  </w:footnote>
  <w:footnote w:id="7">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w:t>
      </w:r>
      <w:hyperlink r:id="rId4" w:history="1">
        <w:r w:rsidRPr="00F8728A">
          <w:rPr>
            <w:rStyle w:val="Hyperlink"/>
            <w:rFonts w:ascii="Times New Roman" w:hAnsi="Times New Roman"/>
            <w:color w:val="auto"/>
            <w:sz w:val="18"/>
            <w:szCs w:val="18"/>
          </w:rPr>
          <w:t>http://ec.europa.eu/eurostat/statistics-explained/index.php/Income_distribution_statistics</w:t>
        </w:r>
      </w:hyperlink>
    </w:p>
  </w:footnote>
  <w:footnote w:id="8">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България: Предизвикателствата на бедността (регионален анализ на данните от многоцелевото наблюдение на домакинствата (2003 г.) </w:t>
      </w:r>
      <w:hyperlink r:id="rId5" w:history="1">
        <w:r w:rsidRPr="00F8728A">
          <w:rPr>
            <w:rStyle w:val="Hyperlink"/>
            <w:rFonts w:ascii="Times New Roman" w:hAnsi="Times New Roman"/>
            <w:color w:val="auto"/>
            <w:sz w:val="18"/>
            <w:szCs w:val="18"/>
          </w:rPr>
          <w:t>http://www.nsi.bg/sites/default/files/files/publications/Poverty_regio.pdf</w:t>
        </w:r>
      </w:hyperlink>
    </w:p>
  </w:footnote>
  <w:footnote w:id="9">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Надм. височина над 700 м или надм. височина над 500 м и 15 процента наклон, или повече от 20 процента наклон</w:t>
      </w:r>
    </w:p>
  </w:footnote>
  <w:footnote w:id="10">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w:t>
      </w:r>
      <w:hyperlink r:id="rId6" w:history="1">
        <w:r w:rsidRPr="00F8728A">
          <w:rPr>
            <w:rStyle w:val="Hyperlink"/>
            <w:rFonts w:ascii="Times New Roman" w:hAnsi="Times New Roman"/>
            <w:color w:val="auto"/>
            <w:sz w:val="18"/>
            <w:szCs w:val="18"/>
          </w:rPr>
          <w:t>http://www.bgregio.eu/media/Programirane/NKPR_28012013_Last_en.pdf</w:t>
        </w:r>
      </w:hyperlink>
    </w:p>
  </w:footnote>
  <w:footnote w:id="11">
    <w:p w:rsidR="00FB4561" w:rsidRPr="00B73D7E" w:rsidRDefault="00FB456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Закон за устройство на територията, приет 2001 г., посл. изм. ДВ бр. 96/01.12.2017 г.</w:t>
      </w:r>
    </w:p>
  </w:footnote>
  <w:footnote w:id="12">
    <w:p w:rsidR="00FB4561" w:rsidRPr="00B73D7E" w:rsidRDefault="00FB4561" w:rsidP="00E37DE2">
      <w:pPr>
        <w:pStyle w:val="FootnoteText"/>
        <w:jc w:val="both"/>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Статистически справочник, НСИ , 2016 г., доклади на МЗХГ, база данни на ИАОС, България; данни от „Corine Land Cover“. В рамките на европейската екологична мрежа „Натура 2000“ 34,4 процента от територията е предназначена за защита на местообитанията и видовете. </w:t>
      </w:r>
    </w:p>
  </w:footnote>
  <w:footnote w:id="13">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Наредба №7 за правила и нормативи за устройство на отделните видове територии и устройствени зони (ДВ № 3/13.1.2004, последно изменена ДВ № 41/22.4.2008 г</w:t>
      </w:r>
    </w:p>
  </w:footnote>
  <w:footnote w:id="14">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НКПР за периода 2013–2025 г. Достъпна на </w:t>
      </w:r>
      <w:hyperlink r:id="rId7" w:history="1">
        <w:r w:rsidRPr="00F8728A">
          <w:rPr>
            <w:rStyle w:val="Hyperlink"/>
            <w:rFonts w:ascii="Times New Roman" w:hAnsi="Times New Roman"/>
            <w:color w:val="auto"/>
            <w:sz w:val="18"/>
            <w:szCs w:val="18"/>
          </w:rPr>
          <w:t>http://www.bgregio.eu/media/Programirane/NKPR_28012013_Last_en.pdf</w:t>
        </w:r>
      </w:hyperlink>
    </w:p>
  </w:footnote>
  <w:footnote w:id="15">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ОПРР 2014–2020 г. Достъпна на </w:t>
      </w:r>
      <w:hyperlink r:id="rId8" w:history="1">
        <w:r w:rsidRPr="00F8728A">
          <w:rPr>
            <w:rStyle w:val="Hyperlink"/>
            <w:rFonts w:ascii="Times New Roman" w:hAnsi="Times New Roman"/>
            <w:color w:val="auto"/>
            <w:sz w:val="18"/>
            <w:szCs w:val="18"/>
          </w:rPr>
          <w:t>https://www.eufunds.bg/archive/documents/1434963441.pdf</w:t>
        </w:r>
      </w:hyperlink>
    </w:p>
  </w:footnote>
  <w:footnote w:id="16">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Стратегия за развитие и управление на водоснабдяването и канализацията в Република България 2014–2023 г. Достъпна на </w:t>
      </w:r>
      <w:hyperlink r:id="rId9" w:history="1">
        <w:r w:rsidRPr="00F8728A">
          <w:rPr>
            <w:rStyle w:val="Hyperlink"/>
            <w:rFonts w:ascii="Times New Roman" w:hAnsi="Times New Roman"/>
            <w:color w:val="auto"/>
            <w:sz w:val="18"/>
            <w:szCs w:val="18"/>
          </w:rPr>
          <w:t>http://www.mrrb.government.bg/static/media/ups/articles/attachments/24e7666f6785ee40bfb094bec3ad5f45.pdf</w:t>
        </w:r>
      </w:hyperlink>
    </w:p>
  </w:footnote>
  <w:footnote w:id="17">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Анализ на жилищния сектор, изготвен от НЦТР, и предаден на МРРБ през април 2017 г.</w:t>
      </w:r>
    </w:p>
  </w:footnote>
  <w:footnote w:id="18">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НСИ, справочник 2016 г.</w:t>
      </w:r>
    </w:p>
  </w:footnote>
  <w:footnote w:id="19">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Закон за устройство на територията, приет през 2001 г., последно изменение ДВ № 55/03.07.2018 г.</w:t>
      </w:r>
    </w:p>
  </w:footnote>
  <w:footnote w:id="20">
    <w:p w:rsidR="00FB4561" w:rsidRPr="00F8728A"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Закон за регионалното развитие, приет през 2008 г., последно изменение ДВ № 28/29.03.2018 г.</w:t>
      </w:r>
    </w:p>
  </w:footnote>
  <w:footnote w:id="21">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Пети доклад от оценката (</w:t>
      </w:r>
      <w:r w:rsidRPr="00F8728A">
        <w:rPr>
          <w:rFonts w:ascii="Times New Roman" w:hAnsi="Times New Roman"/>
          <w:sz w:val="18"/>
          <w:szCs w:val="18"/>
          <w:lang w:val="en-US"/>
        </w:rPr>
        <w:t>AR</w:t>
      </w:r>
      <w:r w:rsidRPr="00F8728A">
        <w:rPr>
          <w:rFonts w:ascii="Times New Roman" w:hAnsi="Times New Roman"/>
          <w:sz w:val="18"/>
          <w:szCs w:val="18"/>
        </w:rPr>
        <w:t xml:space="preserve">5) IPCC, 2013 </w:t>
      </w:r>
      <w:hyperlink r:id="rId10" w:history="1">
        <w:r w:rsidRPr="00F8728A">
          <w:rPr>
            <w:rStyle w:val="Hyperlink"/>
            <w:rFonts w:ascii="Times New Roman" w:hAnsi="Times New Roman"/>
            <w:color w:val="auto"/>
            <w:sz w:val="18"/>
            <w:szCs w:val="18"/>
          </w:rPr>
          <w:t>https://www.ipcc.ch/pdf/assessment-report/ar5/wg3/ipcc_wg3_ar5_chapter9.pdf</w:t>
        </w:r>
      </w:hyperlink>
    </w:p>
  </w:footnote>
  <w:footnote w:id="22">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Строителна промишленост в България през 2015 г.</w:t>
      </w:r>
    </w:p>
  </w:footnote>
  <w:footnote w:id="23">
    <w:p w:rsidR="00FB4561" w:rsidRPr="00B73D7E" w:rsidRDefault="00FB4561" w:rsidP="00B73D7E">
      <w:pPr>
        <w:pStyle w:val="FootnoteText"/>
        <w:jc w:val="both"/>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Национална схема за зелени инвестиции към Национален доверителен екофонд, Национална програма за енергийна ефективност на многофамилни жилищни сгради, Демонстрационен проект за обновяване на многофамилни жилищни сгради, изпълнен съвместно от МРРБ и ПРООН, ОПРР 2007 – 2013 с проекта Енергийно обновяване на българските домове“, ОПРР 2014–2020 г., Национална дългосрочна програма за насърчаване на инвестиции за изпълнение на мерки за подобряване на енергийните характеристики на сградите от обществения и частния национален жилищен и търговски сграден фонд (2016–2020 г.), Национален план за сгради с близко до нулево потребление на енергия 2015-2020 г.</w:t>
      </w:r>
    </w:p>
  </w:footnote>
  <w:footnote w:id="24">
    <w:p w:rsidR="00FB4561" w:rsidRPr="00F8728A" w:rsidRDefault="00FB456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Анализ на състоянието на жилищния сектор. Приложение към проекта за Национална жилищна стратегия, изготвен от Националния център за териториално развитие ЕАД, 2017.</w:t>
      </w:r>
    </w:p>
  </w:footnote>
  <w:footnote w:id="25">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НСИ </w:t>
      </w:r>
      <w:hyperlink r:id="rId11" w:history="1">
        <w:r w:rsidRPr="00F8728A">
          <w:rPr>
            <w:rStyle w:val="Hyperlink"/>
            <w:rFonts w:ascii="Times New Roman" w:hAnsi="Times New Roman"/>
            <w:color w:val="auto"/>
            <w:sz w:val="18"/>
            <w:szCs w:val="18"/>
          </w:rPr>
          <w:t>http://www.nsi.bg/en/content/8294/poverty-and-social-inclusion-indicators-national-level</w:t>
        </w:r>
      </w:hyperlink>
    </w:p>
  </w:footnote>
  <w:footnote w:id="26">
    <w:p w:rsidR="00FB4561" w:rsidRPr="00B73D7E" w:rsidRDefault="00FB4561" w:rsidP="00B73D7E">
      <w:pPr>
        <w:pStyle w:val="FootnoteText"/>
        <w:jc w:val="both"/>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Национална жилищна стратегия 2018 – 2030 г. Анализ на жилищния сектор, представен от НЦТР  на  Министерството на регионалното развитие и благоустройството през април 2017 г.</w:t>
      </w:r>
    </w:p>
  </w:footnote>
  <w:footnote w:id="27">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Европейска комисия, ГД „Заетост, социални въпроси и приобщаване“ определя бездомността като „Живот на улицата или във временни, несигурни или некачествени жилища“</w:t>
      </w:r>
    </w:p>
  </w:footnote>
  <w:footnote w:id="28">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Приет през 1996 г. Последно изменен ДВ № 96/01.12.2017</w:t>
      </w:r>
    </w:p>
  </w:footnote>
  <w:footnote w:id="29">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w:t>
      </w:r>
      <w:hyperlink r:id="rId12" w:history="1">
        <w:r w:rsidRPr="00F8728A">
          <w:rPr>
            <w:rStyle w:val="Hyperlink"/>
            <w:rFonts w:ascii="Times New Roman" w:hAnsi="Times New Roman"/>
            <w:color w:val="auto"/>
            <w:sz w:val="18"/>
            <w:szCs w:val="18"/>
          </w:rPr>
          <w:t>http://www.covenantofmayors.eu/about/covenant-of-mayors_bg.html</w:t>
        </w:r>
      </w:hyperlink>
    </w:p>
  </w:footnote>
  <w:footnote w:id="30">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w:t>
      </w:r>
      <w:hyperlink r:id="rId13" w:history="1">
        <w:r w:rsidRPr="00F8728A">
          <w:rPr>
            <w:rStyle w:val="Hyperlink"/>
            <w:rFonts w:ascii="Times New Roman" w:hAnsi="Times New Roman"/>
            <w:color w:val="auto"/>
            <w:sz w:val="18"/>
            <w:szCs w:val="18"/>
          </w:rPr>
          <w:t>https://www.researchgate.net/publication/305990956_Towards_Liveable_Cities_and_Towns_-_Guidance_for_Sustainable_Urban_Management</w:t>
        </w:r>
      </w:hyperlink>
      <w:r w:rsidRPr="00F8728A">
        <w:rPr>
          <w:rFonts w:ascii="Times New Roman" w:hAnsi="Times New Roman"/>
          <w:sz w:val="18"/>
          <w:szCs w:val="18"/>
        </w:rPr>
        <w:t xml:space="preserve"> </w:t>
      </w:r>
    </w:p>
  </w:footnote>
  <w:footnote w:id="31">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w:t>
      </w:r>
      <w:hyperlink r:id="rId14" w:history="1">
        <w:r w:rsidRPr="00F8728A">
          <w:rPr>
            <w:rStyle w:val="Hyperlink"/>
            <w:rFonts w:ascii="Times New Roman" w:hAnsi="Times New Roman"/>
            <w:color w:val="auto"/>
            <w:sz w:val="18"/>
            <w:szCs w:val="18"/>
          </w:rPr>
          <w:t>http://www.covenantofmayors.eu/actions/sustainable-energy-action-plans_bg.html</w:t>
        </w:r>
      </w:hyperlink>
      <w:r w:rsidRPr="00F8728A">
        <w:rPr>
          <w:rFonts w:ascii="Times New Roman" w:hAnsi="Times New Roman"/>
          <w:sz w:val="18"/>
          <w:szCs w:val="18"/>
        </w:rPr>
        <w:t xml:space="preserve"> </w:t>
      </w:r>
    </w:p>
  </w:footnote>
  <w:footnote w:id="32">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w:t>
      </w:r>
      <w:hyperlink r:id="rId15" w:history="1">
        <w:r w:rsidRPr="00F8728A">
          <w:rPr>
            <w:rStyle w:val="Hyperlink"/>
            <w:rFonts w:ascii="Times New Roman" w:hAnsi="Times New Roman"/>
            <w:color w:val="auto"/>
            <w:sz w:val="18"/>
            <w:szCs w:val="18"/>
          </w:rPr>
          <w:t>http://sedac.ipcc-data.org/ddc/ar5_scenario_process/RCPs.html</w:t>
        </w:r>
      </w:hyperlink>
    </w:p>
  </w:footnote>
  <w:footnote w:id="33">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w:t>
      </w:r>
      <w:hyperlink r:id="rId16" w:history="1">
        <w:r w:rsidRPr="00F8728A">
          <w:rPr>
            <w:rStyle w:val="Hyperlink"/>
            <w:rFonts w:ascii="Times New Roman" w:hAnsi="Times New Roman"/>
            <w:color w:val="auto"/>
            <w:sz w:val="18"/>
            <w:szCs w:val="18"/>
          </w:rPr>
          <w:t>https://www.eea.europa.eu/publications/climate-change-impacts-and-vulnerability-2016</w:t>
        </w:r>
      </w:hyperlink>
    </w:p>
  </w:footnote>
  <w:footnote w:id="34">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w:t>
      </w:r>
      <w:hyperlink r:id="rId17" w:history="1">
        <w:r w:rsidRPr="00F8728A">
          <w:rPr>
            <w:rStyle w:val="Hyperlink"/>
            <w:rFonts w:ascii="Times New Roman" w:hAnsi="Times New Roman"/>
            <w:color w:val="auto"/>
            <w:sz w:val="18"/>
            <w:szCs w:val="18"/>
          </w:rPr>
          <w:t>http://uccrn.org/arc3-2/</w:t>
        </w:r>
      </w:hyperlink>
    </w:p>
  </w:footnote>
  <w:footnote w:id="35">
    <w:p w:rsidR="00FB4561" w:rsidRPr="00B73D7E" w:rsidRDefault="00FB4561" w:rsidP="001E6121">
      <w:pPr>
        <w:pStyle w:val="FootnoteText"/>
        <w:rPr>
          <w:rFonts w:ascii="Times New Roman" w:hAnsi="Times New Roman"/>
          <w:sz w:val="18"/>
          <w:szCs w:val="18"/>
        </w:rPr>
      </w:pPr>
      <w:r w:rsidRPr="00F8728A">
        <w:rPr>
          <w:rFonts w:ascii="Times New Roman" w:hAnsi="Times New Roman"/>
          <w:sz w:val="18"/>
          <w:szCs w:val="18"/>
          <w:lang w:val="ru-RU"/>
        </w:rPr>
        <w:t xml:space="preserve"> </w:t>
      </w: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w:t>
      </w:r>
      <w:hyperlink r:id="rId18" w:history="1">
        <w:r w:rsidRPr="00F8728A">
          <w:rPr>
            <w:rStyle w:val="Hyperlink"/>
            <w:rFonts w:ascii="Times New Roman" w:hAnsi="Times New Roman"/>
            <w:color w:val="auto"/>
            <w:sz w:val="18"/>
            <w:szCs w:val="18"/>
          </w:rPr>
          <w:t>http://meteorology.meteo.bg/poster_AG_KM_LB-f.pdf</w:t>
        </w:r>
      </w:hyperlink>
    </w:p>
  </w:footnote>
  <w:footnote w:id="36">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w:t>
      </w:r>
      <w:hyperlink r:id="rId19" w:history="1">
        <w:r w:rsidRPr="00F8728A">
          <w:rPr>
            <w:rStyle w:val="Hyperlink"/>
            <w:rFonts w:ascii="Times New Roman" w:hAnsi="Times New Roman"/>
            <w:color w:val="auto"/>
            <w:sz w:val="18"/>
            <w:szCs w:val="18"/>
          </w:rPr>
          <w:t>http://www.nsi.bg/en/content/13272/floods</w:t>
        </w:r>
      </w:hyperlink>
    </w:p>
  </w:footnote>
  <w:footnote w:id="37">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w:t>
      </w:r>
      <w:hyperlink r:id="rId20" w:history="1">
        <w:r w:rsidRPr="00F8728A">
          <w:rPr>
            <w:rStyle w:val="Hyperlink"/>
            <w:rFonts w:ascii="Times New Roman" w:hAnsi="Times New Roman"/>
            <w:color w:val="auto"/>
            <w:sz w:val="18"/>
            <w:szCs w:val="18"/>
          </w:rPr>
          <w:t>http://www5.moew.government.bg/?page_id=54663</w:t>
        </w:r>
      </w:hyperlink>
    </w:p>
  </w:footnote>
  <w:footnote w:id="38">
    <w:p w:rsidR="00FB4561" w:rsidRPr="00B73D7E" w:rsidRDefault="00FB456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НСИ, Статистика на кризисните събития, вкл. свлачища. Данните са базирани на годишните доклади, представени в НСИ от 83 общински администрации, </w:t>
      </w:r>
      <w:r w:rsidRPr="00F8728A">
        <w:rPr>
          <w:rFonts w:ascii="Times New Roman" w:hAnsi="Times New Roman"/>
          <w:sz w:val="18"/>
          <w:szCs w:val="18"/>
          <w:u w:val="single"/>
          <w:lang w:val="x-none"/>
        </w:rPr>
        <w:t>http://www.nsi.bg/en/content/13274/landslides</w:t>
      </w:r>
      <w:r w:rsidRPr="00F8728A">
        <w:rPr>
          <w:rFonts w:ascii="Times New Roman" w:hAnsi="Times New Roman"/>
          <w:sz w:val="18"/>
          <w:szCs w:val="18"/>
        </w:rPr>
        <w:t>.</w:t>
      </w:r>
    </w:p>
  </w:footnote>
  <w:footnote w:id="39">
    <w:p w:rsidR="00FB4561" w:rsidRPr="00B73D7E" w:rsidRDefault="00FB456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МРРБ, http://gis.mrrb.government.bg/KGR</w:t>
      </w:r>
    </w:p>
  </w:footnote>
  <w:footnote w:id="40">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w:t>
      </w:r>
      <w:hyperlink r:id="rId21" w:history="1">
        <w:r w:rsidRPr="00F8728A">
          <w:rPr>
            <w:rStyle w:val="Hyperlink"/>
            <w:rFonts w:ascii="Times New Roman" w:hAnsi="Times New Roman"/>
            <w:color w:val="auto"/>
            <w:sz w:val="18"/>
            <w:szCs w:val="18"/>
          </w:rPr>
          <w:t>http://eea.government.bg/bg/soer/2013/water/index</w:t>
        </w:r>
      </w:hyperlink>
    </w:p>
  </w:footnote>
  <w:footnote w:id="41">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Национален доклад „Състояние на околната среда“, Република България, достъпен на </w:t>
      </w:r>
      <w:hyperlink r:id="rId22" w:history="1">
        <w:r w:rsidRPr="00F8728A">
          <w:rPr>
            <w:rStyle w:val="Hyperlink"/>
            <w:rFonts w:ascii="Times New Roman" w:hAnsi="Times New Roman"/>
            <w:color w:val="auto"/>
            <w:sz w:val="18"/>
            <w:szCs w:val="18"/>
          </w:rPr>
          <w:t>http://eea.government.bg/bg/soer/2014</w:t>
        </w:r>
      </w:hyperlink>
    </w:p>
  </w:footnote>
  <w:footnote w:id="42">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w:t>
      </w:r>
      <w:hyperlink r:id="rId23" w:history="1">
        <w:r w:rsidRPr="00F8728A">
          <w:rPr>
            <w:rStyle w:val="Hyperlink"/>
            <w:rFonts w:ascii="Times New Roman" w:hAnsi="Times New Roman"/>
            <w:color w:val="auto"/>
            <w:sz w:val="18"/>
            <w:szCs w:val="18"/>
          </w:rPr>
          <w:t>http://www5.moew.government.bg/?page_id=51489</w:t>
        </w:r>
      </w:hyperlink>
    </w:p>
  </w:footnote>
  <w:footnote w:id="43">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Вж. </w:t>
      </w:r>
      <w:hyperlink r:id="rId24" w:history="1">
        <w:r w:rsidRPr="00F8728A">
          <w:rPr>
            <w:rStyle w:val="Hyperlink"/>
            <w:rFonts w:ascii="Times New Roman" w:hAnsi="Times New Roman"/>
            <w:color w:val="auto"/>
            <w:sz w:val="18"/>
            <w:szCs w:val="18"/>
          </w:rPr>
          <w:t>http://eea.government.bg/bg/soer/2015</w:t>
        </w:r>
      </w:hyperlink>
    </w:p>
  </w:footnote>
  <w:footnote w:id="44">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w:t>
      </w:r>
      <w:r w:rsidRPr="00F8728A">
        <w:rPr>
          <w:rFonts w:ascii="Times New Roman" w:hAnsi="Times New Roman"/>
          <w:sz w:val="18"/>
          <w:szCs w:val="18"/>
          <w:lang w:val="en-GB"/>
        </w:rPr>
        <w:t>http</w:t>
      </w:r>
      <w:r w:rsidRPr="00F8728A">
        <w:rPr>
          <w:rFonts w:ascii="Times New Roman" w:hAnsi="Times New Roman"/>
          <w:sz w:val="18"/>
          <w:szCs w:val="18"/>
        </w:rPr>
        <w:t>://</w:t>
      </w:r>
      <w:r w:rsidRPr="00F8728A">
        <w:rPr>
          <w:rFonts w:ascii="Times New Roman" w:hAnsi="Times New Roman"/>
          <w:sz w:val="18"/>
          <w:szCs w:val="18"/>
          <w:lang w:val="en-GB"/>
        </w:rPr>
        <w:t>www</w:t>
      </w:r>
      <w:r w:rsidRPr="00F8728A">
        <w:rPr>
          <w:rFonts w:ascii="Times New Roman" w:hAnsi="Times New Roman"/>
          <w:sz w:val="18"/>
          <w:szCs w:val="18"/>
        </w:rPr>
        <w:t>.</w:t>
      </w:r>
      <w:r w:rsidRPr="00F8728A">
        <w:rPr>
          <w:rFonts w:ascii="Times New Roman" w:hAnsi="Times New Roman"/>
          <w:sz w:val="18"/>
          <w:szCs w:val="18"/>
          <w:lang w:val="en-GB"/>
        </w:rPr>
        <w:t>nsi</w:t>
      </w:r>
      <w:r w:rsidRPr="00F8728A">
        <w:rPr>
          <w:rFonts w:ascii="Times New Roman" w:hAnsi="Times New Roman"/>
          <w:sz w:val="18"/>
          <w:szCs w:val="18"/>
        </w:rPr>
        <w:t>.</w:t>
      </w:r>
      <w:r w:rsidRPr="00F8728A">
        <w:rPr>
          <w:rFonts w:ascii="Times New Roman" w:hAnsi="Times New Roman"/>
          <w:sz w:val="18"/>
          <w:szCs w:val="18"/>
          <w:lang w:val="en-GB"/>
        </w:rPr>
        <w:t>bg</w:t>
      </w:r>
      <w:r w:rsidRPr="00F8728A">
        <w:rPr>
          <w:rFonts w:ascii="Times New Roman" w:hAnsi="Times New Roman"/>
          <w:sz w:val="18"/>
          <w:szCs w:val="18"/>
        </w:rPr>
        <w:t>/</w:t>
      </w:r>
      <w:r w:rsidRPr="00F8728A">
        <w:rPr>
          <w:rFonts w:ascii="Times New Roman" w:hAnsi="Times New Roman"/>
          <w:sz w:val="18"/>
          <w:szCs w:val="18"/>
          <w:lang w:val="en-GB"/>
        </w:rPr>
        <w:t>en</w:t>
      </w:r>
      <w:r w:rsidRPr="00F8728A">
        <w:rPr>
          <w:rFonts w:ascii="Times New Roman" w:hAnsi="Times New Roman"/>
          <w:sz w:val="18"/>
          <w:szCs w:val="18"/>
        </w:rPr>
        <w:t>/</w:t>
      </w:r>
      <w:r w:rsidRPr="00F8728A">
        <w:rPr>
          <w:rFonts w:ascii="Times New Roman" w:hAnsi="Times New Roman"/>
          <w:sz w:val="18"/>
          <w:szCs w:val="18"/>
          <w:lang w:val="en-GB"/>
        </w:rPr>
        <w:t>content</w:t>
      </w:r>
      <w:r w:rsidRPr="00F8728A">
        <w:rPr>
          <w:rFonts w:ascii="Times New Roman" w:hAnsi="Times New Roman"/>
          <w:sz w:val="18"/>
          <w:szCs w:val="18"/>
        </w:rPr>
        <w:t>/13286/</w:t>
      </w:r>
      <w:r w:rsidRPr="00F8728A">
        <w:rPr>
          <w:rFonts w:ascii="Times New Roman" w:hAnsi="Times New Roman"/>
          <w:sz w:val="18"/>
          <w:szCs w:val="18"/>
          <w:lang w:val="en-GB"/>
        </w:rPr>
        <w:t>earthquakes</w:t>
      </w:r>
    </w:p>
  </w:footnote>
  <w:footnote w:id="45">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w:t>
      </w:r>
      <w:hyperlink r:id="rId25" w:history="1">
        <w:r w:rsidRPr="00F8728A">
          <w:rPr>
            <w:rStyle w:val="Hyperlink"/>
            <w:rFonts w:ascii="Times New Roman" w:hAnsi="Times New Roman"/>
            <w:color w:val="auto"/>
            <w:sz w:val="18"/>
            <w:szCs w:val="18"/>
          </w:rPr>
          <w:t>http://resilient-cities.iclei.org/fileadmin/sites/resilient-cities/files/docs/B1-Bonn2010-Hoornweg.pdf</w:t>
        </w:r>
      </w:hyperlink>
      <w:r w:rsidRPr="00F8728A">
        <w:rPr>
          <w:rFonts w:ascii="Times New Roman" w:hAnsi="Times New Roman"/>
          <w:sz w:val="18"/>
          <w:szCs w:val="18"/>
        </w:rPr>
        <w:t xml:space="preserve"> и </w:t>
      </w:r>
      <w:hyperlink r:id="rId26" w:history="1">
        <w:r w:rsidRPr="00F8728A">
          <w:rPr>
            <w:rStyle w:val="Hyperlink"/>
            <w:rFonts w:ascii="Times New Roman" w:hAnsi="Times New Roman"/>
            <w:color w:val="auto"/>
            <w:sz w:val="18"/>
            <w:szCs w:val="18"/>
          </w:rPr>
          <w:t>http://siteresources.worldbank.org/INTURBANDEVELOPMENT/Resources/336387-1296405826983/Dickson.pdf</w:t>
        </w:r>
      </w:hyperlink>
    </w:p>
  </w:footnote>
  <w:footnote w:id="46">
    <w:p w:rsidR="00FB4561" w:rsidRPr="00B73D7E" w:rsidRDefault="00FB456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http://espas.eu/orbis/sites/default/files/generated/document/en/OECD%20Climate%20Change.pdf</w:t>
      </w:r>
    </w:p>
  </w:footnote>
  <w:footnote w:id="47">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Вж. например План за управление на риска от наводнения на Източнобеломорски район за басейново управление, достъпен на </w:t>
      </w:r>
      <w:hyperlink r:id="rId27" w:history="1">
        <w:r w:rsidRPr="00F8728A">
          <w:rPr>
            <w:rStyle w:val="Hyperlink"/>
            <w:rFonts w:ascii="Times New Roman" w:hAnsi="Times New Roman"/>
            <w:color w:val="auto"/>
            <w:sz w:val="18"/>
            <w:szCs w:val="18"/>
          </w:rPr>
          <w:t>http://earbd.org/indexdetails.php?menu_id=399</w:t>
        </w:r>
      </w:hyperlink>
      <w:r w:rsidRPr="00F8728A">
        <w:rPr>
          <w:rFonts w:ascii="Times New Roman" w:hAnsi="Times New Roman"/>
          <w:sz w:val="18"/>
          <w:szCs w:val="18"/>
        </w:rPr>
        <w:t xml:space="preserve"> </w:t>
      </w:r>
    </w:p>
  </w:footnote>
  <w:footnote w:id="48">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hyperlink r:id="rId28" w:history="1">
        <w:r w:rsidRPr="00F8728A">
          <w:rPr>
            <w:rStyle w:val="Hyperlink"/>
            <w:rFonts w:ascii="Times New Roman" w:hAnsi="Times New Roman"/>
            <w:color w:val="auto"/>
            <w:sz w:val="18"/>
            <w:szCs w:val="18"/>
          </w:rPr>
          <w:t>http://www.rtpi.org.uk/knowledge/topics/climate-change/our-seven-commitments-on-climate-change</w:t>
        </w:r>
      </w:hyperlink>
      <w:r w:rsidRPr="00F8728A">
        <w:rPr>
          <w:rFonts w:ascii="Times New Roman" w:hAnsi="Times New Roman"/>
          <w:sz w:val="18"/>
          <w:szCs w:val="18"/>
        </w:rPr>
        <w:t xml:space="preserve">,  </w:t>
      </w:r>
      <w:hyperlink r:id="rId29" w:history="1">
        <w:r w:rsidRPr="00F8728A">
          <w:rPr>
            <w:rStyle w:val="Hyperlink"/>
            <w:rFonts w:ascii="Times New Roman" w:hAnsi="Times New Roman"/>
            <w:color w:val="auto"/>
            <w:sz w:val="18"/>
            <w:szCs w:val="18"/>
            <w:lang w:val="en-CA"/>
          </w:rPr>
          <w:t>http</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www</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eukn</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eu</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e</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library</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project</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bericht</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detail</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european</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cities</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and</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climate</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change</w:t>
        </w:r>
        <w:r w:rsidRPr="00F8728A">
          <w:rPr>
            <w:rStyle w:val="Hyperlink"/>
            <w:rFonts w:ascii="Times New Roman" w:hAnsi="Times New Roman"/>
            <w:color w:val="auto"/>
            <w:sz w:val="18"/>
            <w:szCs w:val="18"/>
          </w:rPr>
          <w:t>/</w:t>
        </w:r>
      </w:hyperlink>
      <w:r w:rsidRPr="00F8728A">
        <w:rPr>
          <w:rFonts w:ascii="Times New Roman" w:hAnsi="Times New Roman"/>
          <w:sz w:val="18"/>
          <w:szCs w:val="18"/>
        </w:rPr>
        <w:t xml:space="preserve">,  </w:t>
      </w:r>
      <w:hyperlink r:id="rId30" w:history="1">
        <w:r w:rsidRPr="00F8728A">
          <w:rPr>
            <w:rStyle w:val="Hyperlink"/>
            <w:rFonts w:ascii="Times New Roman" w:hAnsi="Times New Roman"/>
            <w:color w:val="auto"/>
            <w:sz w:val="18"/>
            <w:szCs w:val="18"/>
            <w:lang w:val="en-CA"/>
          </w:rPr>
          <w:t>https</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isocarp</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org</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news</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ipcc</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special</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report</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cities</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climate</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change</w:t>
        </w:r>
        <w:r w:rsidRPr="00F8728A">
          <w:rPr>
            <w:rStyle w:val="Hyperlink"/>
            <w:rFonts w:ascii="Times New Roman" w:hAnsi="Times New Roman"/>
            <w:color w:val="auto"/>
            <w:sz w:val="18"/>
            <w:szCs w:val="18"/>
          </w:rPr>
          <w:t>/</w:t>
        </w:r>
      </w:hyperlink>
    </w:p>
  </w:footnote>
  <w:footnote w:id="49">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Национална стратегия за развитие на научните изследвания в Република България</w:t>
      </w:r>
      <w:r w:rsidRPr="00F8728A">
        <w:rPr>
          <w:rFonts w:ascii="Times New Roman" w:hAnsi="Times New Roman"/>
          <w:sz w:val="18"/>
          <w:szCs w:val="18"/>
          <w:lang w:val="ru-RU"/>
        </w:rPr>
        <w:t xml:space="preserve"> (2016 - 2025) </w:t>
      </w:r>
      <w:hyperlink r:id="rId31" w:history="1">
        <w:r w:rsidRPr="00F8728A">
          <w:rPr>
            <w:rStyle w:val="Hyperlink"/>
            <w:rFonts w:ascii="Times New Roman" w:hAnsi="Times New Roman"/>
            <w:color w:val="auto"/>
            <w:sz w:val="18"/>
            <w:szCs w:val="18"/>
            <w:lang w:val="en-CA"/>
          </w:rPr>
          <w:t>http</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www</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mon</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bg</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go</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page</w:t>
        </w:r>
        <w:r w:rsidRPr="00F8728A">
          <w:rPr>
            <w:rStyle w:val="Hyperlink"/>
            <w:rFonts w:ascii="Times New Roman" w:hAnsi="Times New Roman"/>
            <w:color w:val="auto"/>
            <w:sz w:val="18"/>
            <w:szCs w:val="18"/>
            <w:lang w:val="ru-RU"/>
          </w:rPr>
          <w:t>&amp;</w:t>
        </w:r>
        <w:r w:rsidRPr="00F8728A">
          <w:rPr>
            <w:rStyle w:val="Hyperlink"/>
            <w:rFonts w:ascii="Times New Roman" w:hAnsi="Times New Roman"/>
            <w:color w:val="auto"/>
            <w:sz w:val="18"/>
            <w:szCs w:val="18"/>
            <w:lang w:val="en-CA"/>
          </w:rPr>
          <w:t>pageId</w:t>
        </w:r>
        <w:r w:rsidRPr="00F8728A">
          <w:rPr>
            <w:rStyle w:val="Hyperlink"/>
            <w:rFonts w:ascii="Times New Roman" w:hAnsi="Times New Roman"/>
            <w:color w:val="auto"/>
            <w:sz w:val="18"/>
            <w:szCs w:val="18"/>
            <w:lang w:val="ru-RU"/>
          </w:rPr>
          <w:t>=74&amp;</w:t>
        </w:r>
        <w:r w:rsidRPr="00F8728A">
          <w:rPr>
            <w:rStyle w:val="Hyperlink"/>
            <w:rFonts w:ascii="Times New Roman" w:hAnsi="Times New Roman"/>
            <w:color w:val="auto"/>
            <w:sz w:val="18"/>
            <w:szCs w:val="18"/>
            <w:lang w:val="en-CA"/>
          </w:rPr>
          <w:t>subpageId</w:t>
        </w:r>
        <w:r w:rsidRPr="00F8728A">
          <w:rPr>
            <w:rStyle w:val="Hyperlink"/>
            <w:rFonts w:ascii="Times New Roman" w:hAnsi="Times New Roman"/>
            <w:color w:val="auto"/>
            <w:sz w:val="18"/>
            <w:szCs w:val="18"/>
            <w:lang w:val="ru-RU"/>
          </w:rPr>
          <w:t>=143</w:t>
        </w:r>
      </w:hyperlink>
    </w:p>
  </w:footnote>
  <w:footnote w:id="50">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Имидж на българските НПО</w:t>
      </w:r>
      <w:r w:rsidRPr="00F8728A">
        <w:rPr>
          <w:rFonts w:ascii="Times New Roman" w:hAnsi="Times New Roman"/>
          <w:sz w:val="18"/>
          <w:szCs w:val="18"/>
          <w:lang w:val="ru-RU"/>
        </w:rPr>
        <w:t xml:space="preserve">. </w:t>
      </w:r>
      <w:r w:rsidRPr="00F8728A">
        <w:rPr>
          <w:rFonts w:ascii="Times New Roman" w:hAnsi="Times New Roman"/>
          <w:sz w:val="18"/>
          <w:szCs w:val="18"/>
          <w:lang w:val="en-US"/>
        </w:rPr>
        <w:t>SWOT</w:t>
      </w:r>
      <w:r w:rsidRPr="00F8728A">
        <w:rPr>
          <w:rFonts w:ascii="Times New Roman" w:hAnsi="Times New Roman"/>
          <w:sz w:val="18"/>
          <w:szCs w:val="18"/>
          <w:lang w:val="ru-RU"/>
        </w:rPr>
        <w:t xml:space="preserve"> </w:t>
      </w:r>
      <w:r w:rsidRPr="00F8728A">
        <w:rPr>
          <w:rFonts w:ascii="Times New Roman" w:hAnsi="Times New Roman"/>
          <w:sz w:val="18"/>
          <w:szCs w:val="18"/>
        </w:rPr>
        <w:t>анализ</w:t>
      </w:r>
      <w:r w:rsidRPr="00F8728A">
        <w:rPr>
          <w:rFonts w:ascii="Times New Roman" w:hAnsi="Times New Roman"/>
          <w:sz w:val="18"/>
          <w:szCs w:val="18"/>
          <w:lang w:val="ru-RU"/>
        </w:rPr>
        <w:t xml:space="preserve">. </w:t>
      </w:r>
      <w:r w:rsidRPr="00F8728A">
        <w:rPr>
          <w:rFonts w:ascii="Times New Roman" w:hAnsi="Times New Roman"/>
          <w:sz w:val="18"/>
          <w:szCs w:val="18"/>
        </w:rPr>
        <w:t xml:space="preserve">Качествено проучване след НПО представители и медии, </w:t>
      </w:r>
      <w:r w:rsidRPr="00F8728A">
        <w:rPr>
          <w:rFonts w:ascii="Times New Roman" w:hAnsi="Times New Roman"/>
          <w:sz w:val="18"/>
          <w:szCs w:val="18"/>
          <w:lang w:val="ru-RU"/>
        </w:rPr>
        <w:t>2005.</w:t>
      </w:r>
      <w:r w:rsidRPr="00F8728A">
        <w:rPr>
          <w:rFonts w:ascii="Times New Roman" w:hAnsi="Times New Roman"/>
          <w:sz w:val="18"/>
          <w:szCs w:val="18"/>
        </w:rPr>
        <w:t xml:space="preserve"> </w:t>
      </w:r>
      <w:hyperlink r:id="rId32" w:history="1">
        <w:r w:rsidRPr="00F8728A">
          <w:rPr>
            <w:rStyle w:val="Hyperlink"/>
            <w:rFonts w:ascii="Times New Roman" w:hAnsi="Times New Roman"/>
            <w:color w:val="auto"/>
            <w:sz w:val="18"/>
            <w:szCs w:val="18"/>
          </w:rPr>
          <w:t>http://osi.bg/downloads/File/swot_analisys.pdf</w:t>
        </w:r>
      </w:hyperlink>
      <w:r w:rsidRPr="00F8728A">
        <w:rPr>
          <w:rFonts w:ascii="Times New Roman" w:hAnsi="Times New Roman"/>
          <w:sz w:val="18"/>
          <w:szCs w:val="18"/>
        </w:rPr>
        <w:t xml:space="preserve">  Market Links </w:t>
      </w:r>
    </w:p>
  </w:footnote>
  <w:footnote w:id="51">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hyperlink r:id="rId33" w:history="1">
        <w:r w:rsidRPr="00F8728A">
          <w:rPr>
            <w:rStyle w:val="Hyperlink"/>
            <w:rFonts w:ascii="Times New Roman" w:hAnsi="Times New Roman"/>
            <w:color w:val="auto"/>
            <w:sz w:val="18"/>
            <w:szCs w:val="18"/>
            <w:lang w:val="en-CA"/>
          </w:rPr>
          <w:t>https</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www</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nature</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com</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nclimate</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journal</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v</w:t>
        </w:r>
        <w:r w:rsidRPr="00F8728A">
          <w:rPr>
            <w:rStyle w:val="Hyperlink"/>
            <w:rFonts w:ascii="Times New Roman" w:hAnsi="Times New Roman"/>
            <w:color w:val="auto"/>
            <w:sz w:val="18"/>
            <w:szCs w:val="18"/>
          </w:rPr>
          <w:t>5/</w:t>
        </w:r>
        <w:r w:rsidRPr="00F8728A">
          <w:rPr>
            <w:rStyle w:val="Hyperlink"/>
            <w:rFonts w:ascii="Times New Roman" w:hAnsi="Times New Roman"/>
            <w:color w:val="auto"/>
            <w:sz w:val="18"/>
            <w:szCs w:val="18"/>
            <w:lang w:val="en-CA"/>
          </w:rPr>
          <w:t>n</w:t>
        </w:r>
        <w:r w:rsidRPr="00F8728A">
          <w:rPr>
            <w:rStyle w:val="Hyperlink"/>
            <w:rFonts w:ascii="Times New Roman" w:hAnsi="Times New Roman"/>
            <w:color w:val="auto"/>
            <w:sz w:val="18"/>
            <w:szCs w:val="18"/>
          </w:rPr>
          <w:t>11/</w:t>
        </w:r>
        <w:r w:rsidRPr="00F8728A">
          <w:rPr>
            <w:rStyle w:val="Hyperlink"/>
            <w:rFonts w:ascii="Times New Roman" w:hAnsi="Times New Roman"/>
            <w:color w:val="auto"/>
            <w:sz w:val="18"/>
            <w:szCs w:val="18"/>
            <w:lang w:val="en-CA"/>
          </w:rPr>
          <w:t>full</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nclimate</w:t>
        </w:r>
        <w:r w:rsidRPr="00F8728A">
          <w:rPr>
            <w:rStyle w:val="Hyperlink"/>
            <w:rFonts w:ascii="Times New Roman" w:hAnsi="Times New Roman"/>
            <w:color w:val="auto"/>
            <w:sz w:val="18"/>
            <w:szCs w:val="18"/>
          </w:rPr>
          <w:t>2728.</w:t>
        </w:r>
        <w:r w:rsidRPr="00F8728A">
          <w:rPr>
            <w:rStyle w:val="Hyperlink"/>
            <w:rFonts w:ascii="Times New Roman" w:hAnsi="Times New Roman"/>
            <w:color w:val="auto"/>
            <w:sz w:val="18"/>
            <w:szCs w:val="18"/>
            <w:lang w:val="en-CA"/>
          </w:rPr>
          <w:t>html</w:t>
        </w:r>
      </w:hyperlink>
    </w:p>
  </w:footnote>
  <w:footnote w:id="52">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r w:rsidRPr="00F8728A">
        <w:rPr>
          <w:rFonts w:ascii="Times New Roman" w:hAnsi="Times New Roman"/>
          <w:sz w:val="18"/>
          <w:szCs w:val="18"/>
          <w:lang w:val="en-CA"/>
        </w:rPr>
        <w:t>EC</w:t>
      </w:r>
      <w:r w:rsidRPr="00F8728A">
        <w:rPr>
          <w:rFonts w:ascii="Times New Roman" w:hAnsi="Times New Roman"/>
          <w:sz w:val="18"/>
          <w:szCs w:val="18"/>
          <w:lang w:val="ru-RU"/>
        </w:rPr>
        <w:t xml:space="preserve"> Седма обща програма за действие в областта на околната среда до</w:t>
      </w:r>
      <w:r w:rsidRPr="00F8728A">
        <w:rPr>
          <w:rFonts w:ascii="Times New Roman" w:hAnsi="Times New Roman"/>
          <w:sz w:val="18"/>
          <w:szCs w:val="18"/>
        </w:rPr>
        <w:t xml:space="preserve"> 2020 </w:t>
      </w:r>
      <w:r w:rsidRPr="00F8728A">
        <w:rPr>
          <w:rFonts w:ascii="Times New Roman" w:hAnsi="Times New Roman"/>
          <w:sz w:val="18"/>
          <w:szCs w:val="18"/>
          <w:lang w:val="ru-RU"/>
        </w:rPr>
        <w:t>‘</w:t>
      </w:r>
      <w:r w:rsidRPr="00F8728A">
        <w:rPr>
          <w:rFonts w:ascii="Times New Roman" w:hAnsi="Times New Roman"/>
          <w:sz w:val="18"/>
          <w:szCs w:val="18"/>
        </w:rPr>
        <w:t>Да живеем добре в пределите на нашата планета</w:t>
      </w:r>
      <w:r w:rsidRPr="00F8728A">
        <w:rPr>
          <w:rFonts w:ascii="Times New Roman" w:hAnsi="Times New Roman"/>
          <w:sz w:val="18"/>
          <w:szCs w:val="18"/>
          <w:lang w:val="ru-RU"/>
        </w:rPr>
        <w:t>’</w:t>
      </w:r>
      <w:r w:rsidRPr="00F8728A">
        <w:rPr>
          <w:rFonts w:ascii="Times New Roman" w:hAnsi="Times New Roman"/>
          <w:sz w:val="18"/>
          <w:szCs w:val="18"/>
        </w:rPr>
        <w:t xml:space="preserve">, </w:t>
      </w:r>
      <w:hyperlink r:id="rId34" w:history="1">
        <w:r w:rsidRPr="00F8728A">
          <w:rPr>
            <w:rStyle w:val="Hyperlink"/>
            <w:rFonts w:ascii="Times New Roman" w:hAnsi="Times New Roman"/>
            <w:color w:val="auto"/>
            <w:sz w:val="18"/>
            <w:szCs w:val="18"/>
          </w:rPr>
          <w:t>http://data.europa.eu/eli/dec/2013/1386/oj</w:t>
        </w:r>
      </w:hyperlink>
    </w:p>
  </w:footnote>
  <w:footnote w:id="53">
    <w:p w:rsidR="00FB4561" w:rsidRPr="00B73D7E" w:rsidRDefault="00FB4561" w:rsidP="001E6121">
      <w:pPr>
        <w:spacing w:after="0"/>
        <w:jc w:val="both"/>
        <w:rPr>
          <w:rFonts w:ascii="Times New Roman" w:hAnsi="Times New Roman"/>
          <w:sz w:val="18"/>
          <w:szCs w:val="18"/>
        </w:rPr>
      </w:pPr>
      <w:r w:rsidRPr="00B73D7E">
        <w:rPr>
          <w:rStyle w:val="FootnoteReference"/>
          <w:rFonts w:ascii="Times New Roman" w:hAnsi="Times New Roman"/>
          <w:sz w:val="18"/>
          <w:szCs w:val="18"/>
        </w:rPr>
        <w:footnoteRef/>
      </w:r>
      <w:r w:rsidRPr="00F8728A">
        <w:rPr>
          <w:rFonts w:ascii="Times New Roman" w:hAnsi="Times New Roman"/>
          <w:sz w:val="18"/>
          <w:szCs w:val="18"/>
        </w:rPr>
        <w:t xml:space="preserve"> </w:t>
      </w:r>
      <w:hyperlink r:id="rId35" w:anchor="tab-0-1" w:history="1">
        <w:r w:rsidRPr="00F8728A">
          <w:rPr>
            <w:rStyle w:val="Hyperlink"/>
            <w:rFonts w:ascii="Times New Roman" w:hAnsi="Times New Roman"/>
            <w:color w:val="auto"/>
            <w:sz w:val="18"/>
            <w:szCs w:val="18"/>
            <w:lang w:val="en-CA" w:eastAsia="bg-BG"/>
          </w:rPr>
          <w:t>https</w:t>
        </w:r>
        <w:r w:rsidRPr="00F8728A">
          <w:rPr>
            <w:rStyle w:val="Hyperlink"/>
            <w:rFonts w:ascii="Times New Roman" w:hAnsi="Times New Roman"/>
            <w:color w:val="auto"/>
            <w:sz w:val="18"/>
            <w:szCs w:val="18"/>
            <w:lang w:eastAsia="bg-BG"/>
          </w:rPr>
          <w:t>://</w:t>
        </w:r>
        <w:r w:rsidRPr="00F8728A">
          <w:rPr>
            <w:rStyle w:val="Hyperlink"/>
            <w:rFonts w:ascii="Times New Roman" w:hAnsi="Times New Roman"/>
            <w:color w:val="auto"/>
            <w:sz w:val="18"/>
            <w:szCs w:val="18"/>
            <w:lang w:val="en-CA" w:eastAsia="bg-BG"/>
          </w:rPr>
          <w:t>ec</w:t>
        </w:r>
        <w:r w:rsidRPr="00F8728A">
          <w:rPr>
            <w:rStyle w:val="Hyperlink"/>
            <w:rFonts w:ascii="Times New Roman" w:hAnsi="Times New Roman"/>
            <w:color w:val="auto"/>
            <w:sz w:val="18"/>
            <w:szCs w:val="18"/>
            <w:lang w:eastAsia="bg-BG"/>
          </w:rPr>
          <w:t>.</w:t>
        </w:r>
        <w:r w:rsidRPr="00F8728A">
          <w:rPr>
            <w:rStyle w:val="Hyperlink"/>
            <w:rFonts w:ascii="Times New Roman" w:hAnsi="Times New Roman"/>
            <w:color w:val="auto"/>
            <w:sz w:val="18"/>
            <w:szCs w:val="18"/>
            <w:lang w:val="en-CA" w:eastAsia="bg-BG"/>
          </w:rPr>
          <w:t>europa</w:t>
        </w:r>
        <w:r w:rsidRPr="00F8728A">
          <w:rPr>
            <w:rStyle w:val="Hyperlink"/>
            <w:rFonts w:ascii="Times New Roman" w:hAnsi="Times New Roman"/>
            <w:color w:val="auto"/>
            <w:sz w:val="18"/>
            <w:szCs w:val="18"/>
            <w:lang w:eastAsia="bg-BG"/>
          </w:rPr>
          <w:t>.</w:t>
        </w:r>
        <w:r w:rsidRPr="00F8728A">
          <w:rPr>
            <w:rStyle w:val="Hyperlink"/>
            <w:rFonts w:ascii="Times New Roman" w:hAnsi="Times New Roman"/>
            <w:color w:val="auto"/>
            <w:sz w:val="18"/>
            <w:szCs w:val="18"/>
            <w:lang w:val="en-CA" w:eastAsia="bg-BG"/>
          </w:rPr>
          <w:t>eu</w:t>
        </w:r>
        <w:r w:rsidRPr="00F8728A">
          <w:rPr>
            <w:rStyle w:val="Hyperlink"/>
            <w:rFonts w:ascii="Times New Roman" w:hAnsi="Times New Roman"/>
            <w:color w:val="auto"/>
            <w:sz w:val="18"/>
            <w:szCs w:val="18"/>
            <w:lang w:eastAsia="bg-BG"/>
          </w:rPr>
          <w:t>/</w:t>
        </w:r>
        <w:r w:rsidRPr="00F8728A">
          <w:rPr>
            <w:rStyle w:val="Hyperlink"/>
            <w:rFonts w:ascii="Times New Roman" w:hAnsi="Times New Roman"/>
            <w:color w:val="auto"/>
            <w:sz w:val="18"/>
            <w:szCs w:val="18"/>
            <w:lang w:val="en-CA" w:eastAsia="bg-BG"/>
          </w:rPr>
          <w:t>clima</w:t>
        </w:r>
        <w:r w:rsidRPr="00F8728A">
          <w:rPr>
            <w:rStyle w:val="Hyperlink"/>
            <w:rFonts w:ascii="Times New Roman" w:hAnsi="Times New Roman"/>
            <w:color w:val="auto"/>
            <w:sz w:val="18"/>
            <w:szCs w:val="18"/>
            <w:lang w:eastAsia="bg-BG"/>
          </w:rPr>
          <w:t>/</w:t>
        </w:r>
        <w:r w:rsidRPr="00F8728A">
          <w:rPr>
            <w:rStyle w:val="Hyperlink"/>
            <w:rFonts w:ascii="Times New Roman" w:hAnsi="Times New Roman"/>
            <w:color w:val="auto"/>
            <w:sz w:val="18"/>
            <w:szCs w:val="18"/>
            <w:lang w:val="en-CA" w:eastAsia="bg-BG"/>
          </w:rPr>
          <w:t>policies</w:t>
        </w:r>
        <w:r w:rsidRPr="00F8728A">
          <w:rPr>
            <w:rStyle w:val="Hyperlink"/>
            <w:rFonts w:ascii="Times New Roman" w:hAnsi="Times New Roman"/>
            <w:color w:val="auto"/>
            <w:sz w:val="18"/>
            <w:szCs w:val="18"/>
            <w:lang w:eastAsia="bg-BG"/>
          </w:rPr>
          <w:t>/</w:t>
        </w:r>
        <w:r w:rsidRPr="00F8728A">
          <w:rPr>
            <w:rStyle w:val="Hyperlink"/>
            <w:rFonts w:ascii="Times New Roman" w:hAnsi="Times New Roman"/>
            <w:color w:val="auto"/>
            <w:sz w:val="18"/>
            <w:szCs w:val="18"/>
            <w:lang w:val="en-CA" w:eastAsia="bg-BG"/>
          </w:rPr>
          <w:t>adaptation</w:t>
        </w:r>
        <w:r w:rsidRPr="00F8728A">
          <w:rPr>
            <w:rStyle w:val="Hyperlink"/>
            <w:rFonts w:ascii="Times New Roman" w:hAnsi="Times New Roman"/>
            <w:color w:val="auto"/>
            <w:sz w:val="18"/>
            <w:szCs w:val="18"/>
            <w:lang w:eastAsia="bg-BG"/>
          </w:rPr>
          <w:t>/</w:t>
        </w:r>
        <w:r w:rsidRPr="00F8728A">
          <w:rPr>
            <w:rStyle w:val="Hyperlink"/>
            <w:rFonts w:ascii="Times New Roman" w:hAnsi="Times New Roman"/>
            <w:color w:val="auto"/>
            <w:sz w:val="18"/>
            <w:szCs w:val="18"/>
            <w:lang w:val="en-CA" w:eastAsia="bg-BG"/>
          </w:rPr>
          <w:t>what</w:t>
        </w:r>
        <w:r w:rsidRPr="00F8728A">
          <w:rPr>
            <w:rStyle w:val="Hyperlink"/>
            <w:rFonts w:ascii="Times New Roman" w:hAnsi="Times New Roman"/>
            <w:color w:val="auto"/>
            <w:sz w:val="18"/>
            <w:szCs w:val="18"/>
            <w:lang w:eastAsia="bg-BG"/>
          </w:rPr>
          <w:t>_</w:t>
        </w:r>
        <w:r w:rsidRPr="00F8728A">
          <w:rPr>
            <w:rStyle w:val="Hyperlink"/>
            <w:rFonts w:ascii="Times New Roman" w:hAnsi="Times New Roman"/>
            <w:color w:val="auto"/>
            <w:sz w:val="18"/>
            <w:szCs w:val="18"/>
            <w:lang w:val="en-CA" w:eastAsia="bg-BG"/>
          </w:rPr>
          <w:t>en</w:t>
        </w:r>
        <w:r w:rsidRPr="00F8728A">
          <w:rPr>
            <w:rStyle w:val="Hyperlink"/>
            <w:rFonts w:ascii="Times New Roman" w:hAnsi="Times New Roman"/>
            <w:color w:val="auto"/>
            <w:sz w:val="18"/>
            <w:szCs w:val="18"/>
            <w:lang w:eastAsia="bg-BG"/>
          </w:rPr>
          <w:t>#</w:t>
        </w:r>
        <w:r w:rsidRPr="00F8728A">
          <w:rPr>
            <w:rStyle w:val="Hyperlink"/>
            <w:rFonts w:ascii="Times New Roman" w:hAnsi="Times New Roman"/>
            <w:color w:val="auto"/>
            <w:sz w:val="18"/>
            <w:szCs w:val="18"/>
            <w:lang w:val="en-CA" w:eastAsia="bg-BG"/>
          </w:rPr>
          <w:t>tab</w:t>
        </w:r>
        <w:r w:rsidRPr="00F8728A">
          <w:rPr>
            <w:rStyle w:val="Hyperlink"/>
            <w:rFonts w:ascii="Times New Roman" w:hAnsi="Times New Roman"/>
            <w:color w:val="auto"/>
            <w:sz w:val="18"/>
            <w:szCs w:val="18"/>
            <w:lang w:eastAsia="bg-BG"/>
          </w:rPr>
          <w:t>-0-1</w:t>
        </w:r>
      </w:hyperlink>
    </w:p>
  </w:footnote>
  <w:footnote w:id="54">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hyperlink r:id="rId36" w:history="1">
        <w:r w:rsidRPr="00F8728A">
          <w:rPr>
            <w:rStyle w:val="Hyperlink"/>
            <w:rFonts w:ascii="Times New Roman" w:hAnsi="Times New Roman"/>
            <w:color w:val="auto"/>
            <w:sz w:val="18"/>
            <w:szCs w:val="18"/>
          </w:rPr>
          <w:t>https://www.eea.europa.eu/publications/urban-adaptation-2016</w:t>
        </w:r>
      </w:hyperlink>
    </w:p>
  </w:footnote>
  <w:footnote w:id="55">
    <w:p w:rsidR="00FB4561" w:rsidRPr="00B73D7E" w:rsidRDefault="00FB4561" w:rsidP="00B73D7E">
      <w:pPr>
        <w:pStyle w:val="FootnoteText"/>
        <w:jc w:val="both"/>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 xml:space="preserve">Водещи принципи за устойчиво пространствено развитие на Европейския контитент, приети на </w:t>
      </w:r>
      <w:r w:rsidRPr="00F8728A">
        <w:rPr>
          <w:rFonts w:ascii="Times New Roman" w:hAnsi="Times New Roman"/>
          <w:sz w:val="18"/>
          <w:szCs w:val="18"/>
          <w:lang w:val="ru-RU"/>
        </w:rPr>
        <w:t>12</w:t>
      </w:r>
      <w:r w:rsidRPr="00F8728A">
        <w:rPr>
          <w:rFonts w:ascii="Times New Roman" w:hAnsi="Times New Roman"/>
          <w:sz w:val="18"/>
          <w:szCs w:val="18"/>
        </w:rPr>
        <w:t xml:space="preserve">-та сесия на Конференция на Съвета на Европа на Министритие, отговарящи за Пространственото/Регионално планиране </w:t>
      </w:r>
      <w:r w:rsidRPr="00F8728A">
        <w:rPr>
          <w:rFonts w:ascii="Times New Roman" w:hAnsi="Times New Roman"/>
          <w:sz w:val="18"/>
          <w:szCs w:val="18"/>
          <w:lang w:val="ru-RU"/>
        </w:rPr>
        <w:t>(</w:t>
      </w:r>
      <w:r w:rsidRPr="00F8728A">
        <w:rPr>
          <w:rFonts w:ascii="Times New Roman" w:hAnsi="Times New Roman"/>
          <w:sz w:val="18"/>
          <w:szCs w:val="18"/>
          <w:lang w:val="en-CA"/>
        </w:rPr>
        <w:t>CEMAT</w:t>
      </w:r>
      <w:r w:rsidRPr="00F8728A">
        <w:rPr>
          <w:rFonts w:ascii="Times New Roman" w:hAnsi="Times New Roman"/>
          <w:sz w:val="18"/>
          <w:szCs w:val="18"/>
          <w:lang w:val="ru-RU"/>
        </w:rPr>
        <w:t xml:space="preserve">) </w:t>
      </w:r>
      <w:r w:rsidRPr="00F8728A">
        <w:rPr>
          <w:rFonts w:ascii="Times New Roman" w:hAnsi="Times New Roman"/>
          <w:sz w:val="18"/>
          <w:szCs w:val="18"/>
        </w:rPr>
        <w:t>в Хановер</w:t>
      </w:r>
      <w:r w:rsidRPr="00F8728A">
        <w:rPr>
          <w:rFonts w:ascii="Times New Roman" w:hAnsi="Times New Roman"/>
          <w:sz w:val="18"/>
          <w:szCs w:val="18"/>
          <w:lang w:val="ru-RU"/>
        </w:rPr>
        <w:t xml:space="preserve"> 2000 </w:t>
      </w:r>
      <w:hyperlink r:id="rId37" w:history="1">
        <w:r w:rsidRPr="00F8728A">
          <w:rPr>
            <w:rStyle w:val="Hyperlink"/>
            <w:rFonts w:ascii="Times New Roman" w:hAnsi="Times New Roman"/>
            <w:color w:val="auto"/>
            <w:sz w:val="18"/>
            <w:szCs w:val="18"/>
          </w:rPr>
          <w:t>http://www.coe.int/t/dgap/localdemocracy/cemat/VersionPrincipes/Anglais.pdf</w:t>
        </w:r>
      </w:hyperlink>
    </w:p>
  </w:footnote>
  <w:footnote w:id="56">
    <w:p w:rsidR="00FB4561" w:rsidRPr="00B73D7E" w:rsidRDefault="00FB4561" w:rsidP="00B73D7E">
      <w:pPr>
        <w:pStyle w:val="FootnoteText"/>
        <w:jc w:val="both"/>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Териториален Дневен ред на ЕС ТА 2020 “Към инклузивна, интелигенгна и устойчива Европа на разнообразните региони“, приет на неформалната среща на Министрите, отговарящи за Пространственото/Регионално планиране в Гьодьольо, Унгария</w:t>
      </w:r>
      <w:r w:rsidRPr="00F8728A">
        <w:rPr>
          <w:rFonts w:ascii="Times New Roman" w:hAnsi="Times New Roman"/>
          <w:sz w:val="18"/>
          <w:szCs w:val="18"/>
          <w:lang w:val="ru-RU"/>
        </w:rPr>
        <w:t xml:space="preserve"> (2011). </w:t>
      </w:r>
      <w:hyperlink r:id="rId38" w:history="1">
        <w:r w:rsidRPr="00F8728A">
          <w:rPr>
            <w:rStyle w:val="Hyperlink"/>
            <w:rFonts w:ascii="Times New Roman" w:hAnsi="Times New Roman"/>
            <w:color w:val="auto"/>
            <w:sz w:val="18"/>
            <w:szCs w:val="18"/>
            <w:lang w:val="en-CA"/>
          </w:rPr>
          <w:t>http</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www</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nweurope</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eu</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media</w:t>
        </w:r>
        <w:r w:rsidRPr="00F8728A">
          <w:rPr>
            <w:rStyle w:val="Hyperlink"/>
            <w:rFonts w:ascii="Times New Roman" w:hAnsi="Times New Roman"/>
            <w:color w:val="auto"/>
            <w:sz w:val="18"/>
            <w:szCs w:val="18"/>
          </w:rPr>
          <w:t>/1216/</w:t>
        </w:r>
        <w:r w:rsidRPr="00F8728A">
          <w:rPr>
            <w:rStyle w:val="Hyperlink"/>
            <w:rFonts w:ascii="Times New Roman" w:hAnsi="Times New Roman"/>
            <w:color w:val="auto"/>
            <w:sz w:val="18"/>
            <w:szCs w:val="18"/>
            <w:lang w:val="en-CA"/>
          </w:rPr>
          <w:t>territorial</w:t>
        </w:r>
        <w:r w:rsidRPr="00F8728A">
          <w:rPr>
            <w:rStyle w:val="Hyperlink"/>
            <w:rFonts w:ascii="Times New Roman" w:hAnsi="Times New Roman"/>
            <w:color w:val="auto"/>
            <w:sz w:val="18"/>
            <w:szCs w:val="18"/>
          </w:rPr>
          <w:t>_</w:t>
        </w:r>
        <w:r w:rsidRPr="00F8728A">
          <w:rPr>
            <w:rStyle w:val="Hyperlink"/>
            <w:rFonts w:ascii="Times New Roman" w:hAnsi="Times New Roman"/>
            <w:color w:val="auto"/>
            <w:sz w:val="18"/>
            <w:szCs w:val="18"/>
            <w:lang w:val="en-CA"/>
          </w:rPr>
          <w:t>agenda</w:t>
        </w:r>
        <w:r w:rsidRPr="00F8728A">
          <w:rPr>
            <w:rStyle w:val="Hyperlink"/>
            <w:rFonts w:ascii="Times New Roman" w:hAnsi="Times New Roman"/>
            <w:color w:val="auto"/>
            <w:sz w:val="18"/>
            <w:szCs w:val="18"/>
          </w:rPr>
          <w:t>_2020.</w:t>
        </w:r>
        <w:r w:rsidRPr="00F8728A">
          <w:rPr>
            <w:rStyle w:val="Hyperlink"/>
            <w:rFonts w:ascii="Times New Roman" w:hAnsi="Times New Roman"/>
            <w:color w:val="auto"/>
            <w:sz w:val="18"/>
            <w:szCs w:val="18"/>
            <w:lang w:val="en-CA"/>
          </w:rPr>
          <w:t>pdf</w:t>
        </w:r>
      </w:hyperlink>
    </w:p>
  </w:footnote>
  <w:footnote w:id="57">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hyperlink r:id="rId39" w:history="1">
        <w:r w:rsidRPr="00F8728A">
          <w:rPr>
            <w:rStyle w:val="Hyperlink"/>
            <w:rFonts w:ascii="Times New Roman" w:hAnsi="Times New Roman"/>
            <w:color w:val="auto"/>
            <w:sz w:val="18"/>
            <w:szCs w:val="18"/>
          </w:rPr>
          <w:t>http://climate-adapt.eea.europa.eu/countries-regions/</w:t>
        </w:r>
      </w:hyperlink>
      <w:r w:rsidRPr="00F8728A">
        <w:rPr>
          <w:rFonts w:ascii="Times New Roman" w:hAnsi="Times New Roman"/>
          <w:sz w:val="18"/>
          <w:szCs w:val="18"/>
        </w:rPr>
        <w:t xml:space="preserve"> </w:t>
      </w:r>
    </w:p>
  </w:footnote>
  <w:footnote w:id="58">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 xml:space="preserve">Национална стратегия на Англия за управление на наводненията и  риска от крайбрежна ерозиа </w:t>
      </w:r>
      <w:hyperlink r:id="rId40" w:history="1">
        <w:r w:rsidRPr="00F8728A">
          <w:rPr>
            <w:rStyle w:val="Hyperlink"/>
            <w:rFonts w:ascii="Times New Roman" w:hAnsi="Times New Roman"/>
            <w:color w:val="auto"/>
            <w:sz w:val="18"/>
            <w:szCs w:val="18"/>
            <w:lang w:val="en-CA"/>
          </w:rPr>
          <w:t>https</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www</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gov</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uk</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government</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publications</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national</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flood</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and</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coastal</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erosion</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risk</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management</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strategy</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for</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england</w:t>
        </w:r>
      </w:hyperlink>
    </w:p>
  </w:footnote>
  <w:footnote w:id="59">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Национална рамка за политика на планиране</w:t>
      </w:r>
      <w:r w:rsidRPr="00F8728A">
        <w:rPr>
          <w:rFonts w:ascii="Times New Roman" w:hAnsi="Times New Roman"/>
          <w:sz w:val="18"/>
          <w:szCs w:val="18"/>
          <w:lang w:val="ru-RU"/>
        </w:rPr>
        <w:t xml:space="preserve"> </w:t>
      </w:r>
      <w:hyperlink r:id="rId41" w:history="1">
        <w:r w:rsidRPr="00F8728A">
          <w:rPr>
            <w:rStyle w:val="Hyperlink"/>
            <w:rFonts w:ascii="Times New Roman" w:hAnsi="Times New Roman"/>
            <w:color w:val="auto"/>
            <w:sz w:val="18"/>
            <w:szCs w:val="18"/>
            <w:lang w:val="en-CA"/>
          </w:rPr>
          <w:t>https</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www</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gov</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uk</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government</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publications</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national</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planning</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policy</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framework</w:t>
        </w:r>
        <w:r w:rsidRPr="00F8728A">
          <w:rPr>
            <w:rStyle w:val="Hyperlink"/>
            <w:rFonts w:ascii="Times New Roman" w:hAnsi="Times New Roman"/>
            <w:color w:val="auto"/>
            <w:sz w:val="18"/>
            <w:szCs w:val="18"/>
            <w:lang w:val="ru-RU"/>
          </w:rPr>
          <w:t>--2</w:t>
        </w:r>
      </w:hyperlink>
    </w:p>
  </w:footnote>
  <w:footnote w:id="60">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Виж</w:t>
      </w:r>
      <w:r w:rsidRPr="00F8728A">
        <w:rPr>
          <w:rFonts w:ascii="Times New Roman" w:hAnsi="Times New Roman"/>
          <w:sz w:val="18"/>
          <w:szCs w:val="18"/>
          <w:lang w:val="ru-RU"/>
        </w:rPr>
        <w:t xml:space="preserve"> </w:t>
      </w:r>
      <w:hyperlink r:id="rId42" w:history="1">
        <w:r w:rsidRPr="00F8728A">
          <w:rPr>
            <w:rStyle w:val="Hyperlink"/>
            <w:rFonts w:ascii="Times New Roman" w:hAnsi="Times New Roman"/>
            <w:color w:val="auto"/>
            <w:sz w:val="18"/>
            <w:szCs w:val="18"/>
            <w:lang w:val="en-CA"/>
          </w:rPr>
          <w:t>http</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www</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local</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gov</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uk</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topics</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environment</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and</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waste</w:t>
        </w:r>
      </w:hyperlink>
    </w:p>
  </w:footnote>
  <w:footnote w:id="61">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lang w:val="en-CA"/>
        </w:rPr>
        <w:t>GI</w:t>
      </w:r>
      <w:r w:rsidRPr="00F8728A">
        <w:rPr>
          <w:rFonts w:ascii="Times New Roman" w:hAnsi="Times New Roman"/>
          <w:sz w:val="18"/>
          <w:szCs w:val="18"/>
        </w:rPr>
        <w:t xml:space="preserve">Р е стартиран от </w:t>
      </w:r>
      <w:r w:rsidRPr="00F8728A">
        <w:rPr>
          <w:rFonts w:ascii="Times New Roman" w:hAnsi="Times New Roman"/>
          <w:sz w:val="18"/>
          <w:szCs w:val="18"/>
          <w:lang w:val="en-CA"/>
        </w:rPr>
        <w:t>DEFRA</w:t>
      </w:r>
      <w:r w:rsidRPr="00F8728A">
        <w:rPr>
          <w:rFonts w:ascii="Times New Roman" w:hAnsi="Times New Roman"/>
          <w:sz w:val="18"/>
          <w:szCs w:val="18"/>
        </w:rPr>
        <w:t xml:space="preserve"> през</w:t>
      </w:r>
      <w:r w:rsidRPr="00F8728A">
        <w:rPr>
          <w:rFonts w:ascii="Times New Roman" w:hAnsi="Times New Roman"/>
          <w:sz w:val="18"/>
          <w:szCs w:val="18"/>
          <w:lang w:val="ru-RU"/>
        </w:rPr>
        <w:t xml:space="preserve"> 2011, </w:t>
      </w:r>
      <w:r w:rsidRPr="00F8728A">
        <w:rPr>
          <w:rFonts w:ascii="Times New Roman" w:hAnsi="Times New Roman"/>
          <w:sz w:val="18"/>
          <w:szCs w:val="18"/>
        </w:rPr>
        <w:t xml:space="preserve">след </w:t>
      </w:r>
      <w:r w:rsidRPr="00F8728A">
        <w:rPr>
          <w:rFonts w:ascii="Times New Roman" w:hAnsi="Times New Roman"/>
          <w:sz w:val="18"/>
          <w:szCs w:val="18"/>
          <w:lang w:val="ru-RU"/>
        </w:rPr>
        <w:t xml:space="preserve">2014 </w:t>
      </w:r>
      <w:r w:rsidRPr="00F8728A">
        <w:rPr>
          <w:rFonts w:ascii="Times New Roman" w:hAnsi="Times New Roman"/>
          <w:sz w:val="18"/>
          <w:szCs w:val="18"/>
        </w:rPr>
        <w:t>се управлява от Асоциацията за планиране на градовете и крайградските територии</w:t>
      </w:r>
      <w:r w:rsidRPr="00F8728A">
        <w:rPr>
          <w:rFonts w:ascii="Times New Roman" w:hAnsi="Times New Roman"/>
          <w:sz w:val="18"/>
          <w:szCs w:val="18"/>
          <w:lang w:val="ru-RU"/>
        </w:rPr>
        <w:t xml:space="preserve"> (</w:t>
      </w:r>
      <w:r w:rsidRPr="00F8728A">
        <w:rPr>
          <w:rFonts w:ascii="Times New Roman" w:hAnsi="Times New Roman"/>
          <w:sz w:val="18"/>
          <w:szCs w:val="18"/>
          <w:lang w:val="en-CA"/>
        </w:rPr>
        <w:t>TCPA</w:t>
      </w:r>
      <w:r w:rsidRPr="00F8728A">
        <w:rPr>
          <w:rFonts w:ascii="Times New Roman" w:hAnsi="Times New Roman"/>
          <w:sz w:val="18"/>
          <w:szCs w:val="18"/>
          <w:lang w:val="ru-RU"/>
        </w:rPr>
        <w:t xml:space="preserve">), </w:t>
      </w:r>
      <w:r w:rsidRPr="00F8728A">
        <w:rPr>
          <w:rFonts w:ascii="Times New Roman" w:hAnsi="Times New Roman"/>
          <w:sz w:val="18"/>
          <w:szCs w:val="18"/>
        </w:rPr>
        <w:t xml:space="preserve">учредена от сър Ебенизър Хауард през </w:t>
      </w:r>
      <w:r w:rsidRPr="00F8728A">
        <w:rPr>
          <w:rFonts w:ascii="Times New Roman" w:hAnsi="Times New Roman"/>
          <w:sz w:val="18"/>
          <w:szCs w:val="18"/>
          <w:lang w:val="ru-RU"/>
        </w:rPr>
        <w:t>1899</w:t>
      </w:r>
      <w:r w:rsidRPr="00F8728A">
        <w:rPr>
          <w:rFonts w:ascii="Times New Roman" w:hAnsi="Times New Roman"/>
          <w:sz w:val="18"/>
          <w:szCs w:val="18"/>
        </w:rPr>
        <w:t xml:space="preserve">. </w:t>
      </w:r>
      <w:hyperlink r:id="rId43" w:history="1">
        <w:r w:rsidRPr="00F8728A">
          <w:rPr>
            <w:rStyle w:val="Hyperlink"/>
            <w:rFonts w:ascii="Times New Roman" w:hAnsi="Times New Roman"/>
            <w:color w:val="auto"/>
            <w:sz w:val="18"/>
            <w:szCs w:val="18"/>
            <w:lang w:val="en-CA"/>
          </w:rPr>
          <w:t>https</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www</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tcpa</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org</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uk</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pages</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category</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green</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infrastructure</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partnership</w:t>
        </w:r>
      </w:hyperlink>
    </w:p>
  </w:footnote>
  <w:footnote w:id="62">
    <w:p w:rsidR="00FB4561" w:rsidRPr="00B73D7E" w:rsidRDefault="00FB4561" w:rsidP="00806E97">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hyperlink r:id="rId44" w:history="1">
        <w:r w:rsidRPr="00F8728A">
          <w:rPr>
            <w:rStyle w:val="Hyperlink"/>
            <w:rFonts w:ascii="Times New Roman" w:hAnsi="Times New Roman"/>
            <w:color w:val="auto"/>
            <w:sz w:val="18"/>
            <w:szCs w:val="18"/>
          </w:rPr>
          <w:t>http://media.nationalarchives.gov.uk/index.php/climate-change-tomorrows-climate-todays-challenge/</w:t>
        </w:r>
      </w:hyperlink>
      <w:r w:rsidRPr="00F8728A">
        <w:rPr>
          <w:rFonts w:ascii="Times New Roman" w:hAnsi="Times New Roman"/>
          <w:sz w:val="18"/>
          <w:szCs w:val="18"/>
        </w:rPr>
        <w:t xml:space="preserve"> </w:t>
      </w:r>
    </w:p>
  </w:footnote>
  <w:footnote w:id="63">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hyperlink r:id="rId45" w:history="1">
        <w:r w:rsidRPr="00F8728A">
          <w:rPr>
            <w:rStyle w:val="Hyperlink"/>
            <w:rFonts w:ascii="Times New Roman" w:hAnsi="Times New Roman"/>
            <w:color w:val="auto"/>
            <w:sz w:val="18"/>
            <w:szCs w:val="18"/>
            <w:lang w:val="en-CA"/>
          </w:rPr>
          <w:t>https</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www</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icpdr</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org</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main</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activities</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projects</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climate</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change</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adaptation</w:t>
        </w:r>
      </w:hyperlink>
    </w:p>
  </w:footnote>
  <w:footnote w:id="64">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r w:rsidRPr="00F8728A">
        <w:rPr>
          <w:rFonts w:ascii="Times New Roman" w:hAnsi="Times New Roman"/>
          <w:sz w:val="18"/>
          <w:szCs w:val="18"/>
          <w:lang w:val="en-CA"/>
        </w:rPr>
        <w:t xml:space="preserve">ICPDR Strategy on the Adaptation to Climate Change. 2012 </w:t>
      </w:r>
      <w:hyperlink r:id="rId46" w:history="1">
        <w:r w:rsidRPr="00F8728A">
          <w:rPr>
            <w:rStyle w:val="Hyperlink"/>
            <w:rFonts w:ascii="Times New Roman" w:hAnsi="Times New Roman"/>
            <w:color w:val="auto"/>
            <w:sz w:val="18"/>
            <w:szCs w:val="18"/>
            <w:lang w:val="en-CA"/>
          </w:rPr>
          <w:t>https://www.icpdr.org/main/sites/default/files/nodes/documents/icpdr_climate-adaptation-strategy.pdf</w:t>
        </w:r>
      </w:hyperlink>
    </w:p>
  </w:footnote>
  <w:footnote w:id="65">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Агенция за околната среда на Австрия</w:t>
      </w:r>
      <w:r w:rsidRPr="00F8728A">
        <w:rPr>
          <w:rFonts w:ascii="Times New Roman" w:hAnsi="Times New Roman"/>
          <w:sz w:val="18"/>
          <w:szCs w:val="18"/>
          <w:lang w:val="ru-RU"/>
        </w:rPr>
        <w:t xml:space="preserve"> </w:t>
      </w:r>
      <w:hyperlink r:id="rId47" w:history="1">
        <w:r w:rsidRPr="00F8728A">
          <w:rPr>
            <w:rStyle w:val="Hyperlink"/>
            <w:rFonts w:ascii="Times New Roman" w:hAnsi="Times New Roman"/>
            <w:color w:val="auto"/>
            <w:sz w:val="18"/>
            <w:szCs w:val="18"/>
            <w:lang w:val="en-CA"/>
          </w:rPr>
          <w:t>http</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www</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umweltbundesamt</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at</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en</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services</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services</w:t>
        </w:r>
        <w:r w:rsidRPr="00F8728A">
          <w:rPr>
            <w:rStyle w:val="Hyperlink"/>
            <w:rFonts w:ascii="Times New Roman" w:hAnsi="Times New Roman"/>
            <w:color w:val="auto"/>
            <w:sz w:val="18"/>
            <w:szCs w:val="18"/>
            <w:lang w:val="ru-RU"/>
          </w:rPr>
          <w:t>_</w:t>
        </w:r>
        <w:r w:rsidRPr="00F8728A">
          <w:rPr>
            <w:rStyle w:val="Hyperlink"/>
            <w:rFonts w:ascii="Times New Roman" w:hAnsi="Times New Roman"/>
            <w:color w:val="auto"/>
            <w:sz w:val="18"/>
            <w:szCs w:val="18"/>
            <w:lang w:val="en-CA"/>
          </w:rPr>
          <w:t>climate</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services</w:t>
        </w:r>
        <w:r w:rsidRPr="00F8728A">
          <w:rPr>
            <w:rStyle w:val="Hyperlink"/>
            <w:rFonts w:ascii="Times New Roman" w:hAnsi="Times New Roman"/>
            <w:color w:val="auto"/>
            <w:sz w:val="18"/>
            <w:szCs w:val="18"/>
            <w:lang w:val="ru-RU"/>
          </w:rPr>
          <w:t>_</w:t>
        </w:r>
        <w:r w:rsidRPr="00F8728A">
          <w:rPr>
            <w:rStyle w:val="Hyperlink"/>
            <w:rFonts w:ascii="Times New Roman" w:hAnsi="Times New Roman"/>
            <w:color w:val="auto"/>
            <w:sz w:val="18"/>
            <w:szCs w:val="18"/>
            <w:lang w:val="en-CA"/>
          </w:rPr>
          <w:t>climate</w:t>
        </w:r>
        <w:r w:rsidRPr="00F8728A">
          <w:rPr>
            <w:rStyle w:val="Hyperlink"/>
            <w:rFonts w:ascii="Times New Roman" w:hAnsi="Times New Roman"/>
            <w:color w:val="auto"/>
            <w:sz w:val="18"/>
            <w:szCs w:val="18"/>
            <w:lang w:val="ru-RU"/>
          </w:rPr>
          <w:t>_</w:t>
        </w:r>
        <w:r w:rsidRPr="00F8728A">
          <w:rPr>
            <w:rStyle w:val="Hyperlink"/>
            <w:rFonts w:ascii="Times New Roman" w:hAnsi="Times New Roman"/>
            <w:color w:val="auto"/>
            <w:sz w:val="18"/>
            <w:szCs w:val="18"/>
            <w:lang w:val="en-CA"/>
          </w:rPr>
          <w:t>references</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climateregulatory</w:t>
        </w:r>
        <w:r w:rsidRPr="00F8728A">
          <w:rPr>
            <w:rStyle w:val="Hyperlink"/>
            <w:rFonts w:ascii="Times New Roman" w:hAnsi="Times New Roman"/>
            <w:color w:val="auto"/>
            <w:sz w:val="18"/>
            <w:szCs w:val="18"/>
            <w:lang w:val="ru-RU"/>
          </w:rPr>
          <w:t>/</w:t>
        </w:r>
      </w:hyperlink>
    </w:p>
  </w:footnote>
  <w:footnote w:id="66">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ÖROK</w:t>
      </w:r>
      <w:r w:rsidRPr="00F8728A">
        <w:rPr>
          <w:rFonts w:ascii="Times New Roman" w:hAnsi="Times New Roman"/>
          <w:sz w:val="18"/>
          <w:szCs w:val="18"/>
          <w:lang w:val="ru-RU"/>
        </w:rPr>
        <w:t xml:space="preserve"> </w:t>
      </w:r>
      <w:r w:rsidRPr="00F8728A">
        <w:rPr>
          <w:rFonts w:ascii="Times New Roman" w:hAnsi="Times New Roman"/>
          <w:sz w:val="18"/>
          <w:szCs w:val="18"/>
        </w:rPr>
        <w:t xml:space="preserve">е учредена през </w:t>
      </w:r>
      <w:r w:rsidRPr="00F8728A">
        <w:rPr>
          <w:rFonts w:ascii="Times New Roman" w:hAnsi="Times New Roman"/>
          <w:sz w:val="18"/>
          <w:szCs w:val="18"/>
          <w:lang w:val="ru-RU"/>
        </w:rPr>
        <w:t>1971</w:t>
      </w:r>
      <w:r w:rsidRPr="00F8728A">
        <w:rPr>
          <w:rFonts w:ascii="Times New Roman" w:hAnsi="Times New Roman"/>
          <w:sz w:val="18"/>
          <w:szCs w:val="18"/>
        </w:rPr>
        <w:t xml:space="preserve"> от Федералното правителство</w:t>
      </w:r>
      <w:r w:rsidRPr="00F8728A">
        <w:rPr>
          <w:rFonts w:ascii="Times New Roman" w:hAnsi="Times New Roman"/>
          <w:sz w:val="18"/>
          <w:szCs w:val="18"/>
          <w:lang w:val="ru-RU"/>
        </w:rPr>
        <w:t xml:space="preserve">, </w:t>
      </w:r>
      <w:r w:rsidRPr="00F8728A">
        <w:rPr>
          <w:rFonts w:ascii="Times New Roman" w:hAnsi="Times New Roman"/>
          <w:sz w:val="18"/>
          <w:szCs w:val="18"/>
          <w:lang w:val="en-CA"/>
        </w:rPr>
        <w:t>L</w:t>
      </w:r>
      <w:r w:rsidRPr="00F8728A">
        <w:rPr>
          <w:rFonts w:ascii="Times New Roman" w:hAnsi="Times New Roman"/>
          <w:sz w:val="18"/>
          <w:szCs w:val="18"/>
          <w:lang w:val="ru-RU"/>
        </w:rPr>
        <w:t>ä</w:t>
      </w:r>
      <w:r w:rsidRPr="00F8728A">
        <w:rPr>
          <w:rFonts w:ascii="Times New Roman" w:hAnsi="Times New Roman"/>
          <w:sz w:val="18"/>
          <w:szCs w:val="18"/>
          <w:lang w:val="en-CA"/>
        </w:rPr>
        <w:t>nder</w:t>
      </w:r>
      <w:r w:rsidRPr="00F8728A">
        <w:rPr>
          <w:rFonts w:ascii="Times New Roman" w:hAnsi="Times New Roman"/>
          <w:sz w:val="18"/>
          <w:szCs w:val="18"/>
        </w:rPr>
        <w:t xml:space="preserve"> и общините за координиране устройството на територията на национално равнище, Отговаря за разработването и прилагането на Концепцията за пространствено развитие на Австрия, приета през </w:t>
      </w:r>
      <w:r w:rsidRPr="00F8728A">
        <w:rPr>
          <w:rFonts w:ascii="Times New Roman" w:hAnsi="Times New Roman"/>
          <w:sz w:val="18"/>
          <w:szCs w:val="18"/>
          <w:lang w:val="ru-RU"/>
        </w:rPr>
        <w:t xml:space="preserve">2011  </w:t>
      </w:r>
      <w:hyperlink r:id="rId48" w:history="1">
        <w:r w:rsidRPr="00F8728A">
          <w:rPr>
            <w:rStyle w:val="Hyperlink"/>
            <w:rFonts w:ascii="Times New Roman" w:hAnsi="Times New Roman"/>
            <w:color w:val="auto"/>
            <w:sz w:val="18"/>
            <w:szCs w:val="18"/>
            <w:lang w:val="en-CA"/>
          </w:rPr>
          <w:t>http</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www</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oerok</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gv</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at</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english</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summary</w:t>
        </w:r>
        <w:r w:rsidRPr="00F8728A">
          <w:rPr>
            <w:rStyle w:val="Hyperlink"/>
            <w:rFonts w:ascii="Times New Roman" w:hAnsi="Times New Roman"/>
            <w:color w:val="auto"/>
            <w:sz w:val="18"/>
            <w:szCs w:val="18"/>
            <w:lang w:val="ru-RU"/>
          </w:rPr>
          <w:t>/</w:t>
        </w:r>
      </w:hyperlink>
      <w:r w:rsidRPr="00F8728A">
        <w:rPr>
          <w:rFonts w:ascii="Times New Roman" w:hAnsi="Times New Roman"/>
          <w:sz w:val="18"/>
          <w:szCs w:val="18"/>
          <w:lang w:val="ru-RU"/>
        </w:rPr>
        <w:t xml:space="preserve"> </w:t>
      </w:r>
    </w:p>
  </w:footnote>
  <w:footnote w:id="67">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Новият двевен ред за градовете, Хабитат </w:t>
      </w:r>
      <w:r w:rsidRPr="00F8728A">
        <w:rPr>
          <w:rFonts w:ascii="Times New Roman" w:hAnsi="Times New Roman"/>
          <w:sz w:val="18"/>
          <w:szCs w:val="18"/>
          <w:lang w:val="en-US"/>
        </w:rPr>
        <w:t>III</w:t>
      </w:r>
      <w:r w:rsidRPr="00F8728A">
        <w:rPr>
          <w:rFonts w:ascii="Times New Roman" w:hAnsi="Times New Roman"/>
          <w:sz w:val="18"/>
          <w:szCs w:val="18"/>
        </w:rPr>
        <w:t xml:space="preserve">, приет от Форума на ООН Хабитат </w:t>
      </w:r>
      <w:r w:rsidRPr="00F8728A">
        <w:rPr>
          <w:rFonts w:ascii="Times New Roman" w:hAnsi="Times New Roman"/>
          <w:sz w:val="18"/>
          <w:szCs w:val="18"/>
          <w:lang w:val="en-US"/>
        </w:rPr>
        <w:t>III</w:t>
      </w:r>
      <w:r w:rsidRPr="00F8728A">
        <w:rPr>
          <w:rFonts w:ascii="Times New Roman" w:hAnsi="Times New Roman"/>
          <w:sz w:val="18"/>
          <w:szCs w:val="18"/>
        </w:rPr>
        <w:t xml:space="preserve">, Киото 2016 </w:t>
      </w:r>
    </w:p>
  </w:footnote>
  <w:footnote w:id="68">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Европейски дневен ред на градовете  </w:t>
      </w:r>
      <w:hyperlink r:id="rId49" w:history="1">
        <w:r w:rsidRPr="00F8728A">
          <w:rPr>
            <w:rStyle w:val="Hyperlink"/>
            <w:rFonts w:ascii="Times New Roman" w:hAnsi="Times New Roman"/>
            <w:color w:val="auto"/>
            <w:sz w:val="18"/>
            <w:szCs w:val="18"/>
          </w:rPr>
          <w:t>https://ec.europa.eu/futurium/en/urban-agenda</w:t>
        </w:r>
      </w:hyperlink>
    </w:p>
  </w:footnote>
  <w:footnote w:id="69">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Европейска харта на градовете: Харта без статут на конвенция</w:t>
      </w:r>
      <w:r w:rsidRPr="00F8728A">
        <w:rPr>
          <w:rFonts w:ascii="Times New Roman" w:hAnsi="Times New Roman"/>
          <w:sz w:val="18"/>
          <w:szCs w:val="18"/>
          <w:lang w:val="ru-RU"/>
        </w:rPr>
        <w:t>, 1992 (</w:t>
      </w:r>
      <w:r w:rsidRPr="00F8728A">
        <w:rPr>
          <w:rFonts w:ascii="Times New Roman" w:hAnsi="Times New Roman"/>
          <w:sz w:val="18"/>
          <w:szCs w:val="18"/>
        </w:rPr>
        <w:t xml:space="preserve">ревизирана </w:t>
      </w:r>
      <w:r w:rsidRPr="00F8728A">
        <w:rPr>
          <w:rFonts w:ascii="Times New Roman" w:hAnsi="Times New Roman"/>
          <w:sz w:val="18"/>
          <w:szCs w:val="18"/>
          <w:lang w:val="ru-RU"/>
        </w:rPr>
        <w:t xml:space="preserve">1996) </w:t>
      </w:r>
      <w:hyperlink r:id="rId50" w:history="1">
        <w:r w:rsidRPr="00F8728A">
          <w:rPr>
            <w:rStyle w:val="Hyperlink"/>
            <w:rFonts w:ascii="Times New Roman" w:hAnsi="Times New Roman"/>
            <w:color w:val="auto"/>
            <w:sz w:val="18"/>
            <w:szCs w:val="18"/>
            <w:lang w:val="en-CA"/>
          </w:rPr>
          <w:t>https</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wcd</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coe</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int</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ViewDoc</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jsp</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p</w:t>
        </w:r>
        <w:r w:rsidRPr="00F8728A">
          <w:rPr>
            <w:rStyle w:val="Hyperlink"/>
            <w:rFonts w:ascii="Times New Roman" w:hAnsi="Times New Roman"/>
            <w:color w:val="auto"/>
            <w:sz w:val="18"/>
            <w:szCs w:val="18"/>
            <w:lang w:val="ru-RU"/>
          </w:rPr>
          <w:t>=&amp;</w:t>
        </w:r>
        <w:r w:rsidRPr="00F8728A">
          <w:rPr>
            <w:rStyle w:val="Hyperlink"/>
            <w:rFonts w:ascii="Times New Roman" w:hAnsi="Times New Roman"/>
            <w:color w:val="auto"/>
            <w:sz w:val="18"/>
            <w:szCs w:val="18"/>
            <w:lang w:val="en-CA"/>
          </w:rPr>
          <w:t>id</w:t>
        </w:r>
        <w:r w:rsidRPr="00F8728A">
          <w:rPr>
            <w:rStyle w:val="Hyperlink"/>
            <w:rFonts w:ascii="Times New Roman" w:hAnsi="Times New Roman"/>
            <w:color w:val="auto"/>
            <w:sz w:val="18"/>
            <w:szCs w:val="18"/>
            <w:lang w:val="ru-RU"/>
          </w:rPr>
          <w:t>=887405&amp;</w:t>
        </w:r>
        <w:r w:rsidRPr="00F8728A">
          <w:rPr>
            <w:rStyle w:val="Hyperlink"/>
            <w:rFonts w:ascii="Times New Roman" w:hAnsi="Times New Roman"/>
            <w:color w:val="auto"/>
            <w:sz w:val="18"/>
            <w:szCs w:val="18"/>
            <w:lang w:val="en-CA"/>
          </w:rPr>
          <w:t>direct</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true</w:t>
        </w:r>
      </w:hyperlink>
    </w:p>
  </w:footnote>
  <w:footnote w:id="70">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Европейска харта на градовете</w:t>
      </w:r>
      <w:r w:rsidRPr="00F8728A">
        <w:rPr>
          <w:rFonts w:ascii="Times New Roman" w:hAnsi="Times New Roman"/>
          <w:sz w:val="18"/>
          <w:szCs w:val="18"/>
          <w:lang w:val="ru-RU"/>
        </w:rPr>
        <w:t>.</w:t>
      </w:r>
      <w:r w:rsidRPr="00F8728A">
        <w:rPr>
          <w:rFonts w:ascii="Times New Roman" w:hAnsi="Times New Roman"/>
          <w:sz w:val="18"/>
          <w:szCs w:val="18"/>
        </w:rPr>
        <w:t xml:space="preserve"> Манифест за нова градска среда</w:t>
      </w:r>
      <w:r w:rsidRPr="00F8728A">
        <w:rPr>
          <w:rFonts w:ascii="Times New Roman" w:hAnsi="Times New Roman"/>
          <w:sz w:val="18"/>
          <w:szCs w:val="18"/>
          <w:lang w:val="ru-RU"/>
        </w:rPr>
        <w:t xml:space="preserve">, 2008 </w:t>
      </w:r>
      <w:hyperlink r:id="rId51" w:history="1">
        <w:r w:rsidRPr="00F8728A">
          <w:rPr>
            <w:rStyle w:val="Hyperlink"/>
            <w:rFonts w:ascii="Times New Roman" w:hAnsi="Times New Roman"/>
            <w:color w:val="auto"/>
            <w:sz w:val="18"/>
            <w:szCs w:val="18"/>
            <w:lang w:val="en-CA"/>
          </w:rPr>
          <w:t>https</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wcd</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coe</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int</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ViewDoc</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jsp</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p</w:t>
        </w:r>
        <w:r w:rsidRPr="00F8728A">
          <w:rPr>
            <w:rStyle w:val="Hyperlink"/>
            <w:rFonts w:ascii="Times New Roman" w:hAnsi="Times New Roman"/>
            <w:color w:val="auto"/>
            <w:sz w:val="18"/>
            <w:szCs w:val="18"/>
            <w:lang w:val="ru-RU"/>
          </w:rPr>
          <w:t>=&amp;</w:t>
        </w:r>
        <w:r w:rsidRPr="00F8728A">
          <w:rPr>
            <w:rStyle w:val="Hyperlink"/>
            <w:rFonts w:ascii="Times New Roman" w:hAnsi="Times New Roman"/>
            <w:color w:val="auto"/>
            <w:sz w:val="18"/>
            <w:szCs w:val="18"/>
            <w:lang w:val="en-CA"/>
          </w:rPr>
          <w:t>id</w:t>
        </w:r>
        <w:r w:rsidRPr="00F8728A">
          <w:rPr>
            <w:rStyle w:val="Hyperlink"/>
            <w:rFonts w:ascii="Times New Roman" w:hAnsi="Times New Roman"/>
            <w:color w:val="auto"/>
            <w:sz w:val="18"/>
            <w:szCs w:val="18"/>
            <w:lang w:val="ru-RU"/>
          </w:rPr>
          <w:t>=1302971&amp;</w:t>
        </w:r>
        <w:r w:rsidRPr="00F8728A">
          <w:rPr>
            <w:rStyle w:val="Hyperlink"/>
            <w:rFonts w:ascii="Times New Roman" w:hAnsi="Times New Roman"/>
            <w:color w:val="auto"/>
            <w:sz w:val="18"/>
            <w:szCs w:val="18"/>
            <w:lang w:val="en-CA"/>
          </w:rPr>
          <w:t>direct</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true</w:t>
        </w:r>
      </w:hyperlink>
    </w:p>
  </w:footnote>
  <w:footnote w:id="71">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 xml:space="preserve">Неформална министерска среща в Толедо за Декларацията за развитие на градовете </w:t>
      </w:r>
      <w:r w:rsidRPr="00F8728A">
        <w:rPr>
          <w:rFonts w:ascii="Times New Roman" w:hAnsi="Times New Roman"/>
          <w:sz w:val="18"/>
          <w:szCs w:val="18"/>
          <w:lang w:val="ru-RU"/>
        </w:rPr>
        <w:t>2010.</w:t>
      </w:r>
      <w:hyperlink r:id="rId52" w:history="1">
        <w:r w:rsidRPr="00F8728A">
          <w:rPr>
            <w:rStyle w:val="Hyperlink"/>
            <w:rFonts w:ascii="Times New Roman" w:hAnsi="Times New Roman"/>
            <w:color w:val="auto"/>
            <w:sz w:val="18"/>
            <w:szCs w:val="18"/>
            <w:lang w:val="en-CA"/>
          </w:rPr>
          <w:t>http</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urban</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intergroup</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eu</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wp</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content</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files</w:t>
        </w:r>
        <w:r w:rsidRPr="00F8728A">
          <w:rPr>
            <w:rStyle w:val="Hyperlink"/>
            <w:rFonts w:ascii="Times New Roman" w:hAnsi="Times New Roman"/>
            <w:color w:val="auto"/>
            <w:sz w:val="18"/>
            <w:szCs w:val="18"/>
          </w:rPr>
          <w:t>_</w:t>
        </w:r>
        <w:r w:rsidRPr="00F8728A">
          <w:rPr>
            <w:rStyle w:val="Hyperlink"/>
            <w:rFonts w:ascii="Times New Roman" w:hAnsi="Times New Roman"/>
            <w:color w:val="auto"/>
            <w:sz w:val="18"/>
            <w:szCs w:val="18"/>
            <w:lang w:val="en-CA"/>
          </w:rPr>
          <w:t>mf</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es</w:t>
        </w:r>
        <w:r w:rsidRPr="00F8728A">
          <w:rPr>
            <w:rStyle w:val="Hyperlink"/>
            <w:rFonts w:ascii="Times New Roman" w:hAnsi="Times New Roman"/>
            <w:color w:val="auto"/>
            <w:sz w:val="18"/>
            <w:szCs w:val="18"/>
          </w:rPr>
          <w:t>2010</w:t>
        </w:r>
        <w:r w:rsidRPr="00F8728A">
          <w:rPr>
            <w:rStyle w:val="Hyperlink"/>
            <w:rFonts w:ascii="Times New Roman" w:hAnsi="Times New Roman"/>
            <w:color w:val="auto"/>
            <w:sz w:val="18"/>
            <w:szCs w:val="18"/>
            <w:lang w:val="en-CA"/>
          </w:rPr>
          <w:t>itoledodeclaration</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pdf</w:t>
        </w:r>
      </w:hyperlink>
    </w:p>
  </w:footnote>
  <w:footnote w:id="72">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Адаптиране към климатичните промени</w:t>
      </w:r>
      <w:r w:rsidRPr="00F8728A">
        <w:rPr>
          <w:rFonts w:ascii="Times New Roman" w:hAnsi="Times New Roman"/>
          <w:sz w:val="18"/>
          <w:szCs w:val="18"/>
          <w:lang w:val="ru-RU"/>
        </w:rPr>
        <w:t xml:space="preserve">, </w:t>
      </w:r>
      <w:r w:rsidRPr="00F8728A">
        <w:rPr>
          <w:rFonts w:ascii="Times New Roman" w:hAnsi="Times New Roman"/>
          <w:sz w:val="18"/>
          <w:szCs w:val="18"/>
        </w:rPr>
        <w:t>превенция на риска и управление</w:t>
      </w:r>
      <w:r w:rsidRPr="00F8728A">
        <w:rPr>
          <w:rFonts w:ascii="Times New Roman" w:hAnsi="Times New Roman"/>
          <w:sz w:val="18"/>
          <w:szCs w:val="18"/>
          <w:lang w:val="ru-RU"/>
        </w:rPr>
        <w:t xml:space="preserve">. </w:t>
      </w:r>
      <w:r w:rsidRPr="00F8728A">
        <w:rPr>
          <w:rFonts w:ascii="Times New Roman" w:hAnsi="Times New Roman"/>
          <w:sz w:val="18"/>
          <w:szCs w:val="18"/>
        </w:rPr>
        <w:t>Проект на тематични насоки за служителите</w:t>
      </w:r>
      <w:r w:rsidRPr="00F8728A">
        <w:rPr>
          <w:rFonts w:ascii="Times New Roman" w:hAnsi="Times New Roman"/>
          <w:sz w:val="18"/>
          <w:szCs w:val="18"/>
          <w:lang w:val="ru-RU"/>
        </w:rPr>
        <w:t xml:space="preserve">, </w:t>
      </w:r>
      <w:r w:rsidRPr="00F8728A">
        <w:rPr>
          <w:rFonts w:ascii="Times New Roman" w:hAnsi="Times New Roman"/>
          <w:sz w:val="18"/>
          <w:szCs w:val="18"/>
        </w:rPr>
        <w:t xml:space="preserve">Версия </w:t>
      </w:r>
      <w:r w:rsidRPr="00F8728A">
        <w:rPr>
          <w:rFonts w:ascii="Times New Roman" w:hAnsi="Times New Roman"/>
          <w:sz w:val="18"/>
          <w:szCs w:val="18"/>
          <w:lang w:val="ru-RU"/>
        </w:rPr>
        <w:t xml:space="preserve">2.0, 20/02/2014. </w:t>
      </w:r>
      <w:r w:rsidRPr="00F8728A">
        <w:rPr>
          <w:rFonts w:ascii="Times New Roman" w:hAnsi="Times New Roman"/>
          <w:sz w:val="18"/>
          <w:szCs w:val="18"/>
        </w:rPr>
        <w:t>Съответни приложения в законодателството</w:t>
      </w:r>
      <w:r w:rsidRPr="00F8728A">
        <w:rPr>
          <w:rFonts w:ascii="Times New Roman" w:hAnsi="Times New Roman"/>
          <w:sz w:val="18"/>
          <w:szCs w:val="18"/>
          <w:lang w:val="ru-RU"/>
        </w:rPr>
        <w:t xml:space="preserve">  </w:t>
      </w:r>
      <w:hyperlink r:id="rId53" w:history="1">
        <w:r w:rsidRPr="00F8728A">
          <w:rPr>
            <w:rStyle w:val="Hyperlink"/>
            <w:rFonts w:ascii="Times New Roman" w:hAnsi="Times New Roman"/>
            <w:color w:val="auto"/>
            <w:sz w:val="18"/>
            <w:szCs w:val="18"/>
          </w:rPr>
          <w:t>http://ec.europa.eu/regional_policy/sources/docgener/informat/2014/guidance_fiche_climat_change.pdf</w:t>
        </w:r>
      </w:hyperlink>
    </w:p>
  </w:footnote>
  <w:footnote w:id="73">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hyperlink r:id="rId54" w:history="1">
        <w:r w:rsidRPr="00F8728A">
          <w:rPr>
            <w:rStyle w:val="Hyperlink"/>
            <w:rFonts w:ascii="Times New Roman" w:hAnsi="Times New Roman"/>
            <w:color w:val="auto"/>
            <w:sz w:val="18"/>
            <w:szCs w:val="18"/>
            <w:lang w:val="en-CA"/>
          </w:rPr>
          <w:t>https</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ec</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europa</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eu</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clima</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about</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us</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climate</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law</w:t>
        </w:r>
        <w:r w:rsidRPr="00F8728A">
          <w:rPr>
            <w:rStyle w:val="Hyperlink"/>
            <w:rFonts w:ascii="Times New Roman" w:hAnsi="Times New Roman"/>
            <w:color w:val="auto"/>
            <w:sz w:val="18"/>
            <w:szCs w:val="18"/>
          </w:rPr>
          <w:t>_</w:t>
        </w:r>
        <w:r w:rsidRPr="00F8728A">
          <w:rPr>
            <w:rStyle w:val="Hyperlink"/>
            <w:rFonts w:ascii="Times New Roman" w:hAnsi="Times New Roman"/>
            <w:color w:val="auto"/>
            <w:sz w:val="18"/>
            <w:szCs w:val="18"/>
            <w:lang w:val="en-CA"/>
          </w:rPr>
          <w:t>en</w:t>
        </w:r>
      </w:hyperlink>
    </w:p>
  </w:footnote>
  <w:footnote w:id="74">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За повече информация, виж</w:t>
      </w:r>
      <w:r w:rsidRPr="00F8728A">
        <w:rPr>
          <w:rFonts w:ascii="Times New Roman" w:hAnsi="Times New Roman"/>
          <w:sz w:val="18"/>
          <w:szCs w:val="18"/>
          <w:lang w:val="ru-RU"/>
        </w:rPr>
        <w:t xml:space="preserve"> </w:t>
      </w:r>
      <w:hyperlink r:id="rId55" w:history="1">
        <w:r w:rsidRPr="00F8728A">
          <w:rPr>
            <w:rStyle w:val="Hyperlink"/>
            <w:rFonts w:ascii="Times New Roman" w:hAnsi="Times New Roman"/>
            <w:color w:val="auto"/>
            <w:sz w:val="18"/>
            <w:szCs w:val="18"/>
          </w:rPr>
          <w:t>https://ec.europa.eu/jrc/en/research-topic/standards-construction-eurocodes</w:t>
        </w:r>
      </w:hyperlink>
    </w:p>
  </w:footnote>
  <w:footnote w:id="75">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 xml:space="preserve">Приет през </w:t>
      </w:r>
      <w:r w:rsidRPr="00F8728A">
        <w:rPr>
          <w:rFonts w:ascii="Times New Roman" w:hAnsi="Times New Roman"/>
          <w:sz w:val="18"/>
          <w:szCs w:val="18"/>
          <w:lang w:val="ru-RU"/>
        </w:rPr>
        <w:t>2014</w:t>
      </w:r>
      <w:r w:rsidRPr="00F8728A">
        <w:rPr>
          <w:rFonts w:ascii="Times New Roman" w:hAnsi="Times New Roman"/>
          <w:sz w:val="18"/>
          <w:szCs w:val="18"/>
        </w:rPr>
        <w:t xml:space="preserve"> г</w:t>
      </w:r>
      <w:r w:rsidRPr="00F8728A">
        <w:rPr>
          <w:rFonts w:ascii="Times New Roman" w:hAnsi="Times New Roman"/>
          <w:sz w:val="18"/>
          <w:szCs w:val="18"/>
          <w:lang w:val="ru-RU"/>
        </w:rPr>
        <w:t xml:space="preserve">. </w:t>
      </w:r>
      <w:r w:rsidRPr="00F8728A">
        <w:rPr>
          <w:rFonts w:ascii="Times New Roman" w:hAnsi="Times New Roman"/>
          <w:sz w:val="18"/>
          <w:szCs w:val="18"/>
        </w:rPr>
        <w:t>Последни изменения ДВ 85</w:t>
      </w:r>
      <w:r w:rsidRPr="00F8728A">
        <w:rPr>
          <w:rFonts w:ascii="Times New Roman" w:hAnsi="Times New Roman"/>
          <w:sz w:val="18"/>
          <w:szCs w:val="18"/>
          <w:lang w:val="ru-RU"/>
        </w:rPr>
        <w:t>/24.10.2017</w:t>
      </w:r>
    </w:p>
  </w:footnote>
  <w:footnote w:id="76">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 xml:space="preserve">Приет през </w:t>
      </w:r>
      <w:r w:rsidRPr="00F8728A">
        <w:rPr>
          <w:rFonts w:ascii="Times New Roman" w:hAnsi="Times New Roman"/>
          <w:sz w:val="18"/>
          <w:szCs w:val="18"/>
          <w:lang w:val="ru-RU"/>
        </w:rPr>
        <w:t xml:space="preserve">2006, </w:t>
      </w:r>
      <w:r w:rsidRPr="00F8728A">
        <w:rPr>
          <w:rFonts w:ascii="Times New Roman" w:hAnsi="Times New Roman"/>
          <w:sz w:val="18"/>
          <w:szCs w:val="18"/>
        </w:rPr>
        <w:t>посредни изменения ДВ</w:t>
      </w:r>
      <w:r w:rsidRPr="00F8728A">
        <w:rPr>
          <w:rFonts w:ascii="Times New Roman" w:hAnsi="Times New Roman"/>
          <w:sz w:val="18"/>
          <w:szCs w:val="18"/>
          <w:lang w:val="ru-RU"/>
        </w:rPr>
        <w:t xml:space="preserve"> 13/07.02.2017</w:t>
      </w:r>
    </w:p>
  </w:footnote>
  <w:footnote w:id="77">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С</w:t>
      </w:r>
      <w:r w:rsidRPr="00F8728A">
        <w:rPr>
          <w:rFonts w:ascii="Times New Roman" w:hAnsi="Times New Roman"/>
          <w:sz w:val="18"/>
          <w:szCs w:val="18"/>
          <w:lang w:val="ru-RU" w:eastAsia="en-GB"/>
        </w:rPr>
        <w:t>истемата за планиране намаляването на риска от бедствия</w:t>
      </w:r>
      <w:r w:rsidRPr="00F8728A">
        <w:rPr>
          <w:rFonts w:ascii="Times New Roman" w:hAnsi="Times New Roman"/>
          <w:sz w:val="18"/>
          <w:szCs w:val="18"/>
          <w:lang w:val="ru-RU"/>
        </w:rPr>
        <w:t xml:space="preserve"> </w:t>
      </w:r>
      <w:r w:rsidRPr="00F8728A">
        <w:rPr>
          <w:rFonts w:ascii="Times New Roman" w:hAnsi="Times New Roman"/>
          <w:sz w:val="18"/>
          <w:szCs w:val="18"/>
        </w:rPr>
        <w:t>включва Национална стратегия за ограничаване на рисковете от бедствия, Национална програма за ограничаване на рисковете от бедствия, Регонални/секторни програми</w:t>
      </w:r>
      <w:r w:rsidRPr="00F8728A">
        <w:rPr>
          <w:rFonts w:ascii="Times New Roman" w:hAnsi="Times New Roman"/>
          <w:sz w:val="18"/>
          <w:szCs w:val="18"/>
          <w:lang w:val="ru-RU"/>
        </w:rPr>
        <w:t xml:space="preserve">, </w:t>
      </w:r>
      <w:r w:rsidRPr="00F8728A">
        <w:rPr>
          <w:rFonts w:ascii="Times New Roman" w:hAnsi="Times New Roman"/>
          <w:sz w:val="18"/>
          <w:szCs w:val="18"/>
        </w:rPr>
        <w:t>Областни програми и Общински програми за ограничаване на рисковете от бедствия</w:t>
      </w:r>
      <w:r w:rsidRPr="00F8728A">
        <w:rPr>
          <w:rFonts w:ascii="Times New Roman" w:hAnsi="Times New Roman"/>
          <w:sz w:val="18"/>
          <w:szCs w:val="18"/>
          <w:lang w:val="ru-RU"/>
        </w:rPr>
        <w:t>.</w:t>
      </w:r>
    </w:p>
  </w:footnote>
  <w:footnote w:id="78">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 xml:space="preserve">Приета през </w:t>
      </w:r>
      <w:r w:rsidRPr="00F8728A">
        <w:rPr>
          <w:rFonts w:ascii="Times New Roman" w:hAnsi="Times New Roman"/>
          <w:sz w:val="18"/>
          <w:szCs w:val="18"/>
          <w:lang w:val="ru-RU"/>
        </w:rPr>
        <w:t xml:space="preserve">2012, </w:t>
      </w:r>
      <w:r w:rsidRPr="00F8728A">
        <w:rPr>
          <w:rFonts w:ascii="Times New Roman" w:hAnsi="Times New Roman"/>
          <w:sz w:val="18"/>
          <w:szCs w:val="18"/>
        </w:rPr>
        <w:t xml:space="preserve">последни изменения ДВ </w:t>
      </w:r>
      <w:r w:rsidRPr="00F8728A">
        <w:rPr>
          <w:rFonts w:ascii="Times New Roman" w:hAnsi="Times New Roman"/>
          <w:sz w:val="18"/>
          <w:szCs w:val="18"/>
          <w:lang w:val="ru-RU"/>
        </w:rPr>
        <w:t>9/31.01.2017</w:t>
      </w:r>
    </w:p>
  </w:footnote>
  <w:footnote w:id="79">
    <w:p w:rsidR="00FB4561" w:rsidRPr="00B73D7E" w:rsidRDefault="00FB4561" w:rsidP="001E6121">
      <w:pPr>
        <w:spacing w:after="0"/>
        <w:rPr>
          <w:rFonts w:ascii="Times New Roman" w:hAnsi="Times New Roman"/>
          <w:sz w:val="18"/>
          <w:szCs w:val="18"/>
        </w:rPr>
      </w:pPr>
      <w:r w:rsidRPr="00B73D7E">
        <w:rPr>
          <w:rStyle w:val="FootnoteReference"/>
          <w:rFonts w:ascii="Times New Roman" w:hAnsi="Times New Roman"/>
          <w:sz w:val="18"/>
          <w:szCs w:val="18"/>
        </w:rPr>
        <w:footnoteRef/>
      </w:r>
      <w:r w:rsidRPr="00F8728A">
        <w:rPr>
          <w:rFonts w:ascii="Times New Roman" w:hAnsi="Times New Roman"/>
          <w:sz w:val="18"/>
          <w:szCs w:val="18"/>
        </w:rPr>
        <w:t xml:space="preserve"> Директива 2007/2/EC на Европейския парламент и Съвета от 14 март 2007</w:t>
      </w:r>
      <w:r w:rsidRPr="00F8728A">
        <w:rPr>
          <w:rFonts w:ascii="Times New Roman" w:hAnsi="Times New Roman"/>
          <w:sz w:val="18"/>
          <w:szCs w:val="18"/>
          <w:lang w:val="ru-RU"/>
        </w:rPr>
        <w:t>,</w:t>
      </w:r>
      <w:r w:rsidRPr="00F8728A">
        <w:rPr>
          <w:rFonts w:ascii="Times New Roman" w:hAnsi="Times New Roman"/>
          <w:sz w:val="18"/>
          <w:szCs w:val="18"/>
        </w:rPr>
        <w:t xml:space="preserve"> за изграждане на инфраструктура за пространствена информация на ЕО (INSPIRE)</w:t>
      </w:r>
    </w:p>
  </w:footnote>
  <w:footnote w:id="80">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Приет през 20</w:t>
      </w:r>
      <w:r w:rsidRPr="00F8728A">
        <w:rPr>
          <w:rFonts w:ascii="Times New Roman" w:hAnsi="Times New Roman"/>
          <w:sz w:val="18"/>
          <w:szCs w:val="18"/>
          <w:lang w:val="ru-RU"/>
        </w:rPr>
        <w:t>0</w:t>
      </w:r>
      <w:r w:rsidRPr="00F8728A">
        <w:rPr>
          <w:rFonts w:ascii="Times New Roman" w:hAnsi="Times New Roman"/>
          <w:sz w:val="18"/>
          <w:szCs w:val="18"/>
        </w:rPr>
        <w:t>1 г., последни изменения ДВ 55/03.07.201</w:t>
      </w:r>
      <w:r w:rsidRPr="00F8728A">
        <w:rPr>
          <w:rFonts w:ascii="Times New Roman" w:hAnsi="Times New Roman"/>
          <w:sz w:val="18"/>
          <w:szCs w:val="18"/>
          <w:lang w:val="ru-RU"/>
        </w:rPr>
        <w:t>8 г.</w:t>
      </w:r>
    </w:p>
  </w:footnote>
  <w:footnote w:id="81">
    <w:p w:rsidR="00FB4561" w:rsidRPr="00F8728A" w:rsidRDefault="00FB4561" w:rsidP="00AF6AAD">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 xml:space="preserve">Приет през </w:t>
      </w:r>
      <w:r w:rsidRPr="00F8728A">
        <w:rPr>
          <w:rFonts w:ascii="Times New Roman" w:hAnsi="Times New Roman"/>
          <w:sz w:val="18"/>
          <w:szCs w:val="18"/>
          <w:lang w:val="ru-RU"/>
        </w:rPr>
        <w:t xml:space="preserve">2007 г., </w:t>
      </w:r>
      <w:r w:rsidRPr="00F8728A">
        <w:rPr>
          <w:rFonts w:ascii="Times New Roman" w:hAnsi="Times New Roman"/>
          <w:sz w:val="18"/>
          <w:szCs w:val="18"/>
        </w:rPr>
        <w:t>последни изменения ДВ № 28/29.03.2018 г.</w:t>
      </w:r>
    </w:p>
  </w:footnote>
  <w:footnote w:id="82">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 xml:space="preserve">Приет през </w:t>
      </w:r>
      <w:r w:rsidRPr="00F8728A">
        <w:rPr>
          <w:rFonts w:ascii="Times New Roman" w:hAnsi="Times New Roman"/>
          <w:sz w:val="18"/>
          <w:szCs w:val="18"/>
          <w:lang w:val="ru-RU"/>
        </w:rPr>
        <w:t xml:space="preserve">2006 г., </w:t>
      </w:r>
      <w:r w:rsidRPr="00F8728A">
        <w:rPr>
          <w:rFonts w:ascii="Times New Roman" w:hAnsi="Times New Roman"/>
          <w:sz w:val="18"/>
          <w:szCs w:val="18"/>
        </w:rPr>
        <w:t>последни изменения ДВ</w:t>
      </w:r>
      <w:r w:rsidRPr="00F8728A">
        <w:rPr>
          <w:rFonts w:ascii="Times New Roman" w:hAnsi="Times New Roman"/>
          <w:sz w:val="18"/>
          <w:szCs w:val="18"/>
          <w:lang w:val="ru-RU"/>
        </w:rPr>
        <w:t xml:space="preserve"> № 31/10.04.2018 г.</w:t>
      </w:r>
    </w:p>
  </w:footnote>
  <w:footnote w:id="83">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Приета през</w:t>
      </w:r>
      <w:r w:rsidRPr="00F8728A">
        <w:rPr>
          <w:rFonts w:ascii="Times New Roman" w:hAnsi="Times New Roman"/>
          <w:sz w:val="18"/>
          <w:szCs w:val="18"/>
          <w:lang w:val="ru-RU"/>
        </w:rPr>
        <w:t xml:space="preserve"> 2004 г., </w:t>
      </w:r>
      <w:r w:rsidRPr="00F8728A">
        <w:rPr>
          <w:rFonts w:ascii="Times New Roman" w:hAnsi="Times New Roman"/>
          <w:sz w:val="18"/>
          <w:szCs w:val="18"/>
        </w:rPr>
        <w:t>последни изменения ДВ</w:t>
      </w:r>
      <w:r w:rsidRPr="00F8728A">
        <w:rPr>
          <w:rFonts w:ascii="Times New Roman" w:hAnsi="Times New Roman"/>
          <w:sz w:val="18"/>
          <w:szCs w:val="18"/>
          <w:lang w:val="ru-RU"/>
        </w:rPr>
        <w:t xml:space="preserve"> 21/01.03.2013</w:t>
      </w:r>
    </w:p>
  </w:footnote>
  <w:footnote w:id="84">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Приета през 200</w:t>
      </w:r>
      <w:r w:rsidRPr="00F8728A">
        <w:rPr>
          <w:rFonts w:ascii="Times New Roman" w:hAnsi="Times New Roman"/>
          <w:sz w:val="18"/>
          <w:szCs w:val="18"/>
          <w:lang w:val="ru-RU"/>
        </w:rPr>
        <w:t>1 г.</w:t>
      </w:r>
      <w:r w:rsidRPr="00F8728A">
        <w:rPr>
          <w:rFonts w:ascii="Times New Roman" w:hAnsi="Times New Roman"/>
          <w:sz w:val="18"/>
          <w:szCs w:val="18"/>
        </w:rPr>
        <w:t>, последни изменения ДВ</w:t>
      </w:r>
      <w:r w:rsidRPr="00F8728A">
        <w:rPr>
          <w:rFonts w:ascii="Times New Roman" w:hAnsi="Times New Roman"/>
          <w:sz w:val="18"/>
          <w:szCs w:val="18"/>
          <w:lang w:val="ru-RU"/>
        </w:rPr>
        <w:t xml:space="preserve"> 0</w:t>
      </w:r>
      <w:r w:rsidRPr="00F8728A">
        <w:rPr>
          <w:rFonts w:ascii="Times New Roman" w:hAnsi="Times New Roman"/>
          <w:sz w:val="18"/>
          <w:szCs w:val="18"/>
        </w:rPr>
        <w:t>1/1</w:t>
      </w:r>
      <w:r w:rsidRPr="00F8728A">
        <w:rPr>
          <w:rFonts w:ascii="Times New Roman" w:hAnsi="Times New Roman"/>
          <w:sz w:val="18"/>
          <w:szCs w:val="18"/>
          <w:lang w:val="ru-RU"/>
        </w:rPr>
        <w:t>0</w:t>
      </w:r>
      <w:r w:rsidRPr="00F8728A">
        <w:rPr>
          <w:rFonts w:ascii="Times New Roman" w:hAnsi="Times New Roman"/>
          <w:sz w:val="18"/>
          <w:szCs w:val="18"/>
        </w:rPr>
        <w:t>.0</w:t>
      </w:r>
      <w:r w:rsidRPr="00F8728A">
        <w:rPr>
          <w:rFonts w:ascii="Times New Roman" w:hAnsi="Times New Roman"/>
          <w:sz w:val="18"/>
          <w:szCs w:val="18"/>
          <w:lang w:val="ru-RU"/>
        </w:rPr>
        <w:t>2</w:t>
      </w:r>
      <w:r w:rsidRPr="00F8728A">
        <w:rPr>
          <w:rFonts w:ascii="Times New Roman" w:hAnsi="Times New Roman"/>
          <w:sz w:val="18"/>
          <w:szCs w:val="18"/>
        </w:rPr>
        <w:t>.201</w:t>
      </w:r>
      <w:r w:rsidRPr="00F8728A">
        <w:rPr>
          <w:rFonts w:ascii="Times New Roman" w:hAnsi="Times New Roman"/>
          <w:sz w:val="18"/>
          <w:szCs w:val="18"/>
          <w:lang w:val="ru-RU"/>
        </w:rPr>
        <w:t>5</w:t>
      </w:r>
    </w:p>
  </w:footnote>
  <w:footnote w:id="85">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Приет през 200</w:t>
      </w:r>
      <w:r w:rsidRPr="00F8728A">
        <w:rPr>
          <w:rFonts w:ascii="Times New Roman" w:hAnsi="Times New Roman"/>
          <w:sz w:val="18"/>
          <w:szCs w:val="18"/>
          <w:lang w:val="ru-RU"/>
        </w:rPr>
        <w:t>2 г.</w:t>
      </w:r>
      <w:r w:rsidRPr="00F8728A">
        <w:rPr>
          <w:rFonts w:ascii="Times New Roman" w:hAnsi="Times New Roman"/>
          <w:sz w:val="18"/>
          <w:szCs w:val="18"/>
        </w:rPr>
        <w:t>, последни изменения ДВ</w:t>
      </w:r>
      <w:r w:rsidRPr="00F8728A">
        <w:rPr>
          <w:rFonts w:ascii="Times New Roman" w:hAnsi="Times New Roman"/>
          <w:sz w:val="18"/>
          <w:szCs w:val="18"/>
          <w:lang w:val="ru-RU"/>
        </w:rPr>
        <w:t xml:space="preserve"> </w:t>
      </w:r>
      <w:r w:rsidRPr="00F8728A">
        <w:rPr>
          <w:rFonts w:ascii="Times New Roman" w:hAnsi="Times New Roman"/>
          <w:sz w:val="18"/>
          <w:szCs w:val="18"/>
        </w:rPr>
        <w:t>96</w:t>
      </w:r>
      <w:r w:rsidRPr="00F8728A">
        <w:rPr>
          <w:rFonts w:ascii="Times New Roman" w:hAnsi="Times New Roman"/>
          <w:sz w:val="18"/>
          <w:szCs w:val="18"/>
          <w:lang w:val="ru-RU"/>
        </w:rPr>
        <w:t>/01</w:t>
      </w:r>
      <w:r w:rsidRPr="00F8728A">
        <w:rPr>
          <w:rFonts w:ascii="Times New Roman" w:hAnsi="Times New Roman"/>
          <w:sz w:val="18"/>
          <w:szCs w:val="18"/>
        </w:rPr>
        <w:t>.12.201</w:t>
      </w:r>
      <w:r w:rsidRPr="00F8728A">
        <w:rPr>
          <w:rFonts w:ascii="Times New Roman" w:hAnsi="Times New Roman"/>
          <w:sz w:val="18"/>
          <w:szCs w:val="18"/>
          <w:lang w:val="ru-RU"/>
        </w:rPr>
        <w:t>7</w:t>
      </w:r>
    </w:p>
  </w:footnote>
  <w:footnote w:id="86">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Приет през 200</w:t>
      </w:r>
      <w:r w:rsidRPr="00F8728A">
        <w:rPr>
          <w:rFonts w:ascii="Times New Roman" w:hAnsi="Times New Roman"/>
          <w:sz w:val="18"/>
          <w:szCs w:val="18"/>
          <w:lang w:val="ru-RU"/>
        </w:rPr>
        <w:t>8 г.</w:t>
      </w:r>
      <w:r w:rsidRPr="00F8728A">
        <w:rPr>
          <w:rFonts w:ascii="Times New Roman" w:hAnsi="Times New Roman"/>
          <w:sz w:val="18"/>
          <w:szCs w:val="18"/>
        </w:rPr>
        <w:t>, последни изменения ДВ</w:t>
      </w:r>
      <w:r w:rsidRPr="00F8728A">
        <w:rPr>
          <w:rFonts w:ascii="Times New Roman" w:hAnsi="Times New Roman"/>
          <w:sz w:val="18"/>
          <w:szCs w:val="18"/>
          <w:lang w:val="ru-RU"/>
        </w:rPr>
        <w:t xml:space="preserve"> 58/18.07</w:t>
      </w:r>
      <w:r w:rsidRPr="00F8728A">
        <w:rPr>
          <w:rFonts w:ascii="Times New Roman" w:hAnsi="Times New Roman"/>
          <w:sz w:val="18"/>
          <w:szCs w:val="18"/>
        </w:rPr>
        <w:t>.201</w:t>
      </w:r>
      <w:r w:rsidRPr="00F8728A">
        <w:rPr>
          <w:rFonts w:ascii="Times New Roman" w:hAnsi="Times New Roman"/>
          <w:sz w:val="18"/>
          <w:szCs w:val="18"/>
          <w:lang w:val="ru-RU"/>
        </w:rPr>
        <w:t>7</w:t>
      </w:r>
    </w:p>
  </w:footnote>
  <w:footnote w:id="87">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 xml:space="preserve">Приет през </w:t>
      </w:r>
      <w:r w:rsidRPr="00F8728A">
        <w:rPr>
          <w:rFonts w:ascii="Times New Roman" w:hAnsi="Times New Roman"/>
          <w:sz w:val="18"/>
          <w:szCs w:val="18"/>
          <w:lang w:val="ru-RU"/>
        </w:rPr>
        <w:t>1998 г.,</w:t>
      </w:r>
      <w:r w:rsidRPr="00F8728A">
        <w:rPr>
          <w:rFonts w:ascii="Times New Roman" w:hAnsi="Times New Roman"/>
          <w:sz w:val="18"/>
          <w:szCs w:val="18"/>
        </w:rPr>
        <w:t xml:space="preserve"> последни изменения ДВ</w:t>
      </w:r>
      <w:r w:rsidRPr="00F8728A">
        <w:rPr>
          <w:rFonts w:ascii="Times New Roman" w:hAnsi="Times New Roman"/>
          <w:sz w:val="18"/>
          <w:szCs w:val="18"/>
          <w:lang w:val="ru-RU"/>
        </w:rPr>
        <w:t xml:space="preserve"> 96/01.12.2017</w:t>
      </w:r>
    </w:p>
  </w:footnote>
  <w:footnote w:id="88">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 xml:space="preserve">Приет през </w:t>
      </w:r>
      <w:r w:rsidRPr="00F8728A">
        <w:rPr>
          <w:rFonts w:ascii="Times New Roman" w:hAnsi="Times New Roman"/>
          <w:sz w:val="18"/>
          <w:szCs w:val="18"/>
          <w:lang w:val="ru-RU"/>
        </w:rPr>
        <w:t>2002 г.</w:t>
      </w:r>
      <w:r w:rsidRPr="00F8728A">
        <w:rPr>
          <w:rFonts w:ascii="Times New Roman" w:hAnsi="Times New Roman"/>
          <w:sz w:val="18"/>
          <w:szCs w:val="18"/>
        </w:rPr>
        <w:t>, последни изменения ДВ</w:t>
      </w:r>
      <w:r w:rsidRPr="00F8728A">
        <w:rPr>
          <w:rFonts w:ascii="Times New Roman" w:hAnsi="Times New Roman"/>
          <w:sz w:val="18"/>
          <w:szCs w:val="18"/>
          <w:lang w:val="ru-RU"/>
        </w:rPr>
        <w:t xml:space="preserve"> 76/19.09.</w:t>
      </w:r>
      <w:r w:rsidRPr="00F8728A">
        <w:rPr>
          <w:rFonts w:ascii="Times New Roman" w:hAnsi="Times New Roman"/>
          <w:sz w:val="18"/>
          <w:szCs w:val="18"/>
        </w:rPr>
        <w:t>2017</w:t>
      </w:r>
    </w:p>
  </w:footnote>
  <w:footnote w:id="89">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Приет през 2003 г., последни изменения ДВ</w:t>
      </w:r>
      <w:r w:rsidRPr="00F8728A">
        <w:rPr>
          <w:rFonts w:ascii="Times New Roman" w:hAnsi="Times New Roman"/>
          <w:sz w:val="18"/>
          <w:szCs w:val="18"/>
          <w:lang w:val="ru-RU"/>
        </w:rPr>
        <w:t xml:space="preserve"> </w:t>
      </w:r>
      <w:r w:rsidRPr="00F8728A">
        <w:rPr>
          <w:rFonts w:ascii="Times New Roman" w:hAnsi="Times New Roman"/>
          <w:sz w:val="18"/>
          <w:szCs w:val="18"/>
        </w:rPr>
        <w:t>58/18.07.2017</w:t>
      </w:r>
    </w:p>
  </w:footnote>
  <w:footnote w:id="90">
    <w:p w:rsidR="00FB4561" w:rsidRPr="00F8728A" w:rsidRDefault="00FB456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Приет през 2011, последни изменения ДВ. 38/08.05.2018</w:t>
      </w:r>
    </w:p>
  </w:footnote>
  <w:footnote w:id="91">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Приет през 2015 г., изм. ДВ 103/28.12.2017, последни изменения ДВ</w:t>
      </w:r>
      <w:r w:rsidRPr="00F8728A">
        <w:rPr>
          <w:rFonts w:ascii="Times New Roman" w:hAnsi="Times New Roman"/>
          <w:sz w:val="18"/>
          <w:szCs w:val="18"/>
          <w:lang w:val="ru-RU"/>
        </w:rPr>
        <w:t xml:space="preserve"> </w:t>
      </w:r>
      <w:r w:rsidRPr="00F8728A">
        <w:rPr>
          <w:rFonts w:ascii="Times New Roman" w:hAnsi="Times New Roman"/>
          <w:sz w:val="18"/>
          <w:szCs w:val="18"/>
        </w:rPr>
        <w:t xml:space="preserve">38/08.05.2018  </w:t>
      </w:r>
    </w:p>
  </w:footnote>
  <w:footnote w:id="92">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 xml:space="preserve">Приета през </w:t>
      </w:r>
      <w:r w:rsidRPr="00F8728A">
        <w:rPr>
          <w:rFonts w:ascii="Times New Roman" w:hAnsi="Times New Roman"/>
          <w:sz w:val="18"/>
          <w:szCs w:val="18"/>
          <w:lang w:val="ru-RU"/>
        </w:rPr>
        <w:t xml:space="preserve">2005 г., </w:t>
      </w:r>
      <w:r w:rsidRPr="00F8728A">
        <w:rPr>
          <w:rFonts w:ascii="Times New Roman" w:hAnsi="Times New Roman"/>
          <w:sz w:val="18"/>
          <w:szCs w:val="18"/>
        </w:rPr>
        <w:t>последни изменения ДВ</w:t>
      </w:r>
      <w:r w:rsidRPr="00F8728A">
        <w:rPr>
          <w:rFonts w:ascii="Times New Roman" w:hAnsi="Times New Roman"/>
          <w:sz w:val="18"/>
          <w:szCs w:val="18"/>
          <w:lang w:val="ru-RU"/>
        </w:rPr>
        <w:t xml:space="preserve"> 90/21.11.2017</w:t>
      </w:r>
    </w:p>
  </w:footnote>
  <w:footnote w:id="93">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Еврокодове – национални приложения. Български институт за стандартизация</w:t>
      </w:r>
      <w:r w:rsidRPr="00F8728A">
        <w:rPr>
          <w:rFonts w:ascii="Times New Roman" w:hAnsi="Times New Roman"/>
          <w:sz w:val="18"/>
          <w:szCs w:val="18"/>
          <w:lang w:val="ru-RU"/>
        </w:rPr>
        <w:t xml:space="preserve"> </w:t>
      </w:r>
      <w:hyperlink r:id="rId56" w:history="1">
        <w:r w:rsidRPr="00F8728A">
          <w:rPr>
            <w:rStyle w:val="Hyperlink"/>
            <w:rFonts w:ascii="Times New Roman" w:hAnsi="Times New Roman"/>
            <w:color w:val="auto"/>
            <w:sz w:val="18"/>
            <w:szCs w:val="18"/>
          </w:rPr>
          <w:t>http://www.bds-bg.org/en/pages/page_71.html</w:t>
        </w:r>
      </w:hyperlink>
    </w:p>
  </w:footnote>
  <w:footnote w:id="94">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Приет през</w:t>
      </w:r>
      <w:r w:rsidRPr="00F8728A">
        <w:rPr>
          <w:rFonts w:ascii="Times New Roman" w:hAnsi="Times New Roman"/>
          <w:sz w:val="18"/>
          <w:szCs w:val="18"/>
          <w:lang w:val="ru-RU"/>
        </w:rPr>
        <w:t xml:space="preserve"> 2004 г., </w:t>
      </w:r>
      <w:r w:rsidRPr="00F8728A">
        <w:rPr>
          <w:rFonts w:ascii="Times New Roman" w:hAnsi="Times New Roman"/>
          <w:sz w:val="18"/>
          <w:szCs w:val="18"/>
        </w:rPr>
        <w:t>последни изменения ДВ</w:t>
      </w:r>
      <w:r w:rsidRPr="00F8728A">
        <w:rPr>
          <w:rFonts w:ascii="Times New Roman" w:hAnsi="Times New Roman"/>
          <w:sz w:val="18"/>
          <w:szCs w:val="18"/>
          <w:lang w:val="ru-RU"/>
        </w:rPr>
        <w:t xml:space="preserve"> 33/23.04.2017</w:t>
      </w:r>
    </w:p>
  </w:footnote>
  <w:footnote w:id="95">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Приет през</w:t>
      </w:r>
      <w:r w:rsidRPr="00F8728A">
        <w:rPr>
          <w:rFonts w:ascii="Times New Roman" w:hAnsi="Times New Roman"/>
          <w:sz w:val="18"/>
          <w:szCs w:val="18"/>
          <w:lang w:val="ru-RU"/>
        </w:rPr>
        <w:t xml:space="preserve"> 1996 г., </w:t>
      </w:r>
      <w:r w:rsidRPr="00F8728A">
        <w:rPr>
          <w:rFonts w:ascii="Times New Roman" w:hAnsi="Times New Roman"/>
          <w:sz w:val="18"/>
          <w:szCs w:val="18"/>
        </w:rPr>
        <w:t>последни изменения ДВ 58</w:t>
      </w:r>
      <w:r w:rsidRPr="00F8728A">
        <w:rPr>
          <w:rFonts w:ascii="Times New Roman" w:hAnsi="Times New Roman"/>
          <w:sz w:val="18"/>
          <w:szCs w:val="18"/>
          <w:lang w:val="ru-RU"/>
        </w:rPr>
        <w:t>/18.07.2017</w:t>
      </w:r>
    </w:p>
  </w:footnote>
  <w:footnote w:id="96">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Приет през 20</w:t>
      </w:r>
      <w:r w:rsidRPr="00F8728A">
        <w:rPr>
          <w:rFonts w:ascii="Times New Roman" w:hAnsi="Times New Roman"/>
          <w:sz w:val="18"/>
          <w:szCs w:val="18"/>
          <w:lang w:val="ru-RU"/>
        </w:rPr>
        <w:t>11 г.</w:t>
      </w:r>
      <w:r w:rsidRPr="00F8728A">
        <w:rPr>
          <w:rFonts w:ascii="Times New Roman" w:hAnsi="Times New Roman"/>
          <w:sz w:val="18"/>
          <w:szCs w:val="18"/>
        </w:rPr>
        <w:t>, последни изменения ДВ 58</w:t>
      </w:r>
      <w:r w:rsidRPr="00F8728A">
        <w:rPr>
          <w:rFonts w:ascii="Times New Roman" w:hAnsi="Times New Roman"/>
          <w:sz w:val="18"/>
          <w:szCs w:val="18"/>
          <w:lang w:val="ru-RU"/>
        </w:rPr>
        <w:t>/18.07.2017</w:t>
      </w:r>
    </w:p>
  </w:footnote>
  <w:footnote w:id="97">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Приет през 20</w:t>
      </w:r>
      <w:r w:rsidRPr="00F8728A">
        <w:rPr>
          <w:rFonts w:ascii="Times New Roman" w:hAnsi="Times New Roman"/>
          <w:sz w:val="18"/>
          <w:szCs w:val="18"/>
          <w:lang w:val="ru-RU"/>
        </w:rPr>
        <w:t>00 г.</w:t>
      </w:r>
      <w:r w:rsidRPr="00F8728A">
        <w:rPr>
          <w:rFonts w:ascii="Times New Roman" w:hAnsi="Times New Roman"/>
          <w:sz w:val="18"/>
          <w:szCs w:val="18"/>
        </w:rPr>
        <w:t>, последни изменения ДВ 58</w:t>
      </w:r>
      <w:r w:rsidRPr="00F8728A">
        <w:rPr>
          <w:rFonts w:ascii="Times New Roman" w:hAnsi="Times New Roman"/>
          <w:sz w:val="18"/>
          <w:szCs w:val="18"/>
          <w:lang w:val="ru-RU"/>
        </w:rPr>
        <w:t>/18.07.2017</w:t>
      </w:r>
    </w:p>
  </w:footnote>
  <w:footnote w:id="98">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 xml:space="preserve">Приет през </w:t>
      </w:r>
      <w:r w:rsidRPr="00F8728A">
        <w:rPr>
          <w:rFonts w:ascii="Times New Roman" w:hAnsi="Times New Roman"/>
          <w:sz w:val="18"/>
          <w:szCs w:val="18"/>
          <w:lang w:val="ru-RU"/>
        </w:rPr>
        <w:t xml:space="preserve">1999 г., </w:t>
      </w:r>
      <w:r w:rsidRPr="00F8728A">
        <w:rPr>
          <w:rFonts w:ascii="Times New Roman" w:hAnsi="Times New Roman"/>
          <w:sz w:val="18"/>
          <w:szCs w:val="18"/>
        </w:rPr>
        <w:t>последни изменения ДВ</w:t>
      </w:r>
      <w:r w:rsidRPr="00F8728A">
        <w:rPr>
          <w:rFonts w:ascii="Times New Roman" w:hAnsi="Times New Roman"/>
          <w:sz w:val="18"/>
          <w:szCs w:val="18"/>
          <w:lang w:val="ru-RU"/>
        </w:rPr>
        <w:t xml:space="preserve"> </w:t>
      </w:r>
      <w:r w:rsidRPr="00F8728A">
        <w:rPr>
          <w:rFonts w:ascii="Times New Roman" w:hAnsi="Times New Roman"/>
          <w:sz w:val="18"/>
          <w:szCs w:val="18"/>
        </w:rPr>
        <w:t>58</w:t>
      </w:r>
      <w:r w:rsidRPr="00F8728A">
        <w:rPr>
          <w:rFonts w:ascii="Times New Roman" w:hAnsi="Times New Roman"/>
          <w:sz w:val="18"/>
          <w:szCs w:val="18"/>
          <w:lang w:val="ru-RU"/>
        </w:rPr>
        <w:t>/18.07.2017</w:t>
      </w:r>
    </w:p>
  </w:footnote>
  <w:footnote w:id="99">
    <w:p w:rsidR="00FB4561" w:rsidRPr="00B73D7E" w:rsidRDefault="00FB456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http://www.moew.government.bg/static/media/ups/tiny/file/Climate/Specialna_chat.pdf</w:t>
      </w:r>
    </w:p>
  </w:footnote>
  <w:footnote w:id="100">
    <w:p w:rsidR="00FB4561" w:rsidRPr="00B73D7E" w:rsidRDefault="00FB4561" w:rsidP="00BE11B7">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 xml:space="preserve">Стратегия за устойчиво енергийно развитие </w:t>
      </w:r>
      <w:r w:rsidRPr="00F8728A">
        <w:rPr>
          <w:rFonts w:ascii="Times New Roman" w:hAnsi="Times New Roman"/>
          <w:sz w:val="18"/>
          <w:szCs w:val="18"/>
          <w:lang w:val="ru-RU"/>
        </w:rPr>
        <w:t>2011 – 2020</w:t>
      </w:r>
      <w:r w:rsidRPr="00F8728A">
        <w:rPr>
          <w:rFonts w:ascii="Times New Roman" w:hAnsi="Times New Roman"/>
          <w:sz w:val="18"/>
          <w:szCs w:val="18"/>
        </w:rPr>
        <w:t xml:space="preserve"> г.</w:t>
      </w:r>
      <w:r w:rsidRPr="00F8728A">
        <w:rPr>
          <w:rFonts w:ascii="Times New Roman" w:hAnsi="Times New Roman"/>
          <w:sz w:val="18"/>
          <w:szCs w:val="18"/>
          <w:lang w:val="ru-RU"/>
        </w:rPr>
        <w:t xml:space="preserve"> </w:t>
      </w:r>
      <w:r w:rsidRPr="00F8728A">
        <w:rPr>
          <w:rFonts w:ascii="Times New Roman" w:hAnsi="Times New Roman"/>
          <w:sz w:val="18"/>
          <w:szCs w:val="18"/>
        </w:rPr>
        <w:t>Община Бургас</w:t>
      </w:r>
      <w:r w:rsidRPr="00F8728A">
        <w:rPr>
          <w:rFonts w:ascii="Times New Roman" w:hAnsi="Times New Roman"/>
          <w:sz w:val="18"/>
          <w:szCs w:val="18"/>
          <w:lang w:val="ru-RU"/>
        </w:rPr>
        <w:t xml:space="preserve"> </w:t>
      </w:r>
      <w:hyperlink r:id="rId57" w:history="1">
        <w:r w:rsidRPr="00F8728A">
          <w:rPr>
            <w:rStyle w:val="Hyperlink"/>
            <w:rFonts w:ascii="Times New Roman" w:hAnsi="Times New Roman"/>
            <w:color w:val="auto"/>
            <w:sz w:val="18"/>
            <w:szCs w:val="18"/>
            <w:lang w:val="en-CA"/>
          </w:rPr>
          <w:t>http</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www</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burgas</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bg</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uploads</w:t>
        </w:r>
        <w:r w:rsidRPr="00F8728A">
          <w:rPr>
            <w:rStyle w:val="Hyperlink"/>
            <w:rFonts w:ascii="Times New Roman" w:hAnsi="Times New Roman"/>
            <w:color w:val="auto"/>
            <w:sz w:val="18"/>
            <w:szCs w:val="18"/>
            <w:lang w:val="ru-RU"/>
          </w:rPr>
          <w:t>/3</w:t>
        </w:r>
        <w:r w:rsidRPr="00F8728A">
          <w:rPr>
            <w:rStyle w:val="Hyperlink"/>
            <w:rFonts w:ascii="Times New Roman" w:hAnsi="Times New Roman"/>
            <w:color w:val="auto"/>
            <w:sz w:val="18"/>
            <w:szCs w:val="18"/>
            <w:lang w:val="en-CA"/>
          </w:rPr>
          <w:t>beab</w:t>
        </w:r>
        <w:r w:rsidRPr="00F8728A">
          <w:rPr>
            <w:rStyle w:val="Hyperlink"/>
            <w:rFonts w:ascii="Times New Roman" w:hAnsi="Times New Roman"/>
            <w:color w:val="auto"/>
            <w:sz w:val="18"/>
            <w:szCs w:val="18"/>
            <w:lang w:val="ru-RU"/>
          </w:rPr>
          <w:t>17266</w:t>
        </w:r>
        <w:r w:rsidRPr="00F8728A">
          <w:rPr>
            <w:rStyle w:val="Hyperlink"/>
            <w:rFonts w:ascii="Times New Roman" w:hAnsi="Times New Roman"/>
            <w:color w:val="auto"/>
            <w:sz w:val="18"/>
            <w:szCs w:val="18"/>
            <w:lang w:val="en-CA"/>
          </w:rPr>
          <w:t>cba</w:t>
        </w:r>
        <w:r w:rsidRPr="00F8728A">
          <w:rPr>
            <w:rStyle w:val="Hyperlink"/>
            <w:rFonts w:ascii="Times New Roman" w:hAnsi="Times New Roman"/>
            <w:color w:val="auto"/>
            <w:sz w:val="18"/>
            <w:szCs w:val="18"/>
            <w:lang w:val="ru-RU"/>
          </w:rPr>
          <w:t>23990</w:t>
        </w:r>
        <w:r w:rsidRPr="00F8728A">
          <w:rPr>
            <w:rStyle w:val="Hyperlink"/>
            <w:rFonts w:ascii="Times New Roman" w:hAnsi="Times New Roman"/>
            <w:color w:val="auto"/>
            <w:sz w:val="18"/>
            <w:szCs w:val="18"/>
            <w:lang w:val="en-CA"/>
          </w:rPr>
          <w:t>bf</w:t>
        </w:r>
        <w:r w:rsidRPr="00F8728A">
          <w:rPr>
            <w:rStyle w:val="Hyperlink"/>
            <w:rFonts w:ascii="Times New Roman" w:hAnsi="Times New Roman"/>
            <w:color w:val="auto"/>
            <w:sz w:val="18"/>
            <w:szCs w:val="18"/>
            <w:lang w:val="ru-RU"/>
          </w:rPr>
          <w:t>26</w:t>
        </w:r>
        <w:r w:rsidRPr="00F8728A">
          <w:rPr>
            <w:rStyle w:val="Hyperlink"/>
            <w:rFonts w:ascii="Times New Roman" w:hAnsi="Times New Roman"/>
            <w:color w:val="auto"/>
            <w:sz w:val="18"/>
            <w:szCs w:val="18"/>
            <w:lang w:val="en-CA"/>
          </w:rPr>
          <w:t>a</w:t>
        </w:r>
        <w:r w:rsidRPr="00F8728A">
          <w:rPr>
            <w:rStyle w:val="Hyperlink"/>
            <w:rFonts w:ascii="Times New Roman" w:hAnsi="Times New Roman"/>
            <w:color w:val="auto"/>
            <w:sz w:val="18"/>
            <w:szCs w:val="18"/>
            <w:lang w:val="ru-RU"/>
          </w:rPr>
          <w:t>6</w:t>
        </w:r>
        <w:r w:rsidRPr="00F8728A">
          <w:rPr>
            <w:rStyle w:val="Hyperlink"/>
            <w:rFonts w:ascii="Times New Roman" w:hAnsi="Times New Roman"/>
            <w:color w:val="auto"/>
            <w:sz w:val="18"/>
            <w:szCs w:val="18"/>
            <w:lang w:val="en-CA"/>
          </w:rPr>
          <w:t>bd</w:t>
        </w:r>
        <w:r w:rsidRPr="00F8728A">
          <w:rPr>
            <w:rStyle w:val="Hyperlink"/>
            <w:rFonts w:ascii="Times New Roman" w:hAnsi="Times New Roman"/>
            <w:color w:val="auto"/>
            <w:sz w:val="18"/>
            <w:szCs w:val="18"/>
            <w:lang w:val="ru-RU"/>
          </w:rPr>
          <w:t>16</w:t>
        </w:r>
        <w:r w:rsidRPr="00F8728A">
          <w:rPr>
            <w:rStyle w:val="Hyperlink"/>
            <w:rFonts w:ascii="Times New Roman" w:hAnsi="Times New Roman"/>
            <w:color w:val="auto"/>
            <w:sz w:val="18"/>
            <w:szCs w:val="18"/>
            <w:lang w:val="en-CA"/>
          </w:rPr>
          <w:t>dcfc</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pdf</w:t>
        </w:r>
      </w:hyperlink>
    </w:p>
  </w:footnote>
  <w:footnote w:id="101">
    <w:p w:rsidR="00FB4561" w:rsidRPr="00B73D7E" w:rsidRDefault="00FB456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r>
        <w:rPr>
          <w:rFonts w:ascii="Times New Roman" w:hAnsi="Times New Roman"/>
          <w:sz w:val="18"/>
          <w:szCs w:val="18"/>
        </w:rPr>
        <w:t xml:space="preserve">Национална стратегия за намаляване на риска от бедствия 2018-2030 </w:t>
      </w:r>
      <w:r w:rsidRPr="00FB4561">
        <w:rPr>
          <w:rFonts w:ascii="Times New Roman" w:hAnsi="Times New Roman"/>
          <w:sz w:val="18"/>
          <w:szCs w:val="18"/>
        </w:rPr>
        <w:t>http://www.saveti.government.bg/c/document_library/get_file?p_l_id=104762&amp;folderId=1041035&amp;name=DLFE-8278.pdf</w:t>
      </w:r>
      <w:r>
        <w:rPr>
          <w:rFonts w:ascii="Times New Roman" w:hAnsi="Times New Roman"/>
          <w:sz w:val="18"/>
          <w:szCs w:val="18"/>
        </w:rPr>
        <w:t xml:space="preserve"> </w:t>
      </w:r>
    </w:p>
  </w:footnote>
  <w:footnote w:id="102">
    <w:p w:rsidR="00FB4561" w:rsidRPr="00B73D7E" w:rsidRDefault="00FB456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Национална програма за защита при бедствия 2014–2020 г., </w:t>
      </w:r>
      <w:bookmarkStart w:id="237" w:name="_Hlk522014957"/>
      <w:r w:rsidRPr="00F8728A">
        <w:rPr>
          <w:rFonts w:ascii="Times New Roman" w:hAnsi="Times New Roman"/>
          <w:sz w:val="18"/>
          <w:szCs w:val="18"/>
        </w:rPr>
        <w:t>https://www.mvr.bg/docs/default-source/strategicheskidokumenti/A1E90D5E-08_Nac_Prog_ZB-pdf.pdf</w:t>
      </w:r>
      <w:bookmarkEnd w:id="237"/>
    </w:p>
  </w:footnote>
  <w:footnote w:id="103">
    <w:p w:rsidR="00FB4561" w:rsidRPr="00B73D7E" w:rsidRDefault="00FB456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http://www.moew.government.bg/bg/nacionalna-strategiya-za-upravlenie-i-razvitie-na-vodniya-sektor-v-republika-bulgariya/</w:t>
      </w:r>
    </w:p>
  </w:footnote>
  <w:footnote w:id="104">
    <w:p w:rsidR="00FB4561" w:rsidRPr="00B73D7E" w:rsidRDefault="00FB456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r w:rsidRPr="00F8728A">
        <w:rPr>
          <w:rFonts w:ascii="Times New Roman" w:hAnsi="Times New Roman"/>
          <w:sz w:val="18"/>
          <w:szCs w:val="18"/>
          <w:u w:val="single"/>
        </w:rPr>
        <w:t>http://earbd.org/indexdetails.php?menu_id=609</w:t>
      </w:r>
    </w:p>
  </w:footnote>
  <w:footnote w:id="105">
    <w:p w:rsidR="00FB4561" w:rsidRPr="00B73D7E" w:rsidRDefault="00FB456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r w:rsidRPr="00F8728A">
        <w:rPr>
          <w:rFonts w:ascii="Times New Roman" w:hAnsi="Times New Roman"/>
          <w:sz w:val="18"/>
          <w:szCs w:val="18"/>
          <w:u w:val="single"/>
        </w:rPr>
        <w:t>http://earbd.org/indexdetails.php?menu_id=609</w:t>
      </w:r>
    </w:p>
  </w:footnote>
  <w:footnote w:id="106">
    <w:p w:rsidR="00FB4561" w:rsidRPr="00B73D7E" w:rsidRDefault="00FB456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r w:rsidRPr="00F8728A">
        <w:rPr>
          <w:rFonts w:ascii="Times New Roman" w:hAnsi="Times New Roman"/>
          <w:sz w:val="18"/>
          <w:szCs w:val="18"/>
          <w:u w:val="single"/>
        </w:rPr>
        <w:t>https://www.bsbd.org/bg/page_purn_bsbd.html</w:t>
      </w:r>
    </w:p>
  </w:footnote>
  <w:footnote w:id="107">
    <w:p w:rsidR="00FB4561" w:rsidRPr="00B73D7E" w:rsidRDefault="00FB456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bookmarkStart w:id="238" w:name="_Hlk508193927"/>
      <w:r w:rsidRPr="00F8728A">
        <w:rPr>
          <w:rFonts w:ascii="Times New Roman" w:hAnsi="Times New Roman"/>
          <w:sz w:val="18"/>
          <w:szCs w:val="18"/>
          <w:u w:val="single"/>
        </w:rPr>
        <w:t>https://www.mlsp.government.bg/index.php?section=POLICIES&amp;lang=_eng&amp;P=279</w:t>
      </w:r>
      <w:bookmarkEnd w:id="238"/>
    </w:p>
  </w:footnote>
  <w:footnote w:id="108">
    <w:p w:rsidR="00FB4561" w:rsidRPr="00B73D7E" w:rsidRDefault="00FB456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r w:rsidRPr="00F8728A">
        <w:rPr>
          <w:rFonts w:ascii="Times New Roman" w:hAnsi="Times New Roman"/>
          <w:sz w:val="18"/>
          <w:szCs w:val="18"/>
          <w:lang w:val="en-CA"/>
        </w:rPr>
        <w:t>http</w:t>
      </w:r>
      <w:r w:rsidRPr="00F8728A">
        <w:rPr>
          <w:rFonts w:ascii="Times New Roman" w:hAnsi="Times New Roman"/>
          <w:sz w:val="18"/>
          <w:szCs w:val="18"/>
        </w:rPr>
        <w:t>://</w:t>
      </w:r>
      <w:r w:rsidRPr="00F8728A">
        <w:rPr>
          <w:rFonts w:ascii="Times New Roman" w:hAnsi="Times New Roman"/>
          <w:sz w:val="18"/>
          <w:szCs w:val="18"/>
          <w:shd w:val="clear" w:color="auto" w:fill="FFFFFF"/>
        </w:rPr>
        <w:t>www.mrrb.government.bg/docs/310bfbe48ed5017ab7b4e386b01ca437.doc</w:t>
      </w:r>
    </w:p>
  </w:footnote>
  <w:footnote w:id="109">
    <w:p w:rsidR="00FB4561" w:rsidRPr="00B73D7E" w:rsidRDefault="00FB456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http://www.bgregio.eu/media/Programirane/NKPR_28012013_Last_en.pdf</w:t>
      </w:r>
    </w:p>
  </w:footnote>
  <w:footnote w:id="110">
    <w:p w:rsidR="00FB4561" w:rsidRPr="00B73D7E" w:rsidRDefault="00FB456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http://www.mrrb.government.bg/bg/normativni-aktove/obsti-ustrojstveni-planove/</w:t>
      </w:r>
    </w:p>
  </w:footnote>
  <w:footnote w:id="111">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Приет през 2014 г., последни изменения ДВ</w:t>
      </w:r>
      <w:r w:rsidRPr="00F8728A">
        <w:rPr>
          <w:rFonts w:ascii="Times New Roman" w:hAnsi="Times New Roman"/>
          <w:sz w:val="18"/>
          <w:szCs w:val="18"/>
          <w:lang w:val="ru-RU"/>
        </w:rPr>
        <w:t xml:space="preserve"> 85</w:t>
      </w:r>
      <w:r w:rsidRPr="00F8728A">
        <w:rPr>
          <w:rFonts w:ascii="Times New Roman" w:hAnsi="Times New Roman"/>
          <w:sz w:val="18"/>
          <w:szCs w:val="18"/>
        </w:rPr>
        <w:t>/24.10.2017</w:t>
      </w:r>
    </w:p>
  </w:footnote>
  <w:footnote w:id="112">
    <w:p w:rsidR="00FB4561" w:rsidRPr="00B73D7E" w:rsidRDefault="00FB4561" w:rsidP="001E6121">
      <w:pPr>
        <w:spacing w:after="0"/>
        <w:rPr>
          <w:rFonts w:ascii="Times New Roman" w:hAnsi="Times New Roman"/>
          <w:sz w:val="18"/>
          <w:szCs w:val="18"/>
        </w:rPr>
      </w:pPr>
      <w:r w:rsidRPr="00B73D7E">
        <w:rPr>
          <w:rStyle w:val="FootnoteReference"/>
          <w:rFonts w:ascii="Times New Roman" w:hAnsi="Times New Roman"/>
          <w:sz w:val="18"/>
          <w:szCs w:val="18"/>
        </w:rPr>
        <w:footnoteRef/>
      </w:r>
      <w:r w:rsidRPr="00F8728A">
        <w:rPr>
          <w:rFonts w:ascii="Times New Roman" w:hAnsi="Times New Roman"/>
          <w:sz w:val="18"/>
          <w:szCs w:val="18"/>
        </w:rPr>
        <w:t xml:space="preserve"> </w:t>
      </w:r>
      <w:r w:rsidRPr="00F8728A">
        <w:rPr>
          <w:rFonts w:ascii="Times New Roman" w:hAnsi="Times New Roman"/>
          <w:sz w:val="18"/>
          <w:szCs w:val="18"/>
          <w:lang w:eastAsia="x-none"/>
        </w:rPr>
        <w:t xml:space="preserve">Приет през </w:t>
      </w:r>
      <w:r w:rsidRPr="00F8728A">
        <w:rPr>
          <w:rFonts w:ascii="Times New Roman" w:hAnsi="Times New Roman"/>
          <w:sz w:val="18"/>
          <w:szCs w:val="18"/>
        </w:rPr>
        <w:t xml:space="preserve">2006 г., </w:t>
      </w:r>
      <w:r w:rsidRPr="00F8728A">
        <w:rPr>
          <w:rFonts w:ascii="Times New Roman" w:hAnsi="Times New Roman"/>
          <w:sz w:val="18"/>
          <w:szCs w:val="18"/>
          <w:lang w:eastAsia="x-none"/>
        </w:rPr>
        <w:t>последни изменения ДВ</w:t>
      </w:r>
      <w:r w:rsidRPr="00F8728A">
        <w:rPr>
          <w:rFonts w:ascii="Times New Roman" w:hAnsi="Times New Roman"/>
          <w:sz w:val="18"/>
          <w:szCs w:val="18"/>
          <w:lang w:val="ru-RU" w:eastAsia="x-none"/>
        </w:rPr>
        <w:t xml:space="preserve"> </w:t>
      </w:r>
      <w:r w:rsidRPr="00F8728A">
        <w:rPr>
          <w:rFonts w:ascii="Times New Roman" w:hAnsi="Times New Roman"/>
          <w:sz w:val="18"/>
          <w:szCs w:val="18"/>
        </w:rPr>
        <w:t>13/07.02.2017</w:t>
      </w:r>
    </w:p>
  </w:footnote>
  <w:footnote w:id="113">
    <w:p w:rsidR="00FB4561" w:rsidRPr="00B73D7E" w:rsidRDefault="00FB4561" w:rsidP="001E6121">
      <w:pPr>
        <w:spacing w:after="0"/>
        <w:rPr>
          <w:rFonts w:ascii="Times New Roman" w:hAnsi="Times New Roman"/>
          <w:sz w:val="18"/>
          <w:szCs w:val="18"/>
        </w:rPr>
      </w:pPr>
      <w:r w:rsidRPr="00B73D7E">
        <w:rPr>
          <w:rStyle w:val="FootnoteReference"/>
          <w:rFonts w:ascii="Times New Roman" w:hAnsi="Times New Roman"/>
          <w:sz w:val="18"/>
          <w:szCs w:val="18"/>
        </w:rPr>
        <w:footnoteRef/>
      </w:r>
      <w:r w:rsidRPr="00F8728A">
        <w:rPr>
          <w:rFonts w:ascii="Times New Roman" w:hAnsi="Times New Roman"/>
          <w:sz w:val="18"/>
          <w:szCs w:val="18"/>
        </w:rPr>
        <w:t xml:space="preserve"> </w:t>
      </w:r>
      <w:r w:rsidRPr="00F8728A">
        <w:rPr>
          <w:rFonts w:ascii="Times New Roman" w:hAnsi="Times New Roman"/>
          <w:sz w:val="18"/>
          <w:szCs w:val="18"/>
          <w:lang w:eastAsia="x-none"/>
        </w:rPr>
        <w:t xml:space="preserve">Приет през </w:t>
      </w:r>
      <w:r w:rsidRPr="00F8728A">
        <w:rPr>
          <w:rFonts w:ascii="Times New Roman" w:hAnsi="Times New Roman"/>
          <w:sz w:val="18"/>
          <w:szCs w:val="18"/>
        </w:rPr>
        <w:t>2001 г.,</w:t>
      </w:r>
      <w:r w:rsidRPr="00F8728A">
        <w:rPr>
          <w:rFonts w:ascii="Times New Roman" w:hAnsi="Times New Roman"/>
          <w:sz w:val="18"/>
          <w:szCs w:val="18"/>
          <w:lang w:eastAsia="x-none"/>
        </w:rPr>
        <w:t xml:space="preserve"> последни изменения ДВ</w:t>
      </w:r>
      <w:r w:rsidRPr="00F8728A">
        <w:rPr>
          <w:rFonts w:ascii="Times New Roman" w:hAnsi="Times New Roman"/>
          <w:sz w:val="18"/>
          <w:szCs w:val="18"/>
        </w:rPr>
        <w:t xml:space="preserve"> 103/27.12.2016</w:t>
      </w:r>
    </w:p>
  </w:footnote>
  <w:footnote w:id="114">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hyperlink r:id="rId58" w:history="1">
        <w:r w:rsidRPr="00F8728A">
          <w:rPr>
            <w:rStyle w:val="Hyperlink"/>
            <w:rFonts w:ascii="Times New Roman" w:hAnsi="Times New Roman"/>
            <w:color w:val="auto"/>
            <w:sz w:val="18"/>
            <w:szCs w:val="18"/>
          </w:rPr>
          <w:t>http://www.namrb.org/international-cooperation-and-eu</w:t>
        </w:r>
      </w:hyperlink>
    </w:p>
  </w:footnote>
  <w:footnote w:id="115">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hyperlink r:id="rId59" w:history="1">
        <w:r w:rsidRPr="00F8728A">
          <w:rPr>
            <w:rStyle w:val="Hyperlink"/>
            <w:rFonts w:ascii="Times New Roman" w:hAnsi="Times New Roman"/>
            <w:color w:val="auto"/>
            <w:sz w:val="18"/>
            <w:szCs w:val="18"/>
            <w:lang w:val="en-CA"/>
          </w:rPr>
          <w:t>http</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www</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bsnn</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org</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projects</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html</w:t>
        </w:r>
      </w:hyperlink>
    </w:p>
  </w:footnote>
  <w:footnote w:id="116">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hyperlink r:id="rId60" w:history="1">
        <w:r w:rsidRPr="00F8728A">
          <w:rPr>
            <w:rStyle w:val="Hyperlink"/>
            <w:rFonts w:ascii="Times New Roman" w:hAnsi="Times New Roman"/>
            <w:color w:val="auto"/>
            <w:sz w:val="18"/>
            <w:szCs w:val="18"/>
          </w:rPr>
          <w:t>http://www.eneffect.bg/</w:t>
        </w:r>
      </w:hyperlink>
    </w:p>
  </w:footnote>
  <w:footnote w:id="117">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hyperlink r:id="rId61" w:history="1">
        <w:r w:rsidRPr="00F8728A">
          <w:rPr>
            <w:rStyle w:val="Hyperlink"/>
            <w:rFonts w:ascii="Times New Roman" w:hAnsi="Times New Roman"/>
            <w:color w:val="auto"/>
            <w:sz w:val="18"/>
            <w:szCs w:val="18"/>
          </w:rPr>
          <w:t>http://www.asde-bg.org/index_en.php</w:t>
        </w:r>
      </w:hyperlink>
    </w:p>
  </w:footnote>
  <w:footnote w:id="118">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hyperlink r:id="rId62" w:history="1">
        <w:r w:rsidRPr="00F8728A">
          <w:rPr>
            <w:rStyle w:val="Hyperlink"/>
            <w:rFonts w:ascii="Times New Roman" w:hAnsi="Times New Roman"/>
            <w:color w:val="auto"/>
            <w:sz w:val="18"/>
            <w:szCs w:val="18"/>
          </w:rPr>
          <w:t>http://www.bgbc.bg/en/</w:t>
        </w:r>
      </w:hyperlink>
    </w:p>
  </w:footnote>
  <w:footnote w:id="119">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hyperlink r:id="rId63" w:history="1">
        <w:r w:rsidRPr="00F8728A">
          <w:rPr>
            <w:rStyle w:val="Hyperlink"/>
            <w:rFonts w:ascii="Times New Roman" w:hAnsi="Times New Roman"/>
            <w:color w:val="auto"/>
            <w:sz w:val="18"/>
            <w:szCs w:val="18"/>
          </w:rPr>
          <w:t>http://sofena.com/en/about-us/</w:t>
        </w:r>
      </w:hyperlink>
    </w:p>
  </w:footnote>
  <w:footnote w:id="120">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 xml:space="preserve">Портал на НПО в България </w:t>
      </w:r>
      <w:hyperlink r:id="rId64" w:history="1">
        <w:r w:rsidRPr="00F8728A">
          <w:rPr>
            <w:rStyle w:val="Hyperlink"/>
            <w:rFonts w:ascii="Times New Roman" w:hAnsi="Times New Roman"/>
            <w:color w:val="auto"/>
            <w:sz w:val="18"/>
            <w:szCs w:val="18"/>
          </w:rPr>
          <w:t>http://www.ngobg.info/en/index.html</w:t>
        </w:r>
      </w:hyperlink>
    </w:p>
  </w:footnote>
  <w:footnote w:id="121">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ECTP-CEU </w:t>
      </w:r>
      <w:hyperlink r:id="rId65" w:history="1">
        <w:r w:rsidRPr="00F8728A">
          <w:rPr>
            <w:rStyle w:val="Hyperlink"/>
            <w:rFonts w:ascii="Times New Roman" w:hAnsi="Times New Roman"/>
            <w:color w:val="auto"/>
            <w:sz w:val="18"/>
            <w:szCs w:val="18"/>
          </w:rPr>
          <w:t>http://www.ectp-ceu.eu/index.php/en/about-us-2/founding-charter</w:t>
        </w:r>
      </w:hyperlink>
    </w:p>
  </w:footnote>
  <w:footnote w:id="122">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hyperlink r:id="rId66" w:history="1">
        <w:r w:rsidRPr="00F8728A">
          <w:rPr>
            <w:rStyle w:val="Hyperlink"/>
            <w:rFonts w:ascii="Times New Roman" w:hAnsi="Times New Roman"/>
            <w:color w:val="auto"/>
            <w:sz w:val="18"/>
            <w:szCs w:val="18"/>
          </w:rPr>
          <w:t>ACE http://www.ace-cae.eu/39/</w:t>
        </w:r>
      </w:hyperlink>
    </w:p>
  </w:footnote>
  <w:footnote w:id="123">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ISoCaRP </w:t>
      </w:r>
      <w:hyperlink r:id="rId67" w:history="1">
        <w:r w:rsidRPr="00F8728A">
          <w:rPr>
            <w:rStyle w:val="Hyperlink"/>
            <w:rFonts w:ascii="Times New Roman" w:hAnsi="Times New Roman"/>
            <w:color w:val="auto"/>
            <w:sz w:val="18"/>
            <w:szCs w:val="18"/>
          </w:rPr>
          <w:t>https://isocarp.org/about-isocarp/</w:t>
        </w:r>
      </w:hyperlink>
    </w:p>
  </w:footnote>
  <w:footnote w:id="124">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МСА </w:t>
      </w:r>
      <w:hyperlink r:id="rId68" w:anchor=".WPxjf_mGPIU" w:history="1">
        <w:r w:rsidRPr="00F8728A">
          <w:rPr>
            <w:rStyle w:val="Hyperlink"/>
            <w:rFonts w:ascii="Times New Roman" w:hAnsi="Times New Roman"/>
            <w:color w:val="auto"/>
            <w:sz w:val="18"/>
            <w:szCs w:val="18"/>
          </w:rPr>
          <w:t>http://www.uia-architectes.org/en/exercer/nouvelles/10285#.WPxjf_mGPIU</w:t>
        </w:r>
      </w:hyperlink>
    </w:p>
  </w:footnote>
  <w:footnote w:id="125">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IFLA Europe </w:t>
      </w:r>
      <w:hyperlink r:id="rId69" w:history="1">
        <w:r w:rsidRPr="00F8728A">
          <w:rPr>
            <w:rStyle w:val="Hyperlink"/>
            <w:rFonts w:ascii="Times New Roman" w:hAnsi="Times New Roman"/>
            <w:color w:val="auto"/>
            <w:sz w:val="18"/>
            <w:szCs w:val="18"/>
          </w:rPr>
          <w:t>http://iflaeurope.eu/?s=Climate+change</w:t>
        </w:r>
      </w:hyperlink>
      <w:r w:rsidRPr="00F8728A">
        <w:rPr>
          <w:rFonts w:ascii="Times New Roman" w:hAnsi="Times New Roman"/>
          <w:sz w:val="18"/>
          <w:szCs w:val="18"/>
        </w:rPr>
        <w:t>+</w:t>
      </w:r>
    </w:p>
  </w:footnote>
  <w:footnote w:id="126">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TCPA </w:t>
      </w:r>
      <w:hyperlink r:id="rId70" w:history="1">
        <w:r w:rsidRPr="00F8728A">
          <w:rPr>
            <w:rStyle w:val="Hyperlink"/>
            <w:rFonts w:ascii="Times New Roman" w:hAnsi="Times New Roman"/>
            <w:color w:val="auto"/>
            <w:sz w:val="18"/>
            <w:szCs w:val="18"/>
          </w:rPr>
          <w:t>https://www.tcpa.org.uk/</w:t>
        </w:r>
      </w:hyperlink>
    </w:p>
  </w:footnote>
  <w:footnote w:id="127">
    <w:p w:rsidR="00FB4561" w:rsidRPr="00B73D7E" w:rsidRDefault="00FB4561" w:rsidP="001E6121">
      <w:pPr>
        <w:spacing w:after="0"/>
        <w:rPr>
          <w:rFonts w:ascii="Times New Roman" w:hAnsi="Times New Roman"/>
          <w:sz w:val="18"/>
          <w:szCs w:val="18"/>
        </w:rPr>
      </w:pPr>
      <w:r w:rsidRPr="00B73D7E">
        <w:rPr>
          <w:rStyle w:val="FootnoteReference"/>
          <w:rFonts w:ascii="Times New Roman" w:hAnsi="Times New Roman"/>
          <w:sz w:val="18"/>
          <w:szCs w:val="18"/>
        </w:rPr>
        <w:footnoteRef/>
      </w:r>
      <w:r w:rsidRPr="00F8728A">
        <w:rPr>
          <w:rFonts w:ascii="Times New Roman" w:hAnsi="Times New Roman"/>
          <w:sz w:val="18"/>
          <w:szCs w:val="18"/>
          <w:lang w:val="ru-RU"/>
        </w:rPr>
        <w:t xml:space="preserve"> AESOP </w:t>
      </w:r>
      <w:hyperlink r:id="rId71" w:history="1">
        <w:r w:rsidRPr="00F8728A">
          <w:rPr>
            <w:rStyle w:val="Hyperlink"/>
            <w:rFonts w:ascii="Times New Roman" w:hAnsi="Times New Roman"/>
            <w:color w:val="auto"/>
            <w:sz w:val="18"/>
            <w:szCs w:val="18"/>
          </w:rPr>
          <w:t>https://aesopyoungacademics.wordpress.com/tag/climate-change/</w:t>
        </w:r>
      </w:hyperlink>
    </w:p>
  </w:footnote>
  <w:footnote w:id="128">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EAAE </w:t>
      </w:r>
      <w:hyperlink r:id="rId72" w:history="1">
        <w:r w:rsidRPr="00F8728A">
          <w:rPr>
            <w:rStyle w:val="Hyperlink"/>
            <w:rFonts w:ascii="Times New Roman" w:hAnsi="Times New Roman"/>
            <w:color w:val="auto"/>
            <w:sz w:val="18"/>
            <w:szCs w:val="18"/>
          </w:rPr>
          <w:t>http://www.eaae.be/historical-archive/eaae-prize/</w:t>
        </w:r>
      </w:hyperlink>
    </w:p>
  </w:footnote>
  <w:footnote w:id="129">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ECLAS </w:t>
      </w:r>
      <w:hyperlink r:id="rId73" w:history="1">
        <w:r w:rsidRPr="00F8728A">
          <w:rPr>
            <w:rStyle w:val="Hyperlink"/>
            <w:rFonts w:ascii="Times New Roman" w:hAnsi="Times New Roman"/>
            <w:color w:val="auto"/>
            <w:sz w:val="18"/>
            <w:szCs w:val="18"/>
          </w:rPr>
          <w:t>http://www.eclas.org/</w:t>
        </w:r>
      </w:hyperlink>
    </w:p>
  </w:footnote>
  <w:footnote w:id="130">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hyperlink r:id="rId74" w:history="1">
        <w:r w:rsidRPr="00F8728A">
          <w:rPr>
            <w:rStyle w:val="Hyperlink"/>
            <w:rFonts w:ascii="Times New Roman" w:hAnsi="Times New Roman"/>
            <w:color w:val="auto"/>
            <w:sz w:val="18"/>
            <w:szCs w:val="18"/>
          </w:rPr>
          <w:t>http://www.strategy.bg/StrategicDocuments/View.aspx?lang=bg-BG&amp;Id=760</w:t>
        </w:r>
      </w:hyperlink>
    </w:p>
  </w:footnote>
  <w:footnote w:id="131">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hyperlink r:id="rId75" w:history="1">
        <w:r w:rsidRPr="00F8728A">
          <w:rPr>
            <w:rStyle w:val="Hyperlink"/>
            <w:rFonts w:ascii="Times New Roman" w:hAnsi="Times New Roman"/>
            <w:color w:val="auto"/>
            <w:sz w:val="18"/>
            <w:szCs w:val="18"/>
          </w:rPr>
          <w:t>http://www.strategy.bg/StrategicDocuments/View.aspx?lang=bg-BG&amp;Id=899</w:t>
        </w:r>
      </w:hyperlink>
    </w:p>
  </w:footnote>
  <w:footnote w:id="132">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hyperlink r:id="rId76" w:history="1">
        <w:r w:rsidRPr="00F8728A">
          <w:rPr>
            <w:rStyle w:val="Hyperlink"/>
            <w:rFonts w:ascii="Times New Roman" w:hAnsi="Times New Roman"/>
            <w:color w:val="auto"/>
            <w:sz w:val="18"/>
            <w:szCs w:val="18"/>
          </w:rPr>
          <w:t>https://www.researchgate.net/publication/237259668_MyCOAST_Transferring_the_integrated_area_approach_to_Bulgaria</w:t>
        </w:r>
      </w:hyperlink>
      <w:r w:rsidRPr="00F8728A">
        <w:rPr>
          <w:rFonts w:ascii="Times New Roman" w:hAnsi="Times New Roman"/>
          <w:sz w:val="18"/>
          <w:szCs w:val="18"/>
        </w:rPr>
        <w:t xml:space="preserve"> </w:t>
      </w:r>
    </w:p>
  </w:footnote>
  <w:footnote w:id="133">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Договор EASME/EMFF/2014/1.2.1.5/2/SI2.707672 MSP LOT 1 /BLACK SEA/MARSPLAN-BS), проектът е финансиран от ЕК чрез Европейски фонд за морско дело и рибарство (EMFF)</w:t>
      </w:r>
    </w:p>
  </w:footnote>
  <w:footnote w:id="134">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Директива 2014/89/EU на Европейския парламент и Съвета от 23.07.2014 за рамка за морско пространствено планиране</w:t>
      </w:r>
    </w:p>
  </w:footnote>
  <w:footnote w:id="135">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B73D7E">
        <w:rPr>
          <w:rFonts w:ascii="Times New Roman" w:hAnsi="Times New Roman"/>
          <w:sz w:val="18"/>
          <w:szCs w:val="18"/>
        </w:rPr>
        <w:t xml:space="preserve"> </w:t>
      </w:r>
      <w:hyperlink r:id="rId77" w:history="1">
        <w:r w:rsidRPr="00F8728A">
          <w:rPr>
            <w:rStyle w:val="Hyperlink"/>
            <w:rFonts w:ascii="Times New Roman" w:hAnsi="Times New Roman"/>
            <w:color w:val="auto"/>
            <w:sz w:val="18"/>
            <w:szCs w:val="18"/>
          </w:rPr>
          <w:t>http://www.eib.org/projects/pipelines/pipeline/20160039</w:t>
        </w:r>
      </w:hyperlink>
    </w:p>
  </w:footnote>
  <w:footnote w:id="136">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B73D7E">
        <w:rPr>
          <w:rFonts w:ascii="Times New Roman" w:hAnsi="Times New Roman"/>
          <w:sz w:val="18"/>
          <w:szCs w:val="18"/>
        </w:rPr>
        <w:t xml:space="preserve"> </w:t>
      </w:r>
      <w:hyperlink r:id="rId78" w:history="1">
        <w:r w:rsidRPr="00F8728A">
          <w:rPr>
            <w:rStyle w:val="Hyperlink"/>
            <w:rFonts w:ascii="Times New Roman" w:hAnsi="Times New Roman"/>
            <w:color w:val="auto"/>
            <w:sz w:val="18"/>
            <w:szCs w:val="18"/>
          </w:rPr>
          <w:t>http://ec.europa.eu/environment/iczm/prop_iczm.htm</w:t>
        </w:r>
      </w:hyperlink>
    </w:p>
  </w:footnote>
  <w:footnote w:id="137">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B73D7E">
        <w:rPr>
          <w:rFonts w:ascii="Times New Roman" w:hAnsi="Times New Roman"/>
          <w:sz w:val="18"/>
          <w:szCs w:val="18"/>
          <w:lang w:val="en-US"/>
        </w:rPr>
        <w:t xml:space="preserve"> </w:t>
      </w:r>
      <w:hyperlink r:id="rId79" w:history="1">
        <w:r w:rsidRPr="00F8728A">
          <w:rPr>
            <w:rStyle w:val="Hyperlink"/>
            <w:rFonts w:ascii="Times New Roman" w:hAnsi="Times New Roman"/>
            <w:color w:val="auto"/>
            <w:sz w:val="18"/>
            <w:szCs w:val="18"/>
          </w:rPr>
          <w:t>http://www.nspbzn.mvr.bg/NR/rdonlyres/DA55BDC6-488B-4223-A81E-7BBE41A548D1/0/DRR_Strategy.pdf</w:t>
        </w:r>
      </w:hyperlink>
    </w:p>
  </w:footnote>
  <w:footnote w:id="138">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Националната програма за защита при бедствия 2014–2018 на адрес https://www.mvr.bg/docs/default-source/strategicheskidokumenti/A1E90D5E-08_Nac_Prog_ZB-pdf.pdf</w:t>
      </w:r>
    </w:p>
  </w:footnote>
  <w:footnote w:id="139">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hyperlink r:id="rId80" w:history="1">
        <w:r w:rsidRPr="00F8728A">
          <w:rPr>
            <w:rStyle w:val="Hyperlink"/>
            <w:rFonts w:ascii="Times New Roman" w:hAnsi="Times New Roman"/>
            <w:color w:val="auto"/>
            <w:sz w:val="18"/>
            <w:szCs w:val="18"/>
          </w:rPr>
          <w:t>http://www.mrrb.government.bg/nacionalna-programa-za-prevenciya-i-ogranichavane-na-svlachistata-na-teritoriyata-na-republika-bulgariya-eroziyata-i-abraziyata-po-dunavskoto-i-chernomorskoto-krajbrejie-2015-2020-g-i-dopulnenie-kum-neya-s-novovuzniknali-77199/</w:t>
        </w:r>
      </w:hyperlink>
    </w:p>
  </w:footnote>
  <w:footnote w:id="140">
    <w:p w:rsidR="00FB4561" w:rsidRPr="00B73D7E" w:rsidRDefault="00FB4561" w:rsidP="0043326D">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r w:rsidRPr="00F8728A">
        <w:rPr>
          <w:rFonts w:ascii="Times New Roman" w:hAnsi="Times New Roman"/>
          <w:sz w:val="18"/>
          <w:szCs w:val="18"/>
          <w:u w:val="single"/>
        </w:rPr>
        <w:t>https://www.eufunds.bg/archive/documents/1364214990.pdf</w:t>
      </w:r>
    </w:p>
  </w:footnote>
  <w:footnote w:id="141">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Приет през 1998 г., последно изменение ДВ 85/24.10.2017 г. </w:t>
      </w:r>
    </w:p>
  </w:footnote>
  <w:footnote w:id="142">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Изследване проведено от Агенцията по околната среда на Австрия (UBA‐V), в сътрудничество с Потсдамския институт за изследване на влиянието на климата (PIK) и Германската агенция по околната среда (UBA‐D) в Европейския тематичен център по промените на въздуха и климата (ETC/ACC)</w:t>
      </w:r>
    </w:p>
  </w:footnote>
  <w:footnote w:id="143">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hyperlink r:id="rId81" w:history="1">
        <w:r w:rsidRPr="00F8728A">
          <w:rPr>
            <w:rStyle w:val="Hyperlink"/>
            <w:rFonts w:ascii="Times New Roman" w:hAnsi="Times New Roman"/>
            <w:color w:val="auto"/>
            <w:sz w:val="18"/>
            <w:szCs w:val="18"/>
          </w:rPr>
          <w:t>http://acm.eionet.europa.eu/docs/ETCACC_TP_2010_6_guiding_principles_cc_adaptation.pdf</w:t>
        </w:r>
      </w:hyperlink>
    </w:p>
  </w:footnote>
  <w:footnote w:id="144">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hyperlink r:id="rId82" w:history="1">
        <w:r w:rsidRPr="00F8728A">
          <w:rPr>
            <w:rStyle w:val="Hyperlink"/>
            <w:rFonts w:ascii="Times New Roman" w:hAnsi="Times New Roman"/>
            <w:color w:val="auto"/>
            <w:sz w:val="18"/>
            <w:szCs w:val="18"/>
          </w:rPr>
          <w:t>https://www.bmlfuw.gv.at/umwelt/klimaschutz/klimapolitik_national/anpassungsstrategie/strategie-kontext.html</w:t>
        </w:r>
      </w:hyperlink>
    </w:p>
  </w:footnote>
  <w:footnote w:id="145">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UK Climate Impacts Programme (UK-CIP) Identifying Adaptation options, 2013 </w:t>
      </w:r>
      <w:hyperlink r:id="rId83" w:history="1">
        <w:r w:rsidRPr="00F8728A">
          <w:rPr>
            <w:rStyle w:val="Hyperlink"/>
            <w:rFonts w:ascii="Times New Roman" w:hAnsi="Times New Roman"/>
            <w:color w:val="auto"/>
            <w:sz w:val="18"/>
            <w:szCs w:val="18"/>
          </w:rPr>
          <w:t>http://www.ukcip.org.uk/wp-content/PDFs/ID_Adapt_options.pdf</w:t>
        </w:r>
      </w:hyperlink>
      <w:r w:rsidRPr="00F8728A">
        <w:rPr>
          <w:rFonts w:ascii="Times New Roman" w:hAnsi="Times New Roman"/>
          <w:sz w:val="18"/>
          <w:szCs w:val="18"/>
        </w:rPr>
        <w:t xml:space="preserve"> Вж. също </w:t>
      </w:r>
      <w:hyperlink r:id="rId84" w:history="1">
        <w:r w:rsidRPr="00F8728A">
          <w:rPr>
            <w:rStyle w:val="Hyperlink"/>
            <w:rFonts w:ascii="Times New Roman" w:hAnsi="Times New Roman"/>
            <w:color w:val="auto"/>
            <w:sz w:val="18"/>
            <w:szCs w:val="18"/>
          </w:rPr>
          <w:t>https://www.gov.uk/government/uploads/system/uploads/attachment_data/file/209866/pb13942-nap-20130701.pdf</w:t>
        </w:r>
      </w:hyperlink>
    </w:p>
  </w:footnote>
  <w:footnote w:id="146">
    <w:p w:rsidR="00FB4561" w:rsidRPr="00B73D7E" w:rsidRDefault="00FB4561" w:rsidP="00FC2D66">
      <w:pPr>
        <w:pStyle w:val="FootnoteText"/>
        <w:jc w:val="both"/>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Работен документ за персонала на Европейската комисия: Насоки за разработване на стратегии за адаптация: Придружава документи, изпратени от Комисията до Европейския парламент, Съвета, Европейския икономически и социален комитет и Комитета на регионите:Стратегия на ЕС за адаптацията към климатичните промени: </w:t>
      </w:r>
      <w:hyperlink r:id="rId85" w:history="1">
        <w:r w:rsidRPr="00F8728A">
          <w:rPr>
            <w:rStyle w:val="Hyperlink"/>
            <w:rFonts w:ascii="Times New Roman" w:hAnsi="Times New Roman"/>
            <w:color w:val="auto"/>
            <w:sz w:val="18"/>
            <w:szCs w:val="18"/>
          </w:rPr>
          <w:t>http://eur-lex.europa.eu/legal-content/EN/TXT/?uri=CELEX процента3A52013SC0134</w:t>
        </w:r>
      </w:hyperlink>
    </w:p>
  </w:footnote>
  <w:footnote w:id="147">
    <w:p w:rsidR="00FB4561" w:rsidRPr="00B73D7E" w:rsidRDefault="00FB4561" w:rsidP="001E6121">
      <w:pPr>
        <w:autoSpaceDE w:val="0"/>
        <w:autoSpaceDN w:val="0"/>
        <w:adjustRightInd w:val="0"/>
        <w:spacing w:after="0"/>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Виж също </w:t>
      </w:r>
      <w:hyperlink r:id="rId86" w:history="1">
        <w:r w:rsidRPr="00F8728A">
          <w:rPr>
            <w:rStyle w:val="Hyperlink"/>
            <w:rFonts w:ascii="Times New Roman" w:hAnsi="Times New Roman"/>
            <w:color w:val="auto"/>
            <w:sz w:val="18"/>
            <w:szCs w:val="18"/>
          </w:rPr>
          <w:t>http://climate-adapt.eea.europa.eu/adaptation-support-tool/step</w:t>
        </w:r>
      </w:hyperlink>
    </w:p>
  </w:footnote>
  <w:footnote w:id="148">
    <w:p w:rsidR="00FB4561" w:rsidRPr="00F8728A" w:rsidRDefault="00FB4561" w:rsidP="00867098">
      <w:pPr>
        <w:pStyle w:val="FootnoteText"/>
        <w:jc w:val="both"/>
        <w:rPr>
          <w:rFonts w:ascii="Times New Roman" w:hAnsi="Times New Roman"/>
          <w:sz w:val="18"/>
          <w:szCs w:val="18"/>
        </w:rPr>
      </w:pPr>
      <w:r w:rsidRPr="00F8728A">
        <w:rPr>
          <w:rStyle w:val="FootnoteReference"/>
          <w:rFonts w:ascii="Times New Roman" w:hAnsi="Times New Roman"/>
          <w:sz w:val="18"/>
          <w:szCs w:val="18"/>
          <w:lang w:val="en-US"/>
        </w:rPr>
        <w:footnoteRef/>
      </w:r>
      <w:r w:rsidRPr="00F8728A">
        <w:rPr>
          <w:rFonts w:ascii="Times New Roman" w:hAnsi="Times New Roman"/>
          <w:sz w:val="18"/>
          <w:szCs w:val="18"/>
        </w:rPr>
        <w:t xml:space="preserve"> ННС на вариант за адаптация се определя от сегашната стойност на очакваните ползи и разходи. Ако ННС е повече от нула, това показва, че инвестицията е ефективна и допълнителните ползи от адаптирането надвишават допълнителните разходи за ресурси. Ако ННС  е &lt; 0 или </w:t>
      </w:r>
      <w:r w:rsidRPr="00F8728A">
        <w:rPr>
          <w:rFonts w:ascii="Times New Roman" w:hAnsi="Times New Roman"/>
          <w:sz w:val="18"/>
          <w:szCs w:val="18"/>
          <w:lang w:val="en-US"/>
        </w:rPr>
        <w:t>B</w:t>
      </w:r>
      <w:r w:rsidRPr="00F8728A">
        <w:rPr>
          <w:rFonts w:ascii="Times New Roman" w:hAnsi="Times New Roman"/>
          <w:sz w:val="18"/>
          <w:szCs w:val="18"/>
        </w:rPr>
        <w:t>/</w:t>
      </w:r>
      <w:r w:rsidRPr="00F8728A">
        <w:rPr>
          <w:rFonts w:ascii="Times New Roman" w:hAnsi="Times New Roman"/>
          <w:sz w:val="18"/>
          <w:szCs w:val="18"/>
          <w:lang w:val="en-US"/>
        </w:rPr>
        <w:t>C</w:t>
      </w:r>
      <w:r w:rsidRPr="00F8728A">
        <w:rPr>
          <w:rFonts w:ascii="Times New Roman" w:hAnsi="Times New Roman"/>
          <w:sz w:val="18"/>
          <w:szCs w:val="18"/>
        </w:rPr>
        <w:t xml:space="preserve"> е &lt; 1, тогава мерките за адаптиране не добавят никаква нетна полза за сектора на градската околна среда. Ако ННС е &gt; 0 или </w:t>
      </w:r>
      <w:r w:rsidRPr="00F8728A">
        <w:rPr>
          <w:rFonts w:ascii="Times New Roman" w:hAnsi="Times New Roman"/>
          <w:sz w:val="18"/>
          <w:szCs w:val="18"/>
          <w:lang w:val="en-US"/>
        </w:rPr>
        <w:t>B</w:t>
      </w:r>
      <w:r w:rsidRPr="00F8728A">
        <w:rPr>
          <w:rFonts w:ascii="Times New Roman" w:hAnsi="Times New Roman"/>
          <w:sz w:val="18"/>
          <w:szCs w:val="18"/>
        </w:rPr>
        <w:t>/</w:t>
      </w:r>
      <w:r w:rsidRPr="00F8728A">
        <w:rPr>
          <w:rFonts w:ascii="Times New Roman" w:hAnsi="Times New Roman"/>
          <w:sz w:val="18"/>
          <w:szCs w:val="18"/>
          <w:lang w:val="en-US"/>
        </w:rPr>
        <w:t>C</w:t>
      </w:r>
      <w:r w:rsidRPr="00F8728A">
        <w:rPr>
          <w:rFonts w:ascii="Times New Roman" w:hAnsi="Times New Roman"/>
          <w:sz w:val="18"/>
          <w:szCs w:val="18"/>
        </w:rPr>
        <w:t xml:space="preserve"> е &gt; 1, то добавя положителни ползи. Положителната стойност на ННС потвърждава, че инвестициите за адаптиране са ефективни.</w:t>
      </w:r>
    </w:p>
    <w:p w:rsidR="00FB4561" w:rsidRPr="00F8728A" w:rsidRDefault="00FB4561" w:rsidP="00867098">
      <w:pPr>
        <w:pStyle w:val="FootnoteText"/>
        <w:jc w:val="both"/>
        <w:rPr>
          <w:rFonts w:ascii="Times New Roman" w:hAnsi="Times New Roman"/>
          <w:sz w:val="18"/>
          <w:szCs w:val="18"/>
        </w:rPr>
      </w:pPr>
      <w:r w:rsidRPr="00F8728A">
        <w:rPr>
          <w:rFonts w:ascii="Times New Roman" w:hAnsi="Times New Roman"/>
          <w:sz w:val="18"/>
          <w:szCs w:val="18"/>
        </w:rPr>
        <w:t>Съотношението ползи-разходи (</w:t>
      </w:r>
      <w:r w:rsidRPr="00F8728A">
        <w:rPr>
          <w:rFonts w:ascii="Times New Roman" w:hAnsi="Times New Roman"/>
          <w:sz w:val="18"/>
          <w:szCs w:val="18"/>
          <w:lang w:val="en-US"/>
        </w:rPr>
        <w:t>B</w:t>
      </w:r>
      <w:r w:rsidRPr="00F8728A">
        <w:rPr>
          <w:rFonts w:ascii="Times New Roman" w:hAnsi="Times New Roman"/>
          <w:sz w:val="18"/>
          <w:szCs w:val="18"/>
        </w:rPr>
        <w:t>/</w:t>
      </w:r>
      <w:r w:rsidRPr="00F8728A">
        <w:rPr>
          <w:rFonts w:ascii="Times New Roman" w:hAnsi="Times New Roman"/>
          <w:sz w:val="18"/>
          <w:szCs w:val="18"/>
          <w:lang w:val="en-US"/>
        </w:rPr>
        <w:t>C</w:t>
      </w:r>
      <w:r w:rsidRPr="00F8728A">
        <w:rPr>
          <w:rFonts w:ascii="Times New Roman" w:hAnsi="Times New Roman"/>
          <w:sz w:val="18"/>
          <w:szCs w:val="18"/>
        </w:rPr>
        <w:t xml:space="preserve">) е съотношението на настоящата стойност на ползите към настоящата стойност на разходите. Когато съотношението </w:t>
      </w:r>
      <w:r w:rsidRPr="00F8728A">
        <w:rPr>
          <w:rFonts w:ascii="Times New Roman" w:hAnsi="Times New Roman"/>
          <w:sz w:val="18"/>
          <w:szCs w:val="18"/>
          <w:lang w:val="en-US"/>
        </w:rPr>
        <w:t>B</w:t>
      </w:r>
      <w:r w:rsidRPr="00F8728A">
        <w:rPr>
          <w:rFonts w:ascii="Times New Roman" w:hAnsi="Times New Roman"/>
          <w:sz w:val="18"/>
          <w:szCs w:val="18"/>
        </w:rPr>
        <w:t>/</w:t>
      </w:r>
      <w:r w:rsidRPr="00F8728A">
        <w:rPr>
          <w:rFonts w:ascii="Times New Roman" w:hAnsi="Times New Roman"/>
          <w:sz w:val="18"/>
          <w:szCs w:val="18"/>
          <w:lang w:val="en-US"/>
        </w:rPr>
        <w:t>C</w:t>
      </w:r>
      <w:r w:rsidRPr="00F8728A">
        <w:rPr>
          <w:rFonts w:ascii="Times New Roman" w:hAnsi="Times New Roman"/>
          <w:sz w:val="18"/>
          <w:szCs w:val="18"/>
        </w:rPr>
        <w:t xml:space="preserve"> е повече от едно, настоящата стойност на ползите от варианта е по-голяма от сегашната стойност на неговите разходи.</w:t>
      </w:r>
    </w:p>
  </w:footnote>
  <w:footnote w:id="149">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Приет през 2007 г., последно изменение ДВ 98/09.12.2016 г.</w:t>
      </w:r>
    </w:p>
  </w:footnote>
  <w:footnote w:id="150">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Приет през 2010 г., последно изменение ДВ 98/01.07.2016 г.</w:t>
      </w:r>
    </w:p>
  </w:footnote>
  <w:footnote w:id="151">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Вж. </w:t>
      </w:r>
      <w:hyperlink r:id="rId87" w:history="1">
        <w:r w:rsidRPr="00F8728A">
          <w:rPr>
            <w:rStyle w:val="Hyperlink"/>
            <w:rFonts w:ascii="Times New Roman" w:hAnsi="Times New Roman"/>
            <w:color w:val="auto"/>
            <w:sz w:val="18"/>
            <w:szCs w:val="18"/>
          </w:rPr>
          <w:t>http://www.inspirebg.eu/</w:t>
        </w:r>
      </w:hyperlink>
    </w:p>
  </w:footnote>
  <w:footnote w:id="152">
    <w:p w:rsidR="00FB4561" w:rsidRPr="00B73D7E" w:rsidRDefault="00FB4561" w:rsidP="001E6121">
      <w:pPr>
        <w:spacing w:after="0"/>
        <w:rPr>
          <w:rFonts w:ascii="Times New Roman" w:hAnsi="Times New Roman"/>
          <w:sz w:val="18"/>
          <w:szCs w:val="18"/>
        </w:rPr>
      </w:pPr>
      <w:r w:rsidRPr="00B73D7E">
        <w:rPr>
          <w:rStyle w:val="FootnoteReference"/>
          <w:rFonts w:ascii="Times New Roman" w:hAnsi="Times New Roman"/>
          <w:sz w:val="18"/>
          <w:szCs w:val="18"/>
        </w:rPr>
        <w:footnoteRef/>
      </w:r>
      <w:r w:rsidRPr="00F8728A">
        <w:rPr>
          <w:rFonts w:ascii="Times New Roman" w:hAnsi="Times New Roman"/>
          <w:sz w:val="18"/>
          <w:szCs w:val="18"/>
        </w:rPr>
        <w:t xml:space="preserve"> Европейска директива 2007/2/EC, създаваща инфраструктура за пространствена информация в Европейската общност (INSPIRE)</w:t>
      </w:r>
    </w:p>
  </w:footnote>
  <w:footnote w:id="153">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Според ред проучвания в областта на обществените нагласи и социалната психология, проведени от агенция „Алфа рисърч“ и „Отворено общество“</w:t>
      </w:r>
    </w:p>
  </w:footnote>
  <w:footnote w:id="154">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Прието 2006 г. Последна редакция ДВ 98/28.11.2014 г. </w:t>
      </w:r>
    </w:p>
  </w:footnote>
  <w:footnote w:id="155">
    <w:p w:rsidR="00FB4561" w:rsidRPr="00B73D7E" w:rsidRDefault="00FB4561"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UNFCCC 2005 Compendium on methods and tools to evaluate impacts of, and vulnerability and adaptation to, climate change </w:t>
      </w:r>
      <w:hyperlink r:id="rId88" w:history="1">
        <w:r w:rsidRPr="00F8728A">
          <w:rPr>
            <w:rStyle w:val="Hyperlink"/>
            <w:rFonts w:ascii="Times New Roman" w:hAnsi="Times New Roman"/>
            <w:color w:val="auto"/>
            <w:sz w:val="18"/>
            <w:szCs w:val="18"/>
          </w:rPr>
          <w:t>https://unfccc.int/files/adaptation/methodologies_for/vulnerability_and_adaptation/application/pdf/consolidated_version_updated_021204.pdf</w:t>
        </w:r>
      </w:hyperlink>
    </w:p>
  </w:footnote>
  <w:footnote w:id="156">
    <w:p w:rsidR="00FB4561" w:rsidRPr="00F8728A" w:rsidRDefault="00FB4561" w:rsidP="00F672A7">
      <w:pPr>
        <w:pStyle w:val="FootnoteText"/>
        <w:jc w:val="both"/>
        <w:rPr>
          <w:rFonts w:ascii="Times New Roman" w:hAnsi="Times New Roman"/>
          <w:sz w:val="18"/>
          <w:szCs w:val="18"/>
        </w:rPr>
      </w:pPr>
      <w:r w:rsidRPr="00F8728A">
        <w:rPr>
          <w:rStyle w:val="FootnoteReference"/>
          <w:rFonts w:ascii="Times New Roman" w:hAnsi="Times New Roman"/>
          <w:sz w:val="18"/>
          <w:szCs w:val="18"/>
          <w:lang w:val="en-US"/>
        </w:rPr>
        <w:footnoteRef/>
      </w:r>
      <w:r w:rsidRPr="00F8728A">
        <w:rPr>
          <w:rFonts w:ascii="Times New Roman" w:hAnsi="Times New Roman"/>
          <w:sz w:val="18"/>
          <w:szCs w:val="18"/>
        </w:rPr>
        <w:t xml:space="preserve"> ННС на вариант за адаптация се определя от сегашната стойност на очакваните ползи и разходи. Ако ННС е повече от нула, това показва, че инвестицията е ефективна и допълнителните ползи от адаптирането надвишават допълнителните разходи за ресурси. Ако ННС е &lt; 0 или </w:t>
      </w:r>
      <w:r w:rsidRPr="00F8728A">
        <w:rPr>
          <w:rFonts w:ascii="Times New Roman" w:hAnsi="Times New Roman"/>
          <w:sz w:val="18"/>
          <w:szCs w:val="18"/>
          <w:lang w:val="en-US"/>
        </w:rPr>
        <w:t>B</w:t>
      </w:r>
      <w:r w:rsidRPr="00F8728A">
        <w:rPr>
          <w:rFonts w:ascii="Times New Roman" w:hAnsi="Times New Roman"/>
          <w:sz w:val="18"/>
          <w:szCs w:val="18"/>
        </w:rPr>
        <w:t>/</w:t>
      </w:r>
      <w:r w:rsidRPr="00F8728A">
        <w:rPr>
          <w:rFonts w:ascii="Times New Roman" w:hAnsi="Times New Roman"/>
          <w:sz w:val="18"/>
          <w:szCs w:val="18"/>
          <w:lang w:val="en-US"/>
        </w:rPr>
        <w:t>C</w:t>
      </w:r>
      <w:r w:rsidRPr="00F8728A">
        <w:rPr>
          <w:rFonts w:ascii="Times New Roman" w:hAnsi="Times New Roman"/>
          <w:sz w:val="18"/>
          <w:szCs w:val="18"/>
        </w:rPr>
        <w:t xml:space="preserve"> е &lt; 1, тогава мерките за адаптиране не добавят никаква нетна полза за сектора на градска среда. Ако ННС е &gt; 0 или </w:t>
      </w:r>
      <w:r w:rsidRPr="00F8728A">
        <w:rPr>
          <w:rFonts w:ascii="Times New Roman" w:hAnsi="Times New Roman"/>
          <w:sz w:val="18"/>
          <w:szCs w:val="18"/>
          <w:lang w:val="en-US"/>
        </w:rPr>
        <w:t>B</w:t>
      </w:r>
      <w:r w:rsidRPr="00F8728A">
        <w:rPr>
          <w:rFonts w:ascii="Times New Roman" w:hAnsi="Times New Roman"/>
          <w:sz w:val="18"/>
          <w:szCs w:val="18"/>
        </w:rPr>
        <w:t>/</w:t>
      </w:r>
      <w:r w:rsidRPr="00F8728A">
        <w:rPr>
          <w:rFonts w:ascii="Times New Roman" w:hAnsi="Times New Roman"/>
          <w:sz w:val="18"/>
          <w:szCs w:val="18"/>
          <w:lang w:val="en-US"/>
        </w:rPr>
        <w:t>C</w:t>
      </w:r>
      <w:r w:rsidRPr="00F8728A">
        <w:rPr>
          <w:rFonts w:ascii="Times New Roman" w:hAnsi="Times New Roman"/>
          <w:sz w:val="18"/>
          <w:szCs w:val="18"/>
        </w:rPr>
        <w:t xml:space="preserve"> е &gt; 1, то добавя положителни ползи. Положителната стойност на ННС потвърждава, че инвестициите за адаптиране са ефективни.</w:t>
      </w:r>
    </w:p>
    <w:p w:rsidR="00FB4561" w:rsidRPr="00F8728A" w:rsidRDefault="00FB4561" w:rsidP="00F672A7">
      <w:pPr>
        <w:pStyle w:val="FootnoteText"/>
        <w:jc w:val="both"/>
        <w:rPr>
          <w:rFonts w:ascii="Times New Roman" w:hAnsi="Times New Roman"/>
          <w:sz w:val="18"/>
          <w:szCs w:val="18"/>
        </w:rPr>
      </w:pPr>
      <w:r w:rsidRPr="00F8728A">
        <w:rPr>
          <w:rFonts w:ascii="Times New Roman" w:hAnsi="Times New Roman"/>
          <w:sz w:val="18"/>
          <w:szCs w:val="18"/>
        </w:rPr>
        <w:t>Съотношението ползи-разходи (</w:t>
      </w:r>
      <w:r w:rsidRPr="00F8728A">
        <w:rPr>
          <w:rFonts w:ascii="Times New Roman" w:hAnsi="Times New Roman"/>
          <w:sz w:val="18"/>
          <w:szCs w:val="18"/>
          <w:lang w:val="en-US"/>
        </w:rPr>
        <w:t>B</w:t>
      </w:r>
      <w:r w:rsidRPr="00F8728A">
        <w:rPr>
          <w:rFonts w:ascii="Times New Roman" w:hAnsi="Times New Roman"/>
          <w:sz w:val="18"/>
          <w:szCs w:val="18"/>
        </w:rPr>
        <w:t>/</w:t>
      </w:r>
      <w:r w:rsidRPr="00F8728A">
        <w:rPr>
          <w:rFonts w:ascii="Times New Roman" w:hAnsi="Times New Roman"/>
          <w:sz w:val="18"/>
          <w:szCs w:val="18"/>
          <w:lang w:val="en-US"/>
        </w:rPr>
        <w:t>C</w:t>
      </w:r>
      <w:r w:rsidRPr="00F8728A">
        <w:rPr>
          <w:rFonts w:ascii="Times New Roman" w:hAnsi="Times New Roman"/>
          <w:sz w:val="18"/>
          <w:szCs w:val="18"/>
        </w:rPr>
        <w:t xml:space="preserve">) е съотношението на настоящата стойност на ползите към настоящата стойност на разходите. Когато съотношението </w:t>
      </w:r>
      <w:r w:rsidRPr="00F8728A">
        <w:rPr>
          <w:rFonts w:ascii="Times New Roman" w:hAnsi="Times New Roman"/>
          <w:sz w:val="18"/>
          <w:szCs w:val="18"/>
          <w:lang w:val="en-US"/>
        </w:rPr>
        <w:t>B</w:t>
      </w:r>
      <w:r w:rsidRPr="00F8728A">
        <w:rPr>
          <w:rFonts w:ascii="Times New Roman" w:hAnsi="Times New Roman"/>
          <w:sz w:val="18"/>
          <w:szCs w:val="18"/>
        </w:rPr>
        <w:t>/</w:t>
      </w:r>
      <w:r w:rsidRPr="00F8728A">
        <w:rPr>
          <w:rFonts w:ascii="Times New Roman" w:hAnsi="Times New Roman"/>
          <w:sz w:val="18"/>
          <w:szCs w:val="18"/>
          <w:lang w:val="en-US"/>
        </w:rPr>
        <w:t>C</w:t>
      </w:r>
      <w:r w:rsidRPr="00F8728A">
        <w:rPr>
          <w:rFonts w:ascii="Times New Roman" w:hAnsi="Times New Roman"/>
          <w:sz w:val="18"/>
          <w:szCs w:val="18"/>
        </w:rPr>
        <w:t xml:space="preserve"> е повече от едно, настоящата стойност на ползите от варианта е по-голяма от сегашната стойност на неговите разходи.</w:t>
      </w:r>
    </w:p>
  </w:footnote>
  <w:footnote w:id="157">
    <w:p w:rsidR="00FB4561" w:rsidRPr="00F8728A" w:rsidRDefault="00FB4561" w:rsidP="00D51B0B">
      <w:pPr>
        <w:pStyle w:val="FootnoteText"/>
        <w:rPr>
          <w:rFonts w:ascii="Times New Roman" w:hAnsi="Times New Roman"/>
          <w:sz w:val="18"/>
          <w:szCs w:val="18"/>
        </w:rPr>
      </w:pPr>
      <w:r w:rsidRPr="00F8728A">
        <w:rPr>
          <w:rStyle w:val="FootnoteReference"/>
          <w:rFonts w:ascii="Times New Roman" w:hAnsi="Times New Roman"/>
          <w:sz w:val="18"/>
          <w:szCs w:val="18"/>
          <w:lang w:val="en-US"/>
        </w:rPr>
        <w:footnoteRef/>
      </w:r>
      <w:r w:rsidRPr="00F8728A">
        <w:rPr>
          <w:rFonts w:ascii="Times New Roman" w:hAnsi="Times New Roman"/>
          <w:sz w:val="18"/>
          <w:szCs w:val="18"/>
        </w:rPr>
        <w:t xml:space="preserve"> Регресията е линейна; зависимите и обяснителни променливи са линейни.</w:t>
      </w:r>
    </w:p>
  </w:footnote>
  <w:footnote w:id="158">
    <w:p w:rsidR="00FB4561" w:rsidRPr="00F8728A" w:rsidRDefault="00FB4561" w:rsidP="00D51B0B">
      <w:pPr>
        <w:pStyle w:val="FootnoteText"/>
        <w:rPr>
          <w:rFonts w:ascii="Times New Roman" w:hAnsi="Times New Roman"/>
          <w:sz w:val="18"/>
          <w:szCs w:val="18"/>
        </w:rPr>
      </w:pPr>
      <w:r w:rsidRPr="00F8728A">
        <w:rPr>
          <w:rStyle w:val="FootnoteReference"/>
          <w:rFonts w:ascii="Times New Roman" w:hAnsi="Times New Roman"/>
          <w:sz w:val="18"/>
          <w:szCs w:val="18"/>
          <w:lang w:val="en-US"/>
        </w:rPr>
        <w:footnoteRef/>
      </w:r>
      <w:r w:rsidRPr="00F8728A">
        <w:rPr>
          <w:rFonts w:ascii="Times New Roman" w:hAnsi="Times New Roman"/>
          <w:sz w:val="18"/>
          <w:szCs w:val="18"/>
        </w:rPr>
        <w:t xml:space="preserve"> Икономическата ефективност е коефициент, който измерва количествено ползите, постигнати в резултат на прилагането на избрани варианти за адаптиране във връзка с необходимите инвестиции  азходи.</w:t>
      </w:r>
    </w:p>
  </w:footnote>
  <w:footnote w:id="159">
    <w:p w:rsidR="00FB4561" w:rsidRPr="00B73D7E" w:rsidRDefault="00FB4561" w:rsidP="001E6121">
      <w:pPr>
        <w:spacing w:after="0"/>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Австрийската стратегия за адаптиране към промените в климата</w:t>
      </w:r>
      <w:r>
        <w:rPr>
          <w:rFonts w:ascii="Times New Roman" w:hAnsi="Times New Roman"/>
          <w:sz w:val="18"/>
          <w:szCs w:val="18"/>
        </w:rPr>
        <w:t>,</w:t>
      </w:r>
      <w:r w:rsidRPr="00F8728A">
        <w:rPr>
          <w:rFonts w:ascii="Times New Roman" w:hAnsi="Times New Roman"/>
          <w:sz w:val="18"/>
          <w:szCs w:val="18"/>
        </w:rPr>
        <w:t xml:space="preserve"> Част 1. Стратегическа рамка, приета от Федералното правителство през октомври 2012 г. и от Федералните държави през май 2013 г. </w:t>
      </w:r>
      <w:hyperlink r:id="rId89" w:history="1">
        <w:r w:rsidRPr="00F8728A">
          <w:rPr>
            <w:rStyle w:val="Hyperlink"/>
            <w:rFonts w:ascii="Times New Roman" w:hAnsi="Times New Roman"/>
            <w:color w:val="auto"/>
            <w:sz w:val="18"/>
            <w:szCs w:val="18"/>
          </w:rPr>
          <w:t>https://www.bmlfuw.gv.at/umwelt/klimaschutz/klimapolitik_national/anpassungsstrategie/strategie-kontext.html</w:t>
        </w:r>
      </w:hyperlink>
      <w:r w:rsidRPr="00F8728A">
        <w:rPr>
          <w:rFonts w:ascii="Times New Roman" w:hAnsi="Times New Roman"/>
          <w:sz w:val="18"/>
          <w:szCs w:val="18"/>
        </w:rPr>
        <w:t xml:space="preserve">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05BEA"/>
    <w:multiLevelType w:val="hybridMultilevel"/>
    <w:tmpl w:val="E4D0BFA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nsid w:val="02936FAE"/>
    <w:multiLevelType w:val="hybridMultilevel"/>
    <w:tmpl w:val="09B853EA"/>
    <w:lvl w:ilvl="0" w:tplc="8DACA01E">
      <w:start w:val="1"/>
      <w:numFmt w:val="upperLetter"/>
      <w:lvlText w:val="%1."/>
      <w:lvlJc w:val="left"/>
      <w:pPr>
        <w:ind w:left="720" w:hanging="360"/>
      </w:pPr>
      <w:rPr>
        <w:rFonts w:cs="Times New Roman" w:hint="default"/>
        <w:b w:val="0"/>
      </w:rPr>
    </w:lvl>
    <w:lvl w:ilvl="1" w:tplc="10090019" w:tentative="1">
      <w:start w:val="1"/>
      <w:numFmt w:val="lowerLetter"/>
      <w:lvlText w:val="%2."/>
      <w:lvlJc w:val="left"/>
      <w:pPr>
        <w:ind w:left="1440" w:hanging="360"/>
      </w:pPr>
      <w:rPr>
        <w:rFonts w:cs="Times New Roman"/>
      </w:rPr>
    </w:lvl>
    <w:lvl w:ilvl="2" w:tplc="1009001B" w:tentative="1">
      <w:start w:val="1"/>
      <w:numFmt w:val="lowerRoman"/>
      <w:lvlText w:val="%3."/>
      <w:lvlJc w:val="right"/>
      <w:pPr>
        <w:ind w:left="2160" w:hanging="180"/>
      </w:pPr>
      <w:rPr>
        <w:rFonts w:cs="Times New Roman"/>
      </w:rPr>
    </w:lvl>
    <w:lvl w:ilvl="3" w:tplc="1009000F" w:tentative="1">
      <w:start w:val="1"/>
      <w:numFmt w:val="decimal"/>
      <w:lvlText w:val="%4."/>
      <w:lvlJc w:val="left"/>
      <w:pPr>
        <w:ind w:left="2880" w:hanging="360"/>
      </w:pPr>
      <w:rPr>
        <w:rFonts w:cs="Times New Roman"/>
      </w:rPr>
    </w:lvl>
    <w:lvl w:ilvl="4" w:tplc="10090019" w:tentative="1">
      <w:start w:val="1"/>
      <w:numFmt w:val="lowerLetter"/>
      <w:lvlText w:val="%5."/>
      <w:lvlJc w:val="left"/>
      <w:pPr>
        <w:ind w:left="3600" w:hanging="360"/>
      </w:pPr>
      <w:rPr>
        <w:rFonts w:cs="Times New Roman"/>
      </w:rPr>
    </w:lvl>
    <w:lvl w:ilvl="5" w:tplc="1009001B" w:tentative="1">
      <w:start w:val="1"/>
      <w:numFmt w:val="lowerRoman"/>
      <w:lvlText w:val="%6."/>
      <w:lvlJc w:val="right"/>
      <w:pPr>
        <w:ind w:left="4320" w:hanging="180"/>
      </w:pPr>
      <w:rPr>
        <w:rFonts w:cs="Times New Roman"/>
      </w:rPr>
    </w:lvl>
    <w:lvl w:ilvl="6" w:tplc="1009000F" w:tentative="1">
      <w:start w:val="1"/>
      <w:numFmt w:val="decimal"/>
      <w:lvlText w:val="%7."/>
      <w:lvlJc w:val="left"/>
      <w:pPr>
        <w:ind w:left="5040" w:hanging="360"/>
      </w:pPr>
      <w:rPr>
        <w:rFonts w:cs="Times New Roman"/>
      </w:rPr>
    </w:lvl>
    <w:lvl w:ilvl="7" w:tplc="10090019" w:tentative="1">
      <w:start w:val="1"/>
      <w:numFmt w:val="lowerLetter"/>
      <w:lvlText w:val="%8."/>
      <w:lvlJc w:val="left"/>
      <w:pPr>
        <w:ind w:left="5760" w:hanging="360"/>
      </w:pPr>
      <w:rPr>
        <w:rFonts w:cs="Times New Roman"/>
      </w:rPr>
    </w:lvl>
    <w:lvl w:ilvl="8" w:tplc="1009001B" w:tentative="1">
      <w:start w:val="1"/>
      <w:numFmt w:val="lowerRoman"/>
      <w:lvlText w:val="%9."/>
      <w:lvlJc w:val="right"/>
      <w:pPr>
        <w:ind w:left="6480" w:hanging="180"/>
      </w:pPr>
      <w:rPr>
        <w:rFonts w:cs="Times New Roman"/>
      </w:rPr>
    </w:lvl>
  </w:abstractNum>
  <w:abstractNum w:abstractNumId="2">
    <w:nsid w:val="05F06D59"/>
    <w:multiLevelType w:val="hybridMultilevel"/>
    <w:tmpl w:val="9956E0B8"/>
    <w:lvl w:ilvl="0" w:tplc="99F264F0">
      <w:start w:val="1"/>
      <w:numFmt w:val="decimal"/>
      <w:lvlText w:val="%1."/>
      <w:lvlJc w:val="left"/>
      <w:pPr>
        <w:ind w:left="360" w:hanging="360"/>
      </w:pPr>
      <w:rPr>
        <w:rFonts w:ascii="Times New Roman" w:hAnsi="Times New Roman" w:cs="Times New Roman" w:hint="default"/>
        <w:b w:val="0"/>
        <w:i w:val="0"/>
        <w:color w:val="auto"/>
        <w:sz w:val="24"/>
        <w:szCs w:val="24"/>
      </w:rPr>
    </w:lvl>
    <w:lvl w:ilvl="1" w:tplc="9E70D07C">
      <w:start w:val="1"/>
      <w:numFmt w:val="decimal"/>
      <w:lvlText w:val="%2."/>
      <w:lvlJc w:val="left"/>
      <w:pPr>
        <w:ind w:left="1080" w:hanging="360"/>
      </w:pPr>
      <w:rPr>
        <w:rFonts w:ascii="Calibri" w:hAnsi="Calibri" w:cs="Calibri" w:hint="default"/>
        <w:b/>
      </w:rPr>
    </w:lvl>
    <w:lvl w:ilvl="2" w:tplc="0409001B">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3">
    <w:nsid w:val="08EF5DF7"/>
    <w:multiLevelType w:val="hybridMultilevel"/>
    <w:tmpl w:val="0D782BD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0B0444D7"/>
    <w:multiLevelType w:val="hybridMultilevel"/>
    <w:tmpl w:val="52F25EF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nsid w:val="0B865044"/>
    <w:multiLevelType w:val="hybridMultilevel"/>
    <w:tmpl w:val="579C7BBA"/>
    <w:lvl w:ilvl="0" w:tplc="0A52707A">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D082A23"/>
    <w:multiLevelType w:val="hybridMultilevel"/>
    <w:tmpl w:val="AC245350"/>
    <w:lvl w:ilvl="0" w:tplc="04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nsid w:val="0E812D8A"/>
    <w:multiLevelType w:val="hybridMultilevel"/>
    <w:tmpl w:val="3D88DD3A"/>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121B5913"/>
    <w:multiLevelType w:val="hybridMultilevel"/>
    <w:tmpl w:val="D79AE566"/>
    <w:lvl w:ilvl="0" w:tplc="91D65EFE">
      <w:start w:val="1"/>
      <w:numFmt w:val="bullet"/>
      <w:lvlText w:val=""/>
      <w:lvlJc w:val="left"/>
      <w:pPr>
        <w:ind w:left="720" w:hanging="360"/>
      </w:pPr>
      <w:rPr>
        <w:rFonts w:ascii="Symbol" w:hAnsi="Symbol" w:hint="default"/>
        <w:sz w:val="18"/>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nsid w:val="1722242D"/>
    <w:multiLevelType w:val="hybridMultilevel"/>
    <w:tmpl w:val="B4F6E0C2"/>
    <w:lvl w:ilvl="0" w:tplc="A9940E04">
      <w:start w:val="1"/>
      <w:numFmt w:val="decimal"/>
      <w:pStyle w:val="TableTitle"/>
      <w:lvlText w:val="Table %1."/>
      <w:lvlJc w:val="left"/>
      <w:pPr>
        <w:ind w:left="2912" w:hanging="360"/>
      </w:pPr>
      <w:rPr>
        <w:rFonts w:cs="Times New Roman" w:hint="default"/>
      </w:rPr>
    </w:lvl>
    <w:lvl w:ilvl="1" w:tplc="08090019" w:tentative="1">
      <w:start w:val="1"/>
      <w:numFmt w:val="lowerLetter"/>
      <w:lvlText w:val="%2."/>
      <w:lvlJc w:val="left"/>
      <w:pPr>
        <w:ind w:left="3992" w:hanging="360"/>
      </w:pPr>
      <w:rPr>
        <w:rFonts w:cs="Times New Roman"/>
      </w:rPr>
    </w:lvl>
    <w:lvl w:ilvl="2" w:tplc="0809001B" w:tentative="1">
      <w:start w:val="1"/>
      <w:numFmt w:val="lowerRoman"/>
      <w:lvlText w:val="%3."/>
      <w:lvlJc w:val="right"/>
      <w:pPr>
        <w:ind w:left="4712" w:hanging="180"/>
      </w:pPr>
      <w:rPr>
        <w:rFonts w:cs="Times New Roman"/>
      </w:rPr>
    </w:lvl>
    <w:lvl w:ilvl="3" w:tplc="0809000F" w:tentative="1">
      <w:start w:val="1"/>
      <w:numFmt w:val="decimal"/>
      <w:lvlText w:val="%4."/>
      <w:lvlJc w:val="left"/>
      <w:pPr>
        <w:ind w:left="5432" w:hanging="360"/>
      </w:pPr>
      <w:rPr>
        <w:rFonts w:cs="Times New Roman"/>
      </w:rPr>
    </w:lvl>
    <w:lvl w:ilvl="4" w:tplc="08090019" w:tentative="1">
      <w:start w:val="1"/>
      <w:numFmt w:val="lowerLetter"/>
      <w:lvlText w:val="%5."/>
      <w:lvlJc w:val="left"/>
      <w:pPr>
        <w:ind w:left="6152" w:hanging="360"/>
      </w:pPr>
      <w:rPr>
        <w:rFonts w:cs="Times New Roman"/>
      </w:rPr>
    </w:lvl>
    <w:lvl w:ilvl="5" w:tplc="0809001B" w:tentative="1">
      <w:start w:val="1"/>
      <w:numFmt w:val="lowerRoman"/>
      <w:lvlText w:val="%6."/>
      <w:lvlJc w:val="right"/>
      <w:pPr>
        <w:ind w:left="6872" w:hanging="180"/>
      </w:pPr>
      <w:rPr>
        <w:rFonts w:cs="Times New Roman"/>
      </w:rPr>
    </w:lvl>
    <w:lvl w:ilvl="6" w:tplc="0809000F" w:tentative="1">
      <w:start w:val="1"/>
      <w:numFmt w:val="decimal"/>
      <w:lvlText w:val="%7."/>
      <w:lvlJc w:val="left"/>
      <w:pPr>
        <w:ind w:left="7592" w:hanging="360"/>
      </w:pPr>
      <w:rPr>
        <w:rFonts w:cs="Times New Roman"/>
      </w:rPr>
    </w:lvl>
    <w:lvl w:ilvl="7" w:tplc="08090019" w:tentative="1">
      <w:start w:val="1"/>
      <w:numFmt w:val="lowerLetter"/>
      <w:lvlText w:val="%8."/>
      <w:lvlJc w:val="left"/>
      <w:pPr>
        <w:ind w:left="8312" w:hanging="360"/>
      </w:pPr>
      <w:rPr>
        <w:rFonts w:cs="Times New Roman"/>
      </w:rPr>
    </w:lvl>
    <w:lvl w:ilvl="8" w:tplc="0809001B" w:tentative="1">
      <w:start w:val="1"/>
      <w:numFmt w:val="lowerRoman"/>
      <w:lvlText w:val="%9."/>
      <w:lvlJc w:val="right"/>
      <w:pPr>
        <w:ind w:left="9032" w:hanging="180"/>
      </w:pPr>
      <w:rPr>
        <w:rFonts w:cs="Times New Roman"/>
      </w:rPr>
    </w:lvl>
  </w:abstractNum>
  <w:abstractNum w:abstractNumId="10">
    <w:nsid w:val="179743B2"/>
    <w:multiLevelType w:val="hybridMultilevel"/>
    <w:tmpl w:val="81B8D13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nsid w:val="18A93011"/>
    <w:multiLevelType w:val="hybridMultilevel"/>
    <w:tmpl w:val="8452C4CC"/>
    <w:lvl w:ilvl="0" w:tplc="318E917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9726505"/>
    <w:multiLevelType w:val="hybridMultilevel"/>
    <w:tmpl w:val="3432E2E6"/>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19FB5E6E"/>
    <w:multiLevelType w:val="multilevel"/>
    <w:tmpl w:val="E0B0409A"/>
    <w:lvl w:ilvl="0">
      <w:start w:val="1"/>
      <w:numFmt w:val="decimal"/>
      <w:lvlText w:val="%1."/>
      <w:lvlJc w:val="left"/>
      <w:pPr>
        <w:ind w:left="420" w:hanging="420"/>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4">
    <w:nsid w:val="292C49F9"/>
    <w:multiLevelType w:val="hybridMultilevel"/>
    <w:tmpl w:val="27483C7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96C48C5"/>
    <w:multiLevelType w:val="hybridMultilevel"/>
    <w:tmpl w:val="FA1E12F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nsid w:val="2A0A0203"/>
    <w:multiLevelType w:val="hybridMultilevel"/>
    <w:tmpl w:val="ABEE7C9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nsid w:val="2C8A5B11"/>
    <w:multiLevelType w:val="hybridMultilevel"/>
    <w:tmpl w:val="EC3679F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nsid w:val="2D3B76D8"/>
    <w:multiLevelType w:val="hybridMultilevel"/>
    <w:tmpl w:val="CDCED41C"/>
    <w:lvl w:ilvl="0" w:tplc="DE88A91A">
      <w:start w:val="1"/>
      <w:numFmt w:val="bullet"/>
      <w:lvlText w:val=""/>
      <w:lvlJc w:val="left"/>
      <w:pPr>
        <w:ind w:left="360" w:hanging="360"/>
      </w:pPr>
      <w:rPr>
        <w:rFonts w:ascii="Symbol" w:hAnsi="Symbol" w:hint="default"/>
        <w:sz w:val="20"/>
        <w:szCs w:val="20"/>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nsid w:val="30A854BF"/>
    <w:multiLevelType w:val="hybridMultilevel"/>
    <w:tmpl w:val="F2D0D07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nsid w:val="353C69E3"/>
    <w:multiLevelType w:val="hybridMultilevel"/>
    <w:tmpl w:val="B84255BC"/>
    <w:lvl w:ilvl="0" w:tplc="7CA08B2E">
      <w:numFmt w:val="bullet"/>
      <w:lvlText w:val="•"/>
      <w:lvlJc w:val="left"/>
      <w:pPr>
        <w:ind w:left="540" w:hanging="360"/>
      </w:pPr>
      <w:rPr>
        <w:rFonts w:ascii="Garamond" w:hAnsi="Garamond" w:hint="default"/>
        <w:color w:val="000000"/>
        <w:sz w:val="22"/>
        <w:szCs w:val="22"/>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nsid w:val="37BA10E4"/>
    <w:multiLevelType w:val="hybridMultilevel"/>
    <w:tmpl w:val="5D666A8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nsid w:val="39942802"/>
    <w:multiLevelType w:val="hybridMultilevel"/>
    <w:tmpl w:val="39D6183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nsid w:val="3A0A4FEA"/>
    <w:multiLevelType w:val="hybridMultilevel"/>
    <w:tmpl w:val="A59E3726"/>
    <w:lvl w:ilvl="0" w:tplc="1102DEEE">
      <w:start w:val="1"/>
      <w:numFmt w:val="upperRoman"/>
      <w:lvlText w:val="%1."/>
      <w:lvlJc w:val="left"/>
      <w:pPr>
        <w:ind w:left="720" w:hanging="720"/>
      </w:pPr>
      <w:rPr>
        <w:rFonts w:ascii="Calibri" w:hAnsi="Calibri" w:cs="Calibri" w:hint="default"/>
        <w:sz w:val="24"/>
        <w:szCs w:val="24"/>
      </w:rPr>
    </w:lvl>
    <w:lvl w:ilvl="1" w:tplc="08090019" w:tentative="1">
      <w:start w:val="1"/>
      <w:numFmt w:val="lowerLetter"/>
      <w:lvlText w:val="%2."/>
      <w:lvlJc w:val="left"/>
      <w:pPr>
        <w:ind w:left="1080" w:hanging="360"/>
      </w:pPr>
      <w:rPr>
        <w:rFonts w:cs="Times New Roman"/>
      </w:rPr>
    </w:lvl>
    <w:lvl w:ilvl="2" w:tplc="0809001B" w:tentative="1">
      <w:start w:val="1"/>
      <w:numFmt w:val="lowerRoman"/>
      <w:lvlText w:val="%3."/>
      <w:lvlJc w:val="right"/>
      <w:pPr>
        <w:ind w:left="1800" w:hanging="180"/>
      </w:pPr>
      <w:rPr>
        <w:rFonts w:cs="Times New Roman"/>
      </w:rPr>
    </w:lvl>
    <w:lvl w:ilvl="3" w:tplc="0809000F" w:tentative="1">
      <w:start w:val="1"/>
      <w:numFmt w:val="decimal"/>
      <w:lvlText w:val="%4."/>
      <w:lvlJc w:val="left"/>
      <w:pPr>
        <w:ind w:left="2520" w:hanging="360"/>
      </w:pPr>
      <w:rPr>
        <w:rFonts w:cs="Times New Roman"/>
      </w:rPr>
    </w:lvl>
    <w:lvl w:ilvl="4" w:tplc="08090019" w:tentative="1">
      <w:start w:val="1"/>
      <w:numFmt w:val="lowerLetter"/>
      <w:lvlText w:val="%5."/>
      <w:lvlJc w:val="left"/>
      <w:pPr>
        <w:ind w:left="3240" w:hanging="360"/>
      </w:pPr>
      <w:rPr>
        <w:rFonts w:cs="Times New Roman"/>
      </w:rPr>
    </w:lvl>
    <w:lvl w:ilvl="5" w:tplc="0809001B" w:tentative="1">
      <w:start w:val="1"/>
      <w:numFmt w:val="lowerRoman"/>
      <w:lvlText w:val="%6."/>
      <w:lvlJc w:val="right"/>
      <w:pPr>
        <w:ind w:left="3960" w:hanging="180"/>
      </w:pPr>
      <w:rPr>
        <w:rFonts w:cs="Times New Roman"/>
      </w:rPr>
    </w:lvl>
    <w:lvl w:ilvl="6" w:tplc="0809000F" w:tentative="1">
      <w:start w:val="1"/>
      <w:numFmt w:val="decimal"/>
      <w:lvlText w:val="%7."/>
      <w:lvlJc w:val="left"/>
      <w:pPr>
        <w:ind w:left="4680" w:hanging="360"/>
      </w:pPr>
      <w:rPr>
        <w:rFonts w:cs="Times New Roman"/>
      </w:rPr>
    </w:lvl>
    <w:lvl w:ilvl="7" w:tplc="08090019" w:tentative="1">
      <w:start w:val="1"/>
      <w:numFmt w:val="lowerLetter"/>
      <w:lvlText w:val="%8."/>
      <w:lvlJc w:val="left"/>
      <w:pPr>
        <w:ind w:left="5400" w:hanging="360"/>
      </w:pPr>
      <w:rPr>
        <w:rFonts w:cs="Times New Roman"/>
      </w:rPr>
    </w:lvl>
    <w:lvl w:ilvl="8" w:tplc="0809001B" w:tentative="1">
      <w:start w:val="1"/>
      <w:numFmt w:val="lowerRoman"/>
      <w:lvlText w:val="%9."/>
      <w:lvlJc w:val="right"/>
      <w:pPr>
        <w:ind w:left="6120" w:hanging="180"/>
      </w:pPr>
      <w:rPr>
        <w:rFonts w:cs="Times New Roman"/>
      </w:rPr>
    </w:lvl>
  </w:abstractNum>
  <w:abstractNum w:abstractNumId="24">
    <w:nsid w:val="3C7C148A"/>
    <w:multiLevelType w:val="hybridMultilevel"/>
    <w:tmpl w:val="47E44B76"/>
    <w:lvl w:ilvl="0" w:tplc="1009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5">
    <w:nsid w:val="4018151E"/>
    <w:multiLevelType w:val="hybridMultilevel"/>
    <w:tmpl w:val="924A929A"/>
    <w:lvl w:ilvl="0" w:tplc="04090001">
      <w:start w:val="1"/>
      <w:numFmt w:val="bullet"/>
      <w:lvlText w:val=""/>
      <w:lvlJc w:val="left"/>
      <w:pPr>
        <w:ind w:left="787" w:hanging="360"/>
      </w:pPr>
      <w:rPr>
        <w:rFonts w:ascii="Symbol" w:hAnsi="Symbol" w:hint="default"/>
      </w:rPr>
    </w:lvl>
    <w:lvl w:ilvl="1" w:tplc="04090003" w:tentative="1">
      <w:start w:val="1"/>
      <w:numFmt w:val="bullet"/>
      <w:lvlText w:val="o"/>
      <w:lvlJc w:val="left"/>
      <w:pPr>
        <w:ind w:left="1507" w:hanging="360"/>
      </w:pPr>
      <w:rPr>
        <w:rFonts w:ascii="Courier New" w:hAnsi="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26">
    <w:nsid w:val="45230181"/>
    <w:multiLevelType w:val="multilevel"/>
    <w:tmpl w:val="8F321AFA"/>
    <w:lvl w:ilvl="0">
      <w:start w:val="1"/>
      <w:numFmt w:val="decimal"/>
      <w:lvlText w:val="%1."/>
      <w:lvlJc w:val="left"/>
      <w:pPr>
        <w:ind w:left="390" w:hanging="390"/>
      </w:pPr>
      <w:rPr>
        <w:rFonts w:cs="Times New Roman" w:hint="default"/>
      </w:rPr>
    </w:lvl>
    <w:lvl w:ilvl="1">
      <w:start w:val="1"/>
      <w:numFmt w:val="decimal"/>
      <w:pStyle w:val="Heading2"/>
      <w:lvlText w:val="%1.%2."/>
      <w:lvlJc w:val="left"/>
      <w:pPr>
        <w:ind w:left="720" w:hanging="720"/>
      </w:pPr>
      <w:rPr>
        <w:rFonts w:cs="Times New Roman" w:hint="default"/>
      </w:rPr>
    </w:lvl>
    <w:lvl w:ilvl="2">
      <w:start w:val="1"/>
      <w:numFmt w:val="decimal"/>
      <w:pStyle w:val="Heading3"/>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27">
    <w:nsid w:val="45EA6552"/>
    <w:multiLevelType w:val="hybridMultilevel"/>
    <w:tmpl w:val="9B98AE0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nsid w:val="482909A3"/>
    <w:multiLevelType w:val="hybridMultilevel"/>
    <w:tmpl w:val="EAC0787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nsid w:val="498A79D7"/>
    <w:multiLevelType w:val="hybridMultilevel"/>
    <w:tmpl w:val="F5B27256"/>
    <w:lvl w:ilvl="0" w:tplc="10090001">
      <w:start w:val="1"/>
      <w:numFmt w:val="bullet"/>
      <w:lvlText w:val=""/>
      <w:lvlJc w:val="left"/>
      <w:pPr>
        <w:ind w:left="1077" w:hanging="360"/>
      </w:pPr>
      <w:rPr>
        <w:rFonts w:ascii="Symbol" w:hAnsi="Symbol" w:hint="default"/>
      </w:rPr>
    </w:lvl>
    <w:lvl w:ilvl="1" w:tplc="10090003" w:tentative="1">
      <w:start w:val="1"/>
      <w:numFmt w:val="bullet"/>
      <w:lvlText w:val="o"/>
      <w:lvlJc w:val="left"/>
      <w:pPr>
        <w:ind w:left="1797" w:hanging="360"/>
      </w:pPr>
      <w:rPr>
        <w:rFonts w:ascii="Courier New" w:hAnsi="Courier New" w:hint="default"/>
      </w:rPr>
    </w:lvl>
    <w:lvl w:ilvl="2" w:tplc="10090005" w:tentative="1">
      <w:start w:val="1"/>
      <w:numFmt w:val="bullet"/>
      <w:lvlText w:val=""/>
      <w:lvlJc w:val="left"/>
      <w:pPr>
        <w:ind w:left="2517" w:hanging="360"/>
      </w:pPr>
      <w:rPr>
        <w:rFonts w:ascii="Wingdings" w:hAnsi="Wingdings" w:hint="default"/>
      </w:rPr>
    </w:lvl>
    <w:lvl w:ilvl="3" w:tplc="10090001" w:tentative="1">
      <w:start w:val="1"/>
      <w:numFmt w:val="bullet"/>
      <w:lvlText w:val=""/>
      <w:lvlJc w:val="left"/>
      <w:pPr>
        <w:ind w:left="3237" w:hanging="360"/>
      </w:pPr>
      <w:rPr>
        <w:rFonts w:ascii="Symbol" w:hAnsi="Symbol" w:hint="default"/>
      </w:rPr>
    </w:lvl>
    <w:lvl w:ilvl="4" w:tplc="10090003" w:tentative="1">
      <w:start w:val="1"/>
      <w:numFmt w:val="bullet"/>
      <w:lvlText w:val="o"/>
      <w:lvlJc w:val="left"/>
      <w:pPr>
        <w:ind w:left="3957" w:hanging="360"/>
      </w:pPr>
      <w:rPr>
        <w:rFonts w:ascii="Courier New" w:hAnsi="Courier New" w:hint="default"/>
      </w:rPr>
    </w:lvl>
    <w:lvl w:ilvl="5" w:tplc="10090005" w:tentative="1">
      <w:start w:val="1"/>
      <w:numFmt w:val="bullet"/>
      <w:lvlText w:val=""/>
      <w:lvlJc w:val="left"/>
      <w:pPr>
        <w:ind w:left="4677" w:hanging="360"/>
      </w:pPr>
      <w:rPr>
        <w:rFonts w:ascii="Wingdings" w:hAnsi="Wingdings" w:hint="default"/>
      </w:rPr>
    </w:lvl>
    <w:lvl w:ilvl="6" w:tplc="10090001" w:tentative="1">
      <w:start w:val="1"/>
      <w:numFmt w:val="bullet"/>
      <w:lvlText w:val=""/>
      <w:lvlJc w:val="left"/>
      <w:pPr>
        <w:ind w:left="5397" w:hanging="360"/>
      </w:pPr>
      <w:rPr>
        <w:rFonts w:ascii="Symbol" w:hAnsi="Symbol" w:hint="default"/>
      </w:rPr>
    </w:lvl>
    <w:lvl w:ilvl="7" w:tplc="10090003" w:tentative="1">
      <w:start w:val="1"/>
      <w:numFmt w:val="bullet"/>
      <w:lvlText w:val="o"/>
      <w:lvlJc w:val="left"/>
      <w:pPr>
        <w:ind w:left="6117" w:hanging="360"/>
      </w:pPr>
      <w:rPr>
        <w:rFonts w:ascii="Courier New" w:hAnsi="Courier New" w:hint="default"/>
      </w:rPr>
    </w:lvl>
    <w:lvl w:ilvl="8" w:tplc="10090005" w:tentative="1">
      <w:start w:val="1"/>
      <w:numFmt w:val="bullet"/>
      <w:lvlText w:val=""/>
      <w:lvlJc w:val="left"/>
      <w:pPr>
        <w:ind w:left="6837" w:hanging="360"/>
      </w:pPr>
      <w:rPr>
        <w:rFonts w:ascii="Wingdings" w:hAnsi="Wingdings" w:hint="default"/>
      </w:rPr>
    </w:lvl>
  </w:abstractNum>
  <w:abstractNum w:abstractNumId="30">
    <w:nsid w:val="4A375A9B"/>
    <w:multiLevelType w:val="hybridMultilevel"/>
    <w:tmpl w:val="539E6CDA"/>
    <w:lvl w:ilvl="0" w:tplc="F014E15E">
      <w:start w:val="306"/>
      <w:numFmt w:val="bullet"/>
      <w:lvlText w:val="-"/>
      <w:lvlJc w:val="left"/>
      <w:pPr>
        <w:ind w:left="720" w:hanging="360"/>
      </w:pPr>
      <w:rPr>
        <w:rFonts w:ascii="Arial" w:eastAsia="Times New Roman" w:hAnsi="Aria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nsid w:val="4BE018BC"/>
    <w:multiLevelType w:val="hybridMultilevel"/>
    <w:tmpl w:val="3EFEE6F8"/>
    <w:lvl w:ilvl="0" w:tplc="1009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2">
    <w:nsid w:val="507D1A2F"/>
    <w:multiLevelType w:val="hybridMultilevel"/>
    <w:tmpl w:val="4078A8DA"/>
    <w:lvl w:ilvl="0" w:tplc="48925BA0">
      <w:start w:val="1"/>
      <w:numFmt w:val="bullet"/>
      <w:lvlText w:val=""/>
      <w:lvlJc w:val="left"/>
      <w:pPr>
        <w:ind w:left="1080" w:hanging="360"/>
      </w:pPr>
      <w:rPr>
        <w:rFonts w:ascii="Wingdings" w:hAnsi="Wingdings" w:hint="default"/>
        <w:color w:val="365F91"/>
        <w:sz w:val="20"/>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nsid w:val="51324374"/>
    <w:multiLevelType w:val="hybridMultilevel"/>
    <w:tmpl w:val="16EA6A56"/>
    <w:lvl w:ilvl="0" w:tplc="031ECEBC">
      <w:start w:val="1"/>
      <w:numFmt w:val="upperRoman"/>
      <w:pStyle w:val="WBNormalNumbered"/>
      <w:lvlText w:val="%1."/>
      <w:lvlJc w:val="left"/>
      <w:pPr>
        <w:ind w:left="720" w:hanging="360"/>
      </w:pPr>
      <w:rPr>
        <w:rFonts w:cs="Times New Roman" w:hint="default"/>
        <w:b/>
        <w:sz w:val="24"/>
        <w:szCs w:val="24"/>
      </w:rPr>
    </w:lvl>
    <w:lvl w:ilvl="1" w:tplc="04020019">
      <w:start w:val="1"/>
      <w:numFmt w:val="lowerLetter"/>
      <w:lvlText w:val="%2."/>
      <w:lvlJc w:val="left"/>
      <w:pPr>
        <w:ind w:left="1440" w:hanging="360"/>
      </w:pPr>
      <w:rPr>
        <w:rFonts w:cs="Times New Roman"/>
      </w:rPr>
    </w:lvl>
    <w:lvl w:ilvl="2" w:tplc="0402001B" w:tentative="1">
      <w:start w:val="1"/>
      <w:numFmt w:val="lowerRoman"/>
      <w:lvlText w:val="%3."/>
      <w:lvlJc w:val="right"/>
      <w:pPr>
        <w:ind w:left="2160" w:hanging="180"/>
      </w:pPr>
      <w:rPr>
        <w:rFonts w:cs="Times New Roman"/>
      </w:rPr>
    </w:lvl>
    <w:lvl w:ilvl="3" w:tplc="0402000F" w:tentative="1">
      <w:start w:val="1"/>
      <w:numFmt w:val="decimal"/>
      <w:lvlText w:val="%4."/>
      <w:lvlJc w:val="left"/>
      <w:pPr>
        <w:ind w:left="2880" w:hanging="360"/>
      </w:pPr>
      <w:rPr>
        <w:rFonts w:cs="Times New Roman"/>
      </w:rPr>
    </w:lvl>
    <w:lvl w:ilvl="4" w:tplc="04020019" w:tentative="1">
      <w:start w:val="1"/>
      <w:numFmt w:val="lowerLetter"/>
      <w:lvlText w:val="%5."/>
      <w:lvlJc w:val="left"/>
      <w:pPr>
        <w:ind w:left="3600" w:hanging="360"/>
      </w:pPr>
      <w:rPr>
        <w:rFonts w:cs="Times New Roman"/>
      </w:rPr>
    </w:lvl>
    <w:lvl w:ilvl="5" w:tplc="0402001B" w:tentative="1">
      <w:start w:val="1"/>
      <w:numFmt w:val="lowerRoman"/>
      <w:lvlText w:val="%6."/>
      <w:lvlJc w:val="right"/>
      <w:pPr>
        <w:ind w:left="4320" w:hanging="180"/>
      </w:pPr>
      <w:rPr>
        <w:rFonts w:cs="Times New Roman"/>
      </w:rPr>
    </w:lvl>
    <w:lvl w:ilvl="6" w:tplc="0402000F" w:tentative="1">
      <w:start w:val="1"/>
      <w:numFmt w:val="decimal"/>
      <w:lvlText w:val="%7."/>
      <w:lvlJc w:val="left"/>
      <w:pPr>
        <w:ind w:left="5040" w:hanging="360"/>
      </w:pPr>
      <w:rPr>
        <w:rFonts w:cs="Times New Roman"/>
      </w:rPr>
    </w:lvl>
    <w:lvl w:ilvl="7" w:tplc="04020019" w:tentative="1">
      <w:start w:val="1"/>
      <w:numFmt w:val="lowerLetter"/>
      <w:lvlText w:val="%8."/>
      <w:lvlJc w:val="left"/>
      <w:pPr>
        <w:ind w:left="5760" w:hanging="360"/>
      </w:pPr>
      <w:rPr>
        <w:rFonts w:cs="Times New Roman"/>
      </w:rPr>
    </w:lvl>
    <w:lvl w:ilvl="8" w:tplc="0402001B" w:tentative="1">
      <w:start w:val="1"/>
      <w:numFmt w:val="lowerRoman"/>
      <w:lvlText w:val="%9."/>
      <w:lvlJc w:val="right"/>
      <w:pPr>
        <w:ind w:left="6480" w:hanging="180"/>
      </w:pPr>
      <w:rPr>
        <w:rFonts w:cs="Times New Roman"/>
      </w:rPr>
    </w:lvl>
  </w:abstractNum>
  <w:abstractNum w:abstractNumId="34">
    <w:nsid w:val="52303603"/>
    <w:multiLevelType w:val="hybridMultilevel"/>
    <w:tmpl w:val="C262C01C"/>
    <w:lvl w:ilvl="0" w:tplc="8AEE3B0C">
      <w:start w:val="1"/>
      <w:numFmt w:val="decimal"/>
      <w:pStyle w:val="BodyText"/>
      <w:lvlText w:val="%1."/>
      <w:lvlJc w:val="left"/>
      <w:pPr>
        <w:ind w:left="360" w:hanging="360"/>
      </w:pPr>
      <w:rPr>
        <w:rFonts w:cs="Times New Roman"/>
        <w:b w:val="0"/>
        <w:i w:val="0"/>
        <w:color w:val="auto"/>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5">
    <w:nsid w:val="53996540"/>
    <w:multiLevelType w:val="hybridMultilevel"/>
    <w:tmpl w:val="3DA2E2CA"/>
    <w:lvl w:ilvl="0" w:tplc="2050FB20">
      <w:start w:val="1"/>
      <w:numFmt w:val="decimal"/>
      <w:lvlText w:val="%1."/>
      <w:lvlJc w:val="left"/>
      <w:pPr>
        <w:ind w:left="360" w:hanging="360"/>
      </w:pPr>
      <w:rPr>
        <w:rFonts w:ascii="Calibri" w:hAnsi="Calibri" w:cs="Calibri" w:hint="default"/>
        <w:b/>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36">
    <w:nsid w:val="54730725"/>
    <w:multiLevelType w:val="multilevel"/>
    <w:tmpl w:val="54730725"/>
    <w:lvl w:ilvl="0" w:tentative="1">
      <w:start w:val="1"/>
      <w:numFmt w:val="decimal"/>
      <w:lvlText w:val="%1)"/>
      <w:lvlJc w:val="left"/>
      <w:pPr>
        <w:ind w:left="360" w:hanging="360"/>
      </w:pPr>
      <w:rPr>
        <w:rFonts w:cs="Times New Roman" w:hint="default"/>
      </w:rPr>
    </w:lvl>
    <w:lvl w:ilvl="1">
      <w:start w:val="1"/>
      <w:numFmt w:val="bullet"/>
      <w:pStyle w:val="BulletsNew"/>
      <w:lvlText w:val=""/>
      <w:lvlJc w:val="left"/>
      <w:pPr>
        <w:ind w:left="720" w:hanging="360"/>
      </w:pPr>
      <w:rPr>
        <w:rFonts w:ascii="Symbol" w:hAnsi="Symbol" w:hint="default"/>
      </w:rPr>
    </w:lvl>
    <w:lvl w:ilvl="2" w:tentative="1">
      <w:start w:val="1"/>
      <w:numFmt w:val="lowerRoman"/>
      <w:lvlText w:val="%3)"/>
      <w:lvlJc w:val="left"/>
      <w:pPr>
        <w:ind w:left="1080" w:hanging="360"/>
      </w:pPr>
      <w:rPr>
        <w:rFonts w:cs="Times New Roman" w:hint="default"/>
      </w:rPr>
    </w:lvl>
    <w:lvl w:ilvl="3" w:tentative="1">
      <w:start w:val="1"/>
      <w:numFmt w:val="decimal"/>
      <w:lvlText w:val="(%4)"/>
      <w:lvlJc w:val="left"/>
      <w:pPr>
        <w:ind w:left="1440" w:hanging="360"/>
      </w:pPr>
      <w:rPr>
        <w:rFonts w:cs="Times New Roman" w:hint="default"/>
      </w:rPr>
    </w:lvl>
    <w:lvl w:ilvl="4" w:tentative="1">
      <w:start w:val="1"/>
      <w:numFmt w:val="lowerLetter"/>
      <w:lvlText w:val="(%5)"/>
      <w:lvlJc w:val="left"/>
      <w:pPr>
        <w:ind w:left="1800" w:hanging="360"/>
      </w:pPr>
      <w:rPr>
        <w:rFonts w:cs="Times New Roman"/>
      </w:rPr>
    </w:lvl>
    <w:lvl w:ilvl="5" w:tentative="1">
      <w:start w:val="1"/>
      <w:numFmt w:val="lowerRoman"/>
      <w:lvlText w:val="(%6)"/>
      <w:lvlJc w:val="left"/>
      <w:pPr>
        <w:ind w:left="2160" w:hanging="360"/>
      </w:pPr>
      <w:rPr>
        <w:rFonts w:cs="Times New Roman"/>
      </w:rPr>
    </w:lvl>
    <w:lvl w:ilvl="6" w:tentative="1">
      <w:start w:val="1"/>
      <w:numFmt w:val="decimal"/>
      <w:lvlText w:val="%7."/>
      <w:lvlJc w:val="left"/>
      <w:pPr>
        <w:ind w:left="2520" w:hanging="360"/>
      </w:pPr>
      <w:rPr>
        <w:rFonts w:cs="Times New Roman"/>
      </w:rPr>
    </w:lvl>
    <w:lvl w:ilvl="7" w:tentative="1">
      <w:start w:val="1"/>
      <w:numFmt w:val="lowerLetter"/>
      <w:lvlText w:val="%8."/>
      <w:lvlJc w:val="left"/>
      <w:pPr>
        <w:ind w:left="2880" w:hanging="360"/>
      </w:pPr>
      <w:rPr>
        <w:rFonts w:cs="Times New Roman"/>
      </w:rPr>
    </w:lvl>
    <w:lvl w:ilvl="8" w:tentative="1">
      <w:start w:val="1"/>
      <w:numFmt w:val="lowerRoman"/>
      <w:lvlText w:val="%9."/>
      <w:lvlJc w:val="left"/>
      <w:pPr>
        <w:ind w:left="3240" w:hanging="360"/>
      </w:pPr>
      <w:rPr>
        <w:rFonts w:cs="Times New Roman"/>
      </w:rPr>
    </w:lvl>
  </w:abstractNum>
  <w:abstractNum w:abstractNumId="37">
    <w:nsid w:val="55D17C37"/>
    <w:multiLevelType w:val="hybridMultilevel"/>
    <w:tmpl w:val="DA6E59F8"/>
    <w:lvl w:ilvl="0" w:tplc="F508F66C">
      <w:start w:val="1"/>
      <w:numFmt w:val="upperRoman"/>
      <w:lvlText w:val="%1."/>
      <w:lvlJc w:val="left"/>
      <w:pPr>
        <w:ind w:left="720" w:hanging="720"/>
      </w:pPr>
      <w:rPr>
        <w:rFonts w:cs="Times New Roman" w:hint="default"/>
        <w:sz w:val="24"/>
        <w:szCs w:val="24"/>
      </w:rPr>
    </w:lvl>
    <w:lvl w:ilvl="1" w:tplc="08090019" w:tentative="1">
      <w:start w:val="1"/>
      <w:numFmt w:val="lowerLetter"/>
      <w:lvlText w:val="%2."/>
      <w:lvlJc w:val="left"/>
      <w:pPr>
        <w:ind w:left="1080" w:hanging="360"/>
      </w:pPr>
      <w:rPr>
        <w:rFonts w:cs="Times New Roman"/>
      </w:rPr>
    </w:lvl>
    <w:lvl w:ilvl="2" w:tplc="0809001B" w:tentative="1">
      <w:start w:val="1"/>
      <w:numFmt w:val="lowerRoman"/>
      <w:lvlText w:val="%3."/>
      <w:lvlJc w:val="right"/>
      <w:pPr>
        <w:ind w:left="1800" w:hanging="180"/>
      </w:pPr>
      <w:rPr>
        <w:rFonts w:cs="Times New Roman"/>
      </w:rPr>
    </w:lvl>
    <w:lvl w:ilvl="3" w:tplc="0809000F" w:tentative="1">
      <w:start w:val="1"/>
      <w:numFmt w:val="decimal"/>
      <w:lvlText w:val="%4."/>
      <w:lvlJc w:val="left"/>
      <w:pPr>
        <w:ind w:left="2520" w:hanging="360"/>
      </w:pPr>
      <w:rPr>
        <w:rFonts w:cs="Times New Roman"/>
      </w:rPr>
    </w:lvl>
    <w:lvl w:ilvl="4" w:tplc="08090019" w:tentative="1">
      <w:start w:val="1"/>
      <w:numFmt w:val="lowerLetter"/>
      <w:lvlText w:val="%5."/>
      <w:lvlJc w:val="left"/>
      <w:pPr>
        <w:ind w:left="3240" w:hanging="360"/>
      </w:pPr>
      <w:rPr>
        <w:rFonts w:cs="Times New Roman"/>
      </w:rPr>
    </w:lvl>
    <w:lvl w:ilvl="5" w:tplc="0809001B" w:tentative="1">
      <w:start w:val="1"/>
      <w:numFmt w:val="lowerRoman"/>
      <w:lvlText w:val="%6."/>
      <w:lvlJc w:val="right"/>
      <w:pPr>
        <w:ind w:left="3960" w:hanging="180"/>
      </w:pPr>
      <w:rPr>
        <w:rFonts w:cs="Times New Roman"/>
      </w:rPr>
    </w:lvl>
    <w:lvl w:ilvl="6" w:tplc="0809000F" w:tentative="1">
      <w:start w:val="1"/>
      <w:numFmt w:val="decimal"/>
      <w:lvlText w:val="%7."/>
      <w:lvlJc w:val="left"/>
      <w:pPr>
        <w:ind w:left="4680" w:hanging="360"/>
      </w:pPr>
      <w:rPr>
        <w:rFonts w:cs="Times New Roman"/>
      </w:rPr>
    </w:lvl>
    <w:lvl w:ilvl="7" w:tplc="08090019" w:tentative="1">
      <w:start w:val="1"/>
      <w:numFmt w:val="lowerLetter"/>
      <w:lvlText w:val="%8."/>
      <w:lvlJc w:val="left"/>
      <w:pPr>
        <w:ind w:left="5400" w:hanging="360"/>
      </w:pPr>
      <w:rPr>
        <w:rFonts w:cs="Times New Roman"/>
      </w:rPr>
    </w:lvl>
    <w:lvl w:ilvl="8" w:tplc="0809001B" w:tentative="1">
      <w:start w:val="1"/>
      <w:numFmt w:val="lowerRoman"/>
      <w:lvlText w:val="%9."/>
      <w:lvlJc w:val="right"/>
      <w:pPr>
        <w:ind w:left="6120" w:hanging="180"/>
      </w:pPr>
      <w:rPr>
        <w:rFonts w:cs="Times New Roman"/>
      </w:rPr>
    </w:lvl>
  </w:abstractNum>
  <w:abstractNum w:abstractNumId="38">
    <w:nsid w:val="57CB43A7"/>
    <w:multiLevelType w:val="hybridMultilevel"/>
    <w:tmpl w:val="B52AB588"/>
    <w:lvl w:ilvl="0" w:tplc="F5CEA7F6">
      <w:start w:val="1"/>
      <w:numFmt w:val="bullet"/>
      <w:lvlText w:val=""/>
      <w:lvlJc w:val="left"/>
      <w:pPr>
        <w:ind w:left="864" w:firstLine="144"/>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nsid w:val="58661701"/>
    <w:multiLevelType w:val="hybridMultilevel"/>
    <w:tmpl w:val="6DEA34EA"/>
    <w:lvl w:ilvl="0" w:tplc="5A1A1A62">
      <w:start w:val="1"/>
      <w:numFmt w:val="decimal"/>
      <w:lvlText w:val="%1."/>
      <w:lvlJc w:val="left"/>
      <w:pPr>
        <w:ind w:left="360" w:hanging="360"/>
      </w:pPr>
      <w:rPr>
        <w:rFonts w:ascii="Calibri" w:hAnsi="Calibri" w:cs="Calibri" w:hint="default"/>
        <w:b/>
        <w:sz w:val="22"/>
        <w:szCs w:val="22"/>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0">
    <w:nsid w:val="595B4EDF"/>
    <w:multiLevelType w:val="hybridMultilevel"/>
    <w:tmpl w:val="06066F58"/>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1">
    <w:nsid w:val="59CE6A10"/>
    <w:multiLevelType w:val="hybridMultilevel"/>
    <w:tmpl w:val="491E5E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59DB62F4"/>
    <w:multiLevelType w:val="hybridMultilevel"/>
    <w:tmpl w:val="05E2160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3">
    <w:nsid w:val="5B0C18C9"/>
    <w:multiLevelType w:val="hybridMultilevel"/>
    <w:tmpl w:val="901051B2"/>
    <w:lvl w:ilvl="0" w:tplc="41C221BC">
      <w:start w:val="306"/>
      <w:numFmt w:val="bullet"/>
      <w:lvlText w:val="-"/>
      <w:lvlJc w:val="left"/>
      <w:pPr>
        <w:ind w:left="720" w:hanging="360"/>
      </w:pPr>
      <w:rPr>
        <w:rFonts w:ascii="Arial" w:eastAsia="Times New Roman" w:hAnsi="Aria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4">
    <w:nsid w:val="5BA048BA"/>
    <w:multiLevelType w:val="hybridMultilevel"/>
    <w:tmpl w:val="896C55C0"/>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5">
    <w:nsid w:val="5C8A6519"/>
    <w:multiLevelType w:val="hybridMultilevel"/>
    <w:tmpl w:val="371EC5BA"/>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nsid w:val="5E5F3D49"/>
    <w:multiLevelType w:val="hybridMultilevel"/>
    <w:tmpl w:val="D8A8403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7">
    <w:nsid w:val="5F074AEE"/>
    <w:multiLevelType w:val="hybridMultilevel"/>
    <w:tmpl w:val="8566FA00"/>
    <w:lvl w:ilvl="0" w:tplc="6AD84D16">
      <w:start w:val="1"/>
      <w:numFmt w:val="bullet"/>
      <w:pStyle w:val="BulletNormal"/>
      <w:lvlText w:val="o"/>
      <w:lvlJc w:val="left"/>
      <w:pPr>
        <w:ind w:left="720" w:hanging="360"/>
      </w:pPr>
      <w:rPr>
        <w:rFonts w:ascii="Wingdings" w:hAnsi="Wingdings" w:hint="default"/>
        <w:color w:val="1F497D"/>
        <w:sz w:val="14"/>
      </w:rPr>
    </w:lvl>
    <w:lvl w:ilvl="1" w:tplc="04020003" w:tentative="1">
      <w:start w:val="1"/>
      <w:numFmt w:val="bullet"/>
      <w:lvlText w:val="o"/>
      <w:lvlJc w:val="left"/>
      <w:pPr>
        <w:ind w:left="1440" w:hanging="360"/>
      </w:pPr>
      <w:rPr>
        <w:rFonts w:ascii="Courier New" w:hAnsi="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8">
    <w:nsid w:val="5F47659D"/>
    <w:multiLevelType w:val="hybridMultilevel"/>
    <w:tmpl w:val="F8125A7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9">
    <w:nsid w:val="61333439"/>
    <w:multiLevelType w:val="multilevel"/>
    <w:tmpl w:val="2B3059A8"/>
    <w:lvl w:ilvl="0">
      <w:start w:val="3"/>
      <w:numFmt w:val="decimal"/>
      <w:lvlText w:val="%1."/>
      <w:lvlJc w:val="left"/>
      <w:pPr>
        <w:ind w:left="450" w:hanging="450"/>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50">
    <w:nsid w:val="632F532D"/>
    <w:multiLevelType w:val="hybridMultilevel"/>
    <w:tmpl w:val="6E88C110"/>
    <w:lvl w:ilvl="0" w:tplc="10090001">
      <w:start w:val="1"/>
      <w:numFmt w:val="bullet"/>
      <w:lvlText w:val=""/>
      <w:lvlJc w:val="left"/>
      <w:pPr>
        <w:ind w:left="4968" w:hanging="360"/>
      </w:pPr>
      <w:rPr>
        <w:rFonts w:ascii="Symbol" w:hAnsi="Symbol" w:hint="default"/>
      </w:rPr>
    </w:lvl>
    <w:lvl w:ilvl="1" w:tplc="04020003" w:tentative="1">
      <w:start w:val="1"/>
      <w:numFmt w:val="bullet"/>
      <w:lvlText w:val="o"/>
      <w:lvlJc w:val="left"/>
      <w:pPr>
        <w:ind w:left="5688" w:hanging="360"/>
      </w:pPr>
      <w:rPr>
        <w:rFonts w:ascii="Courier New" w:hAnsi="Courier New" w:hint="default"/>
      </w:rPr>
    </w:lvl>
    <w:lvl w:ilvl="2" w:tplc="04020005" w:tentative="1">
      <w:start w:val="1"/>
      <w:numFmt w:val="bullet"/>
      <w:lvlText w:val=""/>
      <w:lvlJc w:val="left"/>
      <w:pPr>
        <w:ind w:left="6408" w:hanging="360"/>
      </w:pPr>
      <w:rPr>
        <w:rFonts w:ascii="Wingdings" w:hAnsi="Wingdings" w:hint="default"/>
      </w:rPr>
    </w:lvl>
    <w:lvl w:ilvl="3" w:tplc="04020001" w:tentative="1">
      <w:start w:val="1"/>
      <w:numFmt w:val="bullet"/>
      <w:lvlText w:val=""/>
      <w:lvlJc w:val="left"/>
      <w:pPr>
        <w:ind w:left="7128" w:hanging="360"/>
      </w:pPr>
      <w:rPr>
        <w:rFonts w:ascii="Symbol" w:hAnsi="Symbol" w:hint="default"/>
      </w:rPr>
    </w:lvl>
    <w:lvl w:ilvl="4" w:tplc="04020003" w:tentative="1">
      <w:start w:val="1"/>
      <w:numFmt w:val="bullet"/>
      <w:lvlText w:val="o"/>
      <w:lvlJc w:val="left"/>
      <w:pPr>
        <w:ind w:left="7848" w:hanging="360"/>
      </w:pPr>
      <w:rPr>
        <w:rFonts w:ascii="Courier New" w:hAnsi="Courier New" w:hint="default"/>
      </w:rPr>
    </w:lvl>
    <w:lvl w:ilvl="5" w:tplc="04020005" w:tentative="1">
      <w:start w:val="1"/>
      <w:numFmt w:val="bullet"/>
      <w:lvlText w:val=""/>
      <w:lvlJc w:val="left"/>
      <w:pPr>
        <w:ind w:left="8568" w:hanging="360"/>
      </w:pPr>
      <w:rPr>
        <w:rFonts w:ascii="Wingdings" w:hAnsi="Wingdings" w:hint="default"/>
      </w:rPr>
    </w:lvl>
    <w:lvl w:ilvl="6" w:tplc="04020001" w:tentative="1">
      <w:start w:val="1"/>
      <w:numFmt w:val="bullet"/>
      <w:lvlText w:val=""/>
      <w:lvlJc w:val="left"/>
      <w:pPr>
        <w:ind w:left="9288" w:hanging="360"/>
      </w:pPr>
      <w:rPr>
        <w:rFonts w:ascii="Symbol" w:hAnsi="Symbol" w:hint="default"/>
      </w:rPr>
    </w:lvl>
    <w:lvl w:ilvl="7" w:tplc="04020003" w:tentative="1">
      <w:start w:val="1"/>
      <w:numFmt w:val="bullet"/>
      <w:lvlText w:val="o"/>
      <w:lvlJc w:val="left"/>
      <w:pPr>
        <w:ind w:left="10008" w:hanging="360"/>
      </w:pPr>
      <w:rPr>
        <w:rFonts w:ascii="Courier New" w:hAnsi="Courier New" w:hint="default"/>
      </w:rPr>
    </w:lvl>
    <w:lvl w:ilvl="8" w:tplc="04020005" w:tentative="1">
      <w:start w:val="1"/>
      <w:numFmt w:val="bullet"/>
      <w:lvlText w:val=""/>
      <w:lvlJc w:val="left"/>
      <w:pPr>
        <w:ind w:left="10728" w:hanging="360"/>
      </w:pPr>
      <w:rPr>
        <w:rFonts w:ascii="Wingdings" w:hAnsi="Wingdings" w:hint="default"/>
      </w:rPr>
    </w:lvl>
  </w:abstractNum>
  <w:abstractNum w:abstractNumId="51">
    <w:nsid w:val="63D2391B"/>
    <w:multiLevelType w:val="hybridMultilevel"/>
    <w:tmpl w:val="232231F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2">
    <w:nsid w:val="64A6069A"/>
    <w:multiLevelType w:val="multilevel"/>
    <w:tmpl w:val="989C13BC"/>
    <w:lvl w:ilvl="0">
      <w:start w:val="1"/>
      <w:numFmt w:val="decimal"/>
      <w:pStyle w:val="ListNumber"/>
      <w:lvlText w:val="%1"/>
      <w:lvlJc w:val="left"/>
      <w:pPr>
        <w:tabs>
          <w:tab w:val="num" w:pos="425"/>
        </w:tabs>
        <w:ind w:left="425" w:hanging="425"/>
      </w:pPr>
      <w:rPr>
        <w:rFonts w:cs="Times New Roman"/>
      </w:rPr>
    </w:lvl>
    <w:lvl w:ilvl="1">
      <w:start w:val="1"/>
      <w:numFmt w:val="decimal"/>
      <w:pStyle w:val="ListNumber2"/>
      <w:lvlText w:val="%1.%2"/>
      <w:lvlJc w:val="left"/>
      <w:pPr>
        <w:tabs>
          <w:tab w:val="num" w:pos="851"/>
        </w:tabs>
        <w:ind w:left="851" w:hanging="426"/>
      </w:pPr>
      <w:rPr>
        <w:rFonts w:cs="Times New Roman"/>
      </w:rPr>
    </w:lvl>
    <w:lvl w:ilvl="2">
      <w:start w:val="1"/>
      <w:numFmt w:val="lowerLetter"/>
      <w:pStyle w:val="ListNumber3"/>
      <w:lvlText w:val="%3)"/>
      <w:lvlJc w:val="left"/>
      <w:pPr>
        <w:tabs>
          <w:tab w:val="num" w:pos="1211"/>
        </w:tabs>
        <w:ind w:left="851"/>
      </w:pPr>
      <w:rPr>
        <w:rFonts w:cs="Times New Roman"/>
      </w:rPr>
    </w:lvl>
    <w:lvl w:ilvl="3">
      <w:start w:val="1"/>
      <w:numFmt w:val="decimal"/>
      <w:lvlText w:val="%1.%2.%3.%4."/>
      <w:lvlJc w:val="left"/>
      <w:pPr>
        <w:tabs>
          <w:tab w:val="num" w:pos="2520"/>
        </w:tabs>
        <w:ind w:left="1728" w:hanging="648"/>
      </w:pPr>
      <w:rPr>
        <w:rFonts w:cs="Times New Roman"/>
      </w:rPr>
    </w:lvl>
    <w:lvl w:ilvl="4">
      <w:start w:val="1"/>
      <w:numFmt w:val="decimal"/>
      <w:lvlText w:val="%1.%2.%3.%4.%5."/>
      <w:lvlJc w:val="left"/>
      <w:pPr>
        <w:tabs>
          <w:tab w:val="num" w:pos="3240"/>
        </w:tabs>
        <w:ind w:left="2232" w:hanging="792"/>
      </w:pPr>
      <w:rPr>
        <w:rFonts w:cs="Times New Roman"/>
      </w:rPr>
    </w:lvl>
    <w:lvl w:ilvl="5">
      <w:start w:val="1"/>
      <w:numFmt w:val="decimal"/>
      <w:lvlText w:val="%1.%2.%3.%4.%5.%6."/>
      <w:lvlJc w:val="left"/>
      <w:pPr>
        <w:tabs>
          <w:tab w:val="num" w:pos="3600"/>
        </w:tabs>
        <w:ind w:left="2736" w:hanging="936"/>
      </w:pPr>
      <w:rPr>
        <w:rFonts w:cs="Times New Roman"/>
      </w:rPr>
    </w:lvl>
    <w:lvl w:ilvl="6">
      <w:start w:val="1"/>
      <w:numFmt w:val="decimal"/>
      <w:lvlText w:val="%1.%2.%3.%4.%5.%6.%7."/>
      <w:lvlJc w:val="left"/>
      <w:pPr>
        <w:tabs>
          <w:tab w:val="num" w:pos="4320"/>
        </w:tabs>
        <w:ind w:left="3240" w:hanging="1080"/>
      </w:pPr>
      <w:rPr>
        <w:rFonts w:cs="Times New Roman"/>
      </w:rPr>
    </w:lvl>
    <w:lvl w:ilvl="7">
      <w:start w:val="1"/>
      <w:numFmt w:val="decimal"/>
      <w:lvlText w:val="%1.%2.%3.%4.%5.%6.%7.%8."/>
      <w:lvlJc w:val="left"/>
      <w:pPr>
        <w:tabs>
          <w:tab w:val="num" w:pos="5040"/>
        </w:tabs>
        <w:ind w:left="3744" w:hanging="1224"/>
      </w:pPr>
      <w:rPr>
        <w:rFonts w:cs="Times New Roman"/>
      </w:rPr>
    </w:lvl>
    <w:lvl w:ilvl="8">
      <w:start w:val="1"/>
      <w:numFmt w:val="decimal"/>
      <w:lvlText w:val="%1.%2.%3.%4.%5.%6.%7.%8.%9."/>
      <w:lvlJc w:val="left"/>
      <w:pPr>
        <w:tabs>
          <w:tab w:val="num" w:pos="5760"/>
        </w:tabs>
        <w:ind w:left="4320" w:hanging="1440"/>
      </w:pPr>
      <w:rPr>
        <w:rFonts w:cs="Times New Roman"/>
      </w:rPr>
    </w:lvl>
  </w:abstractNum>
  <w:abstractNum w:abstractNumId="53">
    <w:nsid w:val="665A66ED"/>
    <w:multiLevelType w:val="hybridMultilevel"/>
    <w:tmpl w:val="7988B6E2"/>
    <w:lvl w:ilvl="0" w:tplc="04090003">
      <w:start w:val="1"/>
      <w:numFmt w:val="bullet"/>
      <w:lvlText w:val="o"/>
      <w:lvlJc w:val="left"/>
      <w:pPr>
        <w:ind w:left="1080" w:hanging="360"/>
      </w:pPr>
      <w:rPr>
        <w:rFonts w:ascii="Courier New" w:hAnsi="Courier New"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4">
    <w:nsid w:val="67811DBB"/>
    <w:multiLevelType w:val="hybridMultilevel"/>
    <w:tmpl w:val="D646D246"/>
    <w:lvl w:ilvl="0" w:tplc="56BCF546">
      <w:start w:val="1"/>
      <w:numFmt w:val="decimal"/>
      <w:pStyle w:val="Numpara"/>
      <w:lvlText w:val="[%1]"/>
      <w:lvlJc w:val="left"/>
      <w:pPr>
        <w:ind w:left="720" w:hanging="360"/>
      </w:pPr>
      <w:rPr>
        <w:rFonts w:cs="Times New Roman" w:hint="default"/>
      </w:rPr>
    </w:lvl>
    <w:lvl w:ilvl="1" w:tplc="08090019">
      <w:start w:val="1"/>
      <w:numFmt w:val="lowerLetter"/>
      <w:lvlText w:val="%2."/>
      <w:lvlJc w:val="left"/>
      <w:pPr>
        <w:ind w:left="1080" w:hanging="360"/>
      </w:pPr>
      <w:rPr>
        <w:rFonts w:cs="Times New Roman"/>
      </w:rPr>
    </w:lvl>
    <w:lvl w:ilvl="2" w:tplc="0809001B">
      <w:start w:val="1"/>
      <w:numFmt w:val="lowerRoman"/>
      <w:lvlText w:val="%3."/>
      <w:lvlJc w:val="right"/>
      <w:pPr>
        <w:ind w:left="1800" w:hanging="180"/>
      </w:pPr>
      <w:rPr>
        <w:rFonts w:cs="Times New Roman"/>
      </w:rPr>
    </w:lvl>
    <w:lvl w:ilvl="3" w:tplc="0809000F">
      <w:start w:val="1"/>
      <w:numFmt w:val="decimal"/>
      <w:lvlText w:val="%4."/>
      <w:lvlJc w:val="left"/>
      <w:pPr>
        <w:ind w:left="2520" w:hanging="360"/>
      </w:pPr>
      <w:rPr>
        <w:rFonts w:cs="Times New Roman"/>
      </w:rPr>
    </w:lvl>
    <w:lvl w:ilvl="4" w:tplc="08090019" w:tentative="1">
      <w:start w:val="1"/>
      <w:numFmt w:val="lowerLetter"/>
      <w:lvlText w:val="%5."/>
      <w:lvlJc w:val="left"/>
      <w:pPr>
        <w:ind w:left="3240" w:hanging="360"/>
      </w:pPr>
      <w:rPr>
        <w:rFonts w:cs="Times New Roman"/>
      </w:rPr>
    </w:lvl>
    <w:lvl w:ilvl="5" w:tplc="0809001B" w:tentative="1">
      <w:start w:val="1"/>
      <w:numFmt w:val="lowerRoman"/>
      <w:lvlText w:val="%6."/>
      <w:lvlJc w:val="right"/>
      <w:pPr>
        <w:ind w:left="3960" w:hanging="180"/>
      </w:pPr>
      <w:rPr>
        <w:rFonts w:cs="Times New Roman"/>
      </w:rPr>
    </w:lvl>
    <w:lvl w:ilvl="6" w:tplc="0809000F" w:tentative="1">
      <w:start w:val="1"/>
      <w:numFmt w:val="decimal"/>
      <w:lvlText w:val="%7."/>
      <w:lvlJc w:val="left"/>
      <w:pPr>
        <w:ind w:left="4680" w:hanging="360"/>
      </w:pPr>
      <w:rPr>
        <w:rFonts w:cs="Times New Roman"/>
      </w:rPr>
    </w:lvl>
    <w:lvl w:ilvl="7" w:tplc="08090019" w:tentative="1">
      <w:start w:val="1"/>
      <w:numFmt w:val="lowerLetter"/>
      <w:lvlText w:val="%8."/>
      <w:lvlJc w:val="left"/>
      <w:pPr>
        <w:ind w:left="5400" w:hanging="360"/>
      </w:pPr>
      <w:rPr>
        <w:rFonts w:cs="Times New Roman"/>
      </w:rPr>
    </w:lvl>
    <w:lvl w:ilvl="8" w:tplc="0809001B" w:tentative="1">
      <w:start w:val="1"/>
      <w:numFmt w:val="lowerRoman"/>
      <w:lvlText w:val="%9."/>
      <w:lvlJc w:val="right"/>
      <w:pPr>
        <w:ind w:left="6120" w:hanging="180"/>
      </w:pPr>
      <w:rPr>
        <w:rFonts w:cs="Times New Roman"/>
      </w:rPr>
    </w:lvl>
  </w:abstractNum>
  <w:abstractNum w:abstractNumId="55">
    <w:nsid w:val="67E17A8F"/>
    <w:multiLevelType w:val="hybridMultilevel"/>
    <w:tmpl w:val="CF4AC85A"/>
    <w:lvl w:ilvl="0" w:tplc="CBC85B32">
      <w:start w:val="1"/>
      <w:numFmt w:val="bullet"/>
      <w:lvlText w:val=""/>
      <w:lvlJc w:val="left"/>
      <w:pPr>
        <w:ind w:left="360" w:hanging="360"/>
      </w:pPr>
      <w:rPr>
        <w:rFonts w:ascii="Symbol" w:hAnsi="Symbol" w:hint="default"/>
        <w:sz w:val="18"/>
        <w:szCs w:val="18"/>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
    <w:nsid w:val="6AE35F44"/>
    <w:multiLevelType w:val="hybridMultilevel"/>
    <w:tmpl w:val="04C45680"/>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57">
    <w:nsid w:val="6CE971A5"/>
    <w:multiLevelType w:val="multilevel"/>
    <w:tmpl w:val="22F0C032"/>
    <w:lvl w:ilvl="0">
      <w:start w:val="2"/>
      <w:numFmt w:val="decimal"/>
      <w:lvlText w:val="%1."/>
      <w:lvlJc w:val="left"/>
      <w:pPr>
        <w:ind w:left="450" w:hanging="450"/>
      </w:pPr>
      <w:rPr>
        <w:rFonts w:cs="Times New Roman" w:hint="default"/>
      </w:rPr>
    </w:lvl>
    <w:lvl w:ilvl="1">
      <w:start w:val="1"/>
      <w:numFmt w:val="decimal"/>
      <w:lvlText w:val="%1.%2."/>
      <w:lvlJc w:val="left"/>
      <w:pPr>
        <w:ind w:left="720" w:hanging="720"/>
      </w:pPr>
      <w:rPr>
        <w:rFonts w:cs="Times New Roman" w:hint="default"/>
        <w:sz w:val="28"/>
        <w:szCs w:val="28"/>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58">
    <w:nsid w:val="6E5C21E5"/>
    <w:multiLevelType w:val="hybridMultilevel"/>
    <w:tmpl w:val="A42A9208"/>
    <w:lvl w:ilvl="0" w:tplc="08090011">
      <w:start w:val="1"/>
      <w:numFmt w:val="decimal"/>
      <w:lvlText w:val="%1)"/>
      <w:lvlJc w:val="left"/>
      <w:pPr>
        <w:tabs>
          <w:tab w:val="num" w:pos="360"/>
        </w:tabs>
        <w:ind w:left="360" w:hanging="360"/>
      </w:pPr>
      <w:rPr>
        <w:rFonts w:cs="Times New Roman"/>
      </w:rPr>
    </w:lvl>
    <w:lvl w:ilvl="1" w:tplc="7AEC4B80">
      <w:start w:val="1"/>
      <w:numFmt w:val="bullet"/>
      <w:pStyle w:val="ORObservation"/>
      <w:lvlText w:val="o"/>
      <w:lvlJc w:val="left"/>
      <w:pPr>
        <w:tabs>
          <w:tab w:val="num" w:pos="1080"/>
        </w:tabs>
        <w:ind w:left="1080" w:hanging="360"/>
      </w:pPr>
      <w:rPr>
        <w:rFonts w:ascii="Courier New" w:hAnsi="Courier New"/>
      </w:rPr>
    </w:lvl>
    <w:lvl w:ilvl="2" w:tplc="D3F2A90C">
      <w:start w:val="1"/>
      <w:numFmt w:val="bullet"/>
      <w:lvlText w:val=""/>
      <w:lvlJc w:val="left"/>
      <w:pPr>
        <w:tabs>
          <w:tab w:val="num" w:pos="1800"/>
        </w:tabs>
        <w:ind w:left="1800" w:hanging="360"/>
      </w:pPr>
      <w:rPr>
        <w:rFonts w:ascii="Wingdings" w:hAnsi="Wingdings"/>
      </w:rPr>
    </w:lvl>
    <w:lvl w:ilvl="3" w:tplc="A82E95FE">
      <w:start w:val="1"/>
      <w:numFmt w:val="bullet"/>
      <w:lvlText w:val=""/>
      <w:lvlJc w:val="left"/>
      <w:pPr>
        <w:tabs>
          <w:tab w:val="num" w:pos="2520"/>
        </w:tabs>
        <w:ind w:left="2520" w:hanging="360"/>
      </w:pPr>
      <w:rPr>
        <w:rFonts w:ascii="Symbol" w:hAnsi="Symbol"/>
      </w:rPr>
    </w:lvl>
    <w:lvl w:ilvl="4" w:tplc="D0FA8AA8">
      <w:start w:val="1"/>
      <w:numFmt w:val="bullet"/>
      <w:lvlText w:val="o"/>
      <w:lvlJc w:val="left"/>
      <w:pPr>
        <w:tabs>
          <w:tab w:val="num" w:pos="3240"/>
        </w:tabs>
        <w:ind w:left="3240" w:hanging="360"/>
      </w:pPr>
      <w:rPr>
        <w:rFonts w:ascii="Courier New" w:hAnsi="Courier New"/>
      </w:rPr>
    </w:lvl>
    <w:lvl w:ilvl="5" w:tplc="C538964A">
      <w:start w:val="1"/>
      <w:numFmt w:val="bullet"/>
      <w:lvlText w:val=""/>
      <w:lvlJc w:val="left"/>
      <w:pPr>
        <w:tabs>
          <w:tab w:val="num" w:pos="3960"/>
        </w:tabs>
        <w:ind w:left="3960" w:hanging="360"/>
      </w:pPr>
      <w:rPr>
        <w:rFonts w:ascii="Wingdings" w:hAnsi="Wingdings"/>
      </w:rPr>
    </w:lvl>
    <w:lvl w:ilvl="6" w:tplc="0DB43720">
      <w:start w:val="1"/>
      <w:numFmt w:val="bullet"/>
      <w:lvlText w:val=""/>
      <w:lvlJc w:val="left"/>
      <w:pPr>
        <w:tabs>
          <w:tab w:val="num" w:pos="4680"/>
        </w:tabs>
        <w:ind w:left="4680" w:hanging="360"/>
      </w:pPr>
      <w:rPr>
        <w:rFonts w:ascii="Symbol" w:hAnsi="Symbol"/>
      </w:rPr>
    </w:lvl>
    <w:lvl w:ilvl="7" w:tplc="2A4ACDE2">
      <w:start w:val="1"/>
      <w:numFmt w:val="bullet"/>
      <w:lvlText w:val="o"/>
      <w:lvlJc w:val="left"/>
      <w:pPr>
        <w:tabs>
          <w:tab w:val="num" w:pos="5400"/>
        </w:tabs>
        <w:ind w:left="5400" w:hanging="360"/>
      </w:pPr>
      <w:rPr>
        <w:rFonts w:ascii="Courier New" w:hAnsi="Courier New"/>
      </w:rPr>
    </w:lvl>
    <w:lvl w:ilvl="8" w:tplc="0F18814E">
      <w:start w:val="1"/>
      <w:numFmt w:val="bullet"/>
      <w:lvlText w:val=""/>
      <w:lvlJc w:val="left"/>
      <w:pPr>
        <w:tabs>
          <w:tab w:val="num" w:pos="6120"/>
        </w:tabs>
        <w:ind w:left="6120" w:hanging="360"/>
      </w:pPr>
      <w:rPr>
        <w:rFonts w:ascii="Wingdings" w:hAnsi="Wingdings"/>
      </w:rPr>
    </w:lvl>
  </w:abstractNum>
  <w:abstractNum w:abstractNumId="59">
    <w:nsid w:val="6F6C6481"/>
    <w:multiLevelType w:val="hybridMultilevel"/>
    <w:tmpl w:val="D8D01B3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0">
    <w:nsid w:val="6FA84BF3"/>
    <w:multiLevelType w:val="hybridMultilevel"/>
    <w:tmpl w:val="EC0C2BD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1">
    <w:nsid w:val="72190438"/>
    <w:multiLevelType w:val="hybridMultilevel"/>
    <w:tmpl w:val="C74E932C"/>
    <w:lvl w:ilvl="0" w:tplc="9C8636CE">
      <w:start w:val="1"/>
      <w:numFmt w:val="bullet"/>
      <w:lvlText w:val=""/>
      <w:lvlJc w:val="left"/>
      <w:pPr>
        <w:ind w:left="720" w:hanging="360"/>
      </w:pPr>
      <w:rPr>
        <w:rFonts w:ascii="Symbol" w:hAnsi="Symbol" w:hint="default"/>
        <w:sz w:val="18"/>
        <w:szCs w:val="18"/>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2">
    <w:nsid w:val="72451CF6"/>
    <w:multiLevelType w:val="hybridMultilevel"/>
    <w:tmpl w:val="545E14CC"/>
    <w:lvl w:ilvl="0" w:tplc="48925BA0">
      <w:start w:val="1"/>
      <w:numFmt w:val="bullet"/>
      <w:lvlText w:val=""/>
      <w:lvlJc w:val="left"/>
      <w:pPr>
        <w:ind w:left="720" w:hanging="360"/>
      </w:pPr>
      <w:rPr>
        <w:rFonts w:ascii="Wingdings" w:hAnsi="Wingdings" w:hint="default"/>
        <w:color w:val="365F91"/>
        <w:sz w:val="20"/>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3">
    <w:nsid w:val="73235823"/>
    <w:multiLevelType w:val="hybridMultilevel"/>
    <w:tmpl w:val="472E1562"/>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4">
    <w:nsid w:val="74D7242C"/>
    <w:multiLevelType w:val="hybridMultilevel"/>
    <w:tmpl w:val="4D866696"/>
    <w:lvl w:ilvl="0" w:tplc="04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5">
    <w:nsid w:val="75F6301A"/>
    <w:multiLevelType w:val="hybridMultilevel"/>
    <w:tmpl w:val="66D21EE4"/>
    <w:lvl w:ilvl="0" w:tplc="04090017">
      <w:start w:val="1"/>
      <w:numFmt w:val="lowerLetter"/>
      <w:lvlText w:val="%1)"/>
      <w:lvlJc w:val="left"/>
      <w:pPr>
        <w:ind w:left="1080" w:hanging="360"/>
      </w:pPr>
      <w:rPr>
        <w:rFonts w:cs="Times New Roman"/>
        <w:color w:val="auto"/>
      </w:rPr>
    </w:lvl>
    <w:lvl w:ilvl="1" w:tplc="10090019" w:tentative="1">
      <w:start w:val="1"/>
      <w:numFmt w:val="lowerLetter"/>
      <w:lvlText w:val="%2."/>
      <w:lvlJc w:val="left"/>
      <w:pPr>
        <w:ind w:left="1800" w:hanging="360"/>
      </w:pPr>
      <w:rPr>
        <w:rFonts w:cs="Times New Roman"/>
      </w:rPr>
    </w:lvl>
    <w:lvl w:ilvl="2" w:tplc="1009001B" w:tentative="1">
      <w:start w:val="1"/>
      <w:numFmt w:val="lowerRoman"/>
      <w:lvlText w:val="%3."/>
      <w:lvlJc w:val="right"/>
      <w:pPr>
        <w:ind w:left="2520" w:hanging="180"/>
      </w:pPr>
      <w:rPr>
        <w:rFonts w:cs="Times New Roman"/>
      </w:rPr>
    </w:lvl>
    <w:lvl w:ilvl="3" w:tplc="1009000F" w:tentative="1">
      <w:start w:val="1"/>
      <w:numFmt w:val="decimal"/>
      <w:lvlText w:val="%4."/>
      <w:lvlJc w:val="left"/>
      <w:pPr>
        <w:ind w:left="3240" w:hanging="360"/>
      </w:pPr>
      <w:rPr>
        <w:rFonts w:cs="Times New Roman"/>
      </w:rPr>
    </w:lvl>
    <w:lvl w:ilvl="4" w:tplc="10090019" w:tentative="1">
      <w:start w:val="1"/>
      <w:numFmt w:val="lowerLetter"/>
      <w:lvlText w:val="%5."/>
      <w:lvlJc w:val="left"/>
      <w:pPr>
        <w:ind w:left="3960" w:hanging="360"/>
      </w:pPr>
      <w:rPr>
        <w:rFonts w:cs="Times New Roman"/>
      </w:rPr>
    </w:lvl>
    <w:lvl w:ilvl="5" w:tplc="1009001B" w:tentative="1">
      <w:start w:val="1"/>
      <w:numFmt w:val="lowerRoman"/>
      <w:lvlText w:val="%6."/>
      <w:lvlJc w:val="right"/>
      <w:pPr>
        <w:ind w:left="4680" w:hanging="180"/>
      </w:pPr>
      <w:rPr>
        <w:rFonts w:cs="Times New Roman"/>
      </w:rPr>
    </w:lvl>
    <w:lvl w:ilvl="6" w:tplc="1009000F" w:tentative="1">
      <w:start w:val="1"/>
      <w:numFmt w:val="decimal"/>
      <w:lvlText w:val="%7."/>
      <w:lvlJc w:val="left"/>
      <w:pPr>
        <w:ind w:left="5400" w:hanging="360"/>
      </w:pPr>
      <w:rPr>
        <w:rFonts w:cs="Times New Roman"/>
      </w:rPr>
    </w:lvl>
    <w:lvl w:ilvl="7" w:tplc="10090019" w:tentative="1">
      <w:start w:val="1"/>
      <w:numFmt w:val="lowerLetter"/>
      <w:lvlText w:val="%8."/>
      <w:lvlJc w:val="left"/>
      <w:pPr>
        <w:ind w:left="6120" w:hanging="360"/>
      </w:pPr>
      <w:rPr>
        <w:rFonts w:cs="Times New Roman"/>
      </w:rPr>
    </w:lvl>
    <w:lvl w:ilvl="8" w:tplc="1009001B" w:tentative="1">
      <w:start w:val="1"/>
      <w:numFmt w:val="lowerRoman"/>
      <w:lvlText w:val="%9."/>
      <w:lvlJc w:val="right"/>
      <w:pPr>
        <w:ind w:left="6840" w:hanging="180"/>
      </w:pPr>
      <w:rPr>
        <w:rFonts w:cs="Times New Roman"/>
      </w:rPr>
    </w:lvl>
  </w:abstractNum>
  <w:abstractNum w:abstractNumId="66">
    <w:nsid w:val="77FC5372"/>
    <w:multiLevelType w:val="hybridMultilevel"/>
    <w:tmpl w:val="6A9656E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7">
    <w:nsid w:val="7D6555D7"/>
    <w:multiLevelType w:val="hybridMultilevel"/>
    <w:tmpl w:val="B53AEFA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8">
    <w:nsid w:val="7DEB71C7"/>
    <w:multiLevelType w:val="multilevel"/>
    <w:tmpl w:val="25A0E59E"/>
    <w:styleLink w:val="Style1"/>
    <w:lvl w:ilvl="0">
      <w:start w:val="1"/>
      <w:numFmt w:val="decimal"/>
      <w:lvlText w:val="%1."/>
      <w:lvlJc w:val="left"/>
      <w:pPr>
        <w:ind w:left="360" w:hanging="360"/>
      </w:pPr>
      <w:rPr>
        <w:rFonts w:cs="Times New Roman" w:hint="default"/>
      </w:rPr>
    </w:lvl>
    <w:lvl w:ilvl="1">
      <w:start w:val="1"/>
      <w:numFmt w:val="lowerLetter"/>
      <w:lvlText w:val="%2."/>
      <w:lvlJc w:val="left"/>
      <w:pPr>
        <w:ind w:left="1080" w:hanging="360"/>
      </w:pPr>
      <w:rPr>
        <w:rFonts w:cs="Times New Roman"/>
      </w:rPr>
    </w:lvl>
    <w:lvl w:ilvl="2">
      <w:start w:val="1"/>
      <w:numFmt w:val="lowerRoman"/>
      <w:lvlText w:val="%3."/>
      <w:lvlJc w:val="right"/>
      <w:pPr>
        <w:ind w:left="1800" w:hanging="180"/>
      </w:pPr>
      <w:rPr>
        <w:rFonts w:cs="Times New Roman"/>
      </w:rPr>
    </w:lvl>
    <w:lvl w:ilvl="3">
      <w:start w:val="1"/>
      <w:numFmt w:val="decimal"/>
      <w:lvlText w:val="%4."/>
      <w:lvlJc w:val="left"/>
      <w:pPr>
        <w:ind w:left="2520" w:hanging="360"/>
      </w:pPr>
      <w:rPr>
        <w:rFonts w:cs="Times New Roman"/>
      </w:rPr>
    </w:lvl>
    <w:lvl w:ilvl="4">
      <w:start w:val="1"/>
      <w:numFmt w:val="lowerLetter"/>
      <w:lvlText w:val="%5."/>
      <w:lvlJc w:val="left"/>
      <w:pPr>
        <w:ind w:left="3240" w:hanging="360"/>
      </w:pPr>
      <w:rPr>
        <w:rFonts w:cs="Times New Roman"/>
      </w:rPr>
    </w:lvl>
    <w:lvl w:ilvl="5">
      <w:start w:val="1"/>
      <w:numFmt w:val="lowerRoman"/>
      <w:lvlText w:val="%6."/>
      <w:lvlJc w:val="right"/>
      <w:pPr>
        <w:ind w:left="3960" w:hanging="180"/>
      </w:pPr>
      <w:rPr>
        <w:rFonts w:cs="Times New Roman"/>
      </w:rPr>
    </w:lvl>
    <w:lvl w:ilvl="6">
      <w:start w:val="1"/>
      <w:numFmt w:val="decimal"/>
      <w:lvlText w:val="%7."/>
      <w:lvlJc w:val="left"/>
      <w:pPr>
        <w:ind w:left="4680" w:hanging="360"/>
      </w:pPr>
      <w:rPr>
        <w:rFonts w:cs="Times New Roman"/>
      </w:rPr>
    </w:lvl>
    <w:lvl w:ilvl="7">
      <w:start w:val="1"/>
      <w:numFmt w:val="lowerLetter"/>
      <w:lvlText w:val="%8."/>
      <w:lvlJc w:val="left"/>
      <w:pPr>
        <w:ind w:left="5400" w:hanging="360"/>
      </w:pPr>
      <w:rPr>
        <w:rFonts w:cs="Times New Roman"/>
      </w:rPr>
    </w:lvl>
    <w:lvl w:ilvl="8">
      <w:start w:val="1"/>
      <w:numFmt w:val="lowerRoman"/>
      <w:lvlText w:val="%9."/>
      <w:lvlJc w:val="right"/>
      <w:pPr>
        <w:ind w:left="6120" w:hanging="180"/>
      </w:pPr>
      <w:rPr>
        <w:rFonts w:cs="Times New Roman"/>
      </w:rPr>
    </w:lvl>
  </w:abstractNum>
  <w:num w:numId="1">
    <w:abstractNumId w:val="26"/>
  </w:num>
  <w:num w:numId="2">
    <w:abstractNumId w:val="20"/>
  </w:num>
  <w:num w:numId="3">
    <w:abstractNumId w:val="62"/>
  </w:num>
  <w:num w:numId="4">
    <w:abstractNumId w:val="14"/>
  </w:num>
  <w:num w:numId="5">
    <w:abstractNumId w:val="53"/>
  </w:num>
  <w:num w:numId="6">
    <w:abstractNumId w:val="12"/>
  </w:num>
  <w:num w:numId="7">
    <w:abstractNumId w:val="7"/>
  </w:num>
  <w:num w:numId="8">
    <w:abstractNumId w:val="34"/>
  </w:num>
  <w:num w:numId="9">
    <w:abstractNumId w:val="1"/>
  </w:num>
  <w:num w:numId="10">
    <w:abstractNumId w:val="6"/>
  </w:num>
  <w:num w:numId="11">
    <w:abstractNumId w:val="48"/>
  </w:num>
  <w:num w:numId="12">
    <w:abstractNumId w:val="56"/>
  </w:num>
  <w:num w:numId="13">
    <w:abstractNumId w:val="44"/>
  </w:num>
  <w:num w:numId="14">
    <w:abstractNumId w:val="63"/>
  </w:num>
  <w:num w:numId="15">
    <w:abstractNumId w:val="40"/>
  </w:num>
  <w:num w:numId="16">
    <w:abstractNumId w:val="51"/>
  </w:num>
  <w:num w:numId="17">
    <w:abstractNumId w:val="50"/>
  </w:num>
  <w:num w:numId="18">
    <w:abstractNumId w:val="29"/>
  </w:num>
  <w:num w:numId="19">
    <w:abstractNumId w:val="24"/>
  </w:num>
  <w:num w:numId="20">
    <w:abstractNumId w:val="31"/>
  </w:num>
  <w:num w:numId="21">
    <w:abstractNumId w:val="19"/>
  </w:num>
  <w:num w:numId="22">
    <w:abstractNumId w:val="17"/>
  </w:num>
  <w:num w:numId="23">
    <w:abstractNumId w:val="28"/>
  </w:num>
  <w:num w:numId="24">
    <w:abstractNumId w:val="42"/>
  </w:num>
  <w:num w:numId="25">
    <w:abstractNumId w:val="57"/>
  </w:num>
  <w:num w:numId="26">
    <w:abstractNumId w:val="38"/>
  </w:num>
  <w:num w:numId="27">
    <w:abstractNumId w:val="16"/>
  </w:num>
  <w:num w:numId="28">
    <w:abstractNumId w:val="0"/>
  </w:num>
  <w:num w:numId="29">
    <w:abstractNumId w:val="33"/>
  </w:num>
  <w:num w:numId="30">
    <w:abstractNumId w:val="47"/>
  </w:num>
  <w:num w:numId="31">
    <w:abstractNumId w:val="9"/>
  </w:num>
  <w:num w:numId="32">
    <w:abstractNumId w:val="49"/>
  </w:num>
  <w:num w:numId="33">
    <w:abstractNumId w:val="66"/>
  </w:num>
  <w:num w:numId="34">
    <w:abstractNumId w:val="65"/>
  </w:num>
  <w:num w:numId="35">
    <w:abstractNumId w:val="22"/>
  </w:num>
  <w:num w:numId="36">
    <w:abstractNumId w:val="27"/>
  </w:num>
  <w:num w:numId="37">
    <w:abstractNumId w:val="4"/>
  </w:num>
  <w:num w:numId="38">
    <w:abstractNumId w:val="46"/>
  </w:num>
  <w:num w:numId="39">
    <w:abstractNumId w:val="5"/>
  </w:num>
  <w:num w:numId="40">
    <w:abstractNumId w:val="18"/>
  </w:num>
  <w:num w:numId="41">
    <w:abstractNumId w:val="2"/>
  </w:num>
  <w:num w:numId="42">
    <w:abstractNumId w:val="35"/>
  </w:num>
  <w:num w:numId="43">
    <w:abstractNumId w:val="43"/>
  </w:num>
  <w:num w:numId="44">
    <w:abstractNumId w:val="30"/>
  </w:num>
  <w:num w:numId="45">
    <w:abstractNumId w:val="11"/>
  </w:num>
  <w:num w:numId="46">
    <w:abstractNumId w:val="32"/>
  </w:num>
  <w:num w:numId="47">
    <w:abstractNumId w:val="37"/>
  </w:num>
  <w:num w:numId="48">
    <w:abstractNumId w:val="39"/>
  </w:num>
  <w:num w:numId="49">
    <w:abstractNumId w:val="36"/>
  </w:num>
  <w:num w:numId="50">
    <w:abstractNumId w:val="58"/>
  </w:num>
  <w:num w:numId="51">
    <w:abstractNumId w:val="52"/>
  </w:num>
  <w:num w:numId="52">
    <w:abstractNumId w:val="54"/>
  </w:num>
  <w:num w:numId="53">
    <w:abstractNumId w:val="68"/>
  </w:num>
  <w:num w:numId="54">
    <w:abstractNumId w:val="67"/>
  </w:num>
  <w:num w:numId="55">
    <w:abstractNumId w:val="15"/>
  </w:num>
  <w:num w:numId="56">
    <w:abstractNumId w:val="8"/>
  </w:num>
  <w:num w:numId="57">
    <w:abstractNumId w:val="61"/>
  </w:num>
  <w:num w:numId="58">
    <w:abstractNumId w:val="55"/>
  </w:num>
  <w:num w:numId="59">
    <w:abstractNumId w:val="10"/>
  </w:num>
  <w:num w:numId="60">
    <w:abstractNumId w:val="60"/>
  </w:num>
  <w:num w:numId="61">
    <w:abstractNumId w:val="23"/>
  </w:num>
  <w:num w:numId="62">
    <w:abstractNumId w:val="21"/>
  </w:num>
  <w:num w:numId="63">
    <w:abstractNumId w:val="59"/>
  </w:num>
  <w:num w:numId="64">
    <w:abstractNumId w:val="3"/>
  </w:num>
  <w:num w:numId="65">
    <w:abstractNumId w:val="25"/>
  </w:num>
  <w:num w:numId="66">
    <w:abstractNumId w:val="45"/>
  </w:num>
  <w:num w:numId="67">
    <w:abstractNumId w:val="64"/>
  </w:num>
  <w:num w:numId="68">
    <w:abstractNumId w:val="13"/>
  </w:num>
  <w:num w:numId="69">
    <w:abstractNumId w:val="41"/>
  </w:num>
  <w:num w:numId="70">
    <w:abstractNumId w:val="34"/>
  </w:num>
  <w:num w:numId="71">
    <w:abstractNumId w:val="26"/>
  </w:num>
  <w:num w:numId="72">
    <w:abstractNumId w:val="26"/>
  </w:num>
  <w:num w:numId="73">
    <w:abstractNumId w:val="26"/>
  </w:num>
  <w:numIdMacAtCleanup w:val="6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Dimitar Nikolaev Nachev">
    <w15:presenceInfo w15:providerId="AD" w15:userId="S-1-5-21-88094858-919529-1617787245-64700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1"/>
  <w:hideSpellingErrors/>
  <w:hideGrammatical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24EB"/>
    <w:rsid w:val="000000D3"/>
    <w:rsid w:val="0000042D"/>
    <w:rsid w:val="00000875"/>
    <w:rsid w:val="00000C0E"/>
    <w:rsid w:val="00001356"/>
    <w:rsid w:val="00001F03"/>
    <w:rsid w:val="00002E0A"/>
    <w:rsid w:val="0000317F"/>
    <w:rsid w:val="00003CBD"/>
    <w:rsid w:val="00003FC0"/>
    <w:rsid w:val="000042EF"/>
    <w:rsid w:val="00005B49"/>
    <w:rsid w:val="00006D0E"/>
    <w:rsid w:val="00007025"/>
    <w:rsid w:val="00007CF9"/>
    <w:rsid w:val="00011146"/>
    <w:rsid w:val="00012B25"/>
    <w:rsid w:val="00013C78"/>
    <w:rsid w:val="00014283"/>
    <w:rsid w:val="0001431A"/>
    <w:rsid w:val="00014A2B"/>
    <w:rsid w:val="00017F04"/>
    <w:rsid w:val="00020A3C"/>
    <w:rsid w:val="00020CB3"/>
    <w:rsid w:val="00020EE7"/>
    <w:rsid w:val="00021910"/>
    <w:rsid w:val="00021964"/>
    <w:rsid w:val="000269B0"/>
    <w:rsid w:val="00026CE5"/>
    <w:rsid w:val="0003037A"/>
    <w:rsid w:val="00030C1F"/>
    <w:rsid w:val="00030EB6"/>
    <w:rsid w:val="00032797"/>
    <w:rsid w:val="00032E1F"/>
    <w:rsid w:val="00032F94"/>
    <w:rsid w:val="000334B8"/>
    <w:rsid w:val="00033E25"/>
    <w:rsid w:val="0003428B"/>
    <w:rsid w:val="000346EE"/>
    <w:rsid w:val="00034FF2"/>
    <w:rsid w:val="00035EA4"/>
    <w:rsid w:val="000372FB"/>
    <w:rsid w:val="00037FEC"/>
    <w:rsid w:val="00041C02"/>
    <w:rsid w:val="0004328D"/>
    <w:rsid w:val="000435FC"/>
    <w:rsid w:val="00043769"/>
    <w:rsid w:val="000437F2"/>
    <w:rsid w:val="00043D21"/>
    <w:rsid w:val="00045633"/>
    <w:rsid w:val="00045F19"/>
    <w:rsid w:val="00046EC3"/>
    <w:rsid w:val="00047CEA"/>
    <w:rsid w:val="00050598"/>
    <w:rsid w:val="00053730"/>
    <w:rsid w:val="0005417E"/>
    <w:rsid w:val="0005455C"/>
    <w:rsid w:val="00055C3B"/>
    <w:rsid w:val="000614A3"/>
    <w:rsid w:val="000615CA"/>
    <w:rsid w:val="00061D64"/>
    <w:rsid w:val="00063F2E"/>
    <w:rsid w:val="00065240"/>
    <w:rsid w:val="00066772"/>
    <w:rsid w:val="000669EB"/>
    <w:rsid w:val="00066EE6"/>
    <w:rsid w:val="0006713D"/>
    <w:rsid w:val="00070C6C"/>
    <w:rsid w:val="00070EE4"/>
    <w:rsid w:val="00071222"/>
    <w:rsid w:val="00071CF8"/>
    <w:rsid w:val="000721CB"/>
    <w:rsid w:val="00073735"/>
    <w:rsid w:val="00073A06"/>
    <w:rsid w:val="00076F02"/>
    <w:rsid w:val="0007759C"/>
    <w:rsid w:val="00080DE6"/>
    <w:rsid w:val="00081A99"/>
    <w:rsid w:val="00081E2A"/>
    <w:rsid w:val="0008216C"/>
    <w:rsid w:val="00083BE1"/>
    <w:rsid w:val="00084198"/>
    <w:rsid w:val="000903D1"/>
    <w:rsid w:val="0009041F"/>
    <w:rsid w:val="0009148A"/>
    <w:rsid w:val="000928F1"/>
    <w:rsid w:val="000940EC"/>
    <w:rsid w:val="00094D01"/>
    <w:rsid w:val="000952A0"/>
    <w:rsid w:val="00096C93"/>
    <w:rsid w:val="00096D5A"/>
    <w:rsid w:val="00097C02"/>
    <w:rsid w:val="000A01D3"/>
    <w:rsid w:val="000A1112"/>
    <w:rsid w:val="000A1AFB"/>
    <w:rsid w:val="000A2750"/>
    <w:rsid w:val="000A3652"/>
    <w:rsid w:val="000A3DAE"/>
    <w:rsid w:val="000A3F0B"/>
    <w:rsid w:val="000A48C2"/>
    <w:rsid w:val="000A4906"/>
    <w:rsid w:val="000A646A"/>
    <w:rsid w:val="000A6970"/>
    <w:rsid w:val="000A7630"/>
    <w:rsid w:val="000A7E9C"/>
    <w:rsid w:val="000B0542"/>
    <w:rsid w:val="000B0880"/>
    <w:rsid w:val="000B2287"/>
    <w:rsid w:val="000B36A5"/>
    <w:rsid w:val="000B399A"/>
    <w:rsid w:val="000B4D34"/>
    <w:rsid w:val="000B526F"/>
    <w:rsid w:val="000B5D02"/>
    <w:rsid w:val="000B691A"/>
    <w:rsid w:val="000B7608"/>
    <w:rsid w:val="000B7B82"/>
    <w:rsid w:val="000C00E0"/>
    <w:rsid w:val="000C247A"/>
    <w:rsid w:val="000C278B"/>
    <w:rsid w:val="000C56F2"/>
    <w:rsid w:val="000C5F0F"/>
    <w:rsid w:val="000C6AF8"/>
    <w:rsid w:val="000D1176"/>
    <w:rsid w:val="000D39D8"/>
    <w:rsid w:val="000D5CA8"/>
    <w:rsid w:val="000D5E0F"/>
    <w:rsid w:val="000D7344"/>
    <w:rsid w:val="000D759E"/>
    <w:rsid w:val="000D7FF1"/>
    <w:rsid w:val="000E2084"/>
    <w:rsid w:val="000E333D"/>
    <w:rsid w:val="000E55B2"/>
    <w:rsid w:val="000E5BFB"/>
    <w:rsid w:val="000E666B"/>
    <w:rsid w:val="000E7175"/>
    <w:rsid w:val="000E7CEF"/>
    <w:rsid w:val="000E7F93"/>
    <w:rsid w:val="000F2155"/>
    <w:rsid w:val="000F29DD"/>
    <w:rsid w:val="000F2DE4"/>
    <w:rsid w:val="000F365E"/>
    <w:rsid w:val="000F3D47"/>
    <w:rsid w:val="000F45B8"/>
    <w:rsid w:val="000F4FE3"/>
    <w:rsid w:val="000F51F7"/>
    <w:rsid w:val="000F58A8"/>
    <w:rsid w:val="000F6491"/>
    <w:rsid w:val="001007A3"/>
    <w:rsid w:val="0010092F"/>
    <w:rsid w:val="0010196A"/>
    <w:rsid w:val="00101C05"/>
    <w:rsid w:val="00105E28"/>
    <w:rsid w:val="00110A0C"/>
    <w:rsid w:val="00110CB8"/>
    <w:rsid w:val="001116B6"/>
    <w:rsid w:val="00111FB3"/>
    <w:rsid w:val="0011233E"/>
    <w:rsid w:val="001130CC"/>
    <w:rsid w:val="00113167"/>
    <w:rsid w:val="00114A2C"/>
    <w:rsid w:val="0011652D"/>
    <w:rsid w:val="00120399"/>
    <w:rsid w:val="00120768"/>
    <w:rsid w:val="00121579"/>
    <w:rsid w:val="00123161"/>
    <w:rsid w:val="00124F24"/>
    <w:rsid w:val="00125B10"/>
    <w:rsid w:val="00125E34"/>
    <w:rsid w:val="00126A7F"/>
    <w:rsid w:val="00130F51"/>
    <w:rsid w:val="00131D0B"/>
    <w:rsid w:val="00132EA6"/>
    <w:rsid w:val="0013400D"/>
    <w:rsid w:val="00135491"/>
    <w:rsid w:val="0013592F"/>
    <w:rsid w:val="00136498"/>
    <w:rsid w:val="00137AC9"/>
    <w:rsid w:val="00141B09"/>
    <w:rsid w:val="0014229F"/>
    <w:rsid w:val="0014407C"/>
    <w:rsid w:val="001451FC"/>
    <w:rsid w:val="001453DB"/>
    <w:rsid w:val="00145598"/>
    <w:rsid w:val="00145ADC"/>
    <w:rsid w:val="00145E55"/>
    <w:rsid w:val="001474E6"/>
    <w:rsid w:val="00150259"/>
    <w:rsid w:val="001509FA"/>
    <w:rsid w:val="00151C9D"/>
    <w:rsid w:val="0015228C"/>
    <w:rsid w:val="00152502"/>
    <w:rsid w:val="00154EFC"/>
    <w:rsid w:val="00155471"/>
    <w:rsid w:val="00155C41"/>
    <w:rsid w:val="0015703F"/>
    <w:rsid w:val="00157987"/>
    <w:rsid w:val="00157990"/>
    <w:rsid w:val="00160BCE"/>
    <w:rsid w:val="00162059"/>
    <w:rsid w:val="00162770"/>
    <w:rsid w:val="00163E93"/>
    <w:rsid w:val="00164468"/>
    <w:rsid w:val="0016449F"/>
    <w:rsid w:val="001657BD"/>
    <w:rsid w:val="00165CF5"/>
    <w:rsid w:val="00166CA1"/>
    <w:rsid w:val="00166CAF"/>
    <w:rsid w:val="0016745A"/>
    <w:rsid w:val="00171A7B"/>
    <w:rsid w:val="00172265"/>
    <w:rsid w:val="0017275B"/>
    <w:rsid w:val="00172FC5"/>
    <w:rsid w:val="001737AC"/>
    <w:rsid w:val="00173E44"/>
    <w:rsid w:val="00175297"/>
    <w:rsid w:val="001758CA"/>
    <w:rsid w:val="001768F6"/>
    <w:rsid w:val="00176B2E"/>
    <w:rsid w:val="00177DC8"/>
    <w:rsid w:val="0018085B"/>
    <w:rsid w:val="001811EB"/>
    <w:rsid w:val="00183716"/>
    <w:rsid w:val="00183885"/>
    <w:rsid w:val="00183906"/>
    <w:rsid w:val="001847CF"/>
    <w:rsid w:val="00185A30"/>
    <w:rsid w:val="001860A0"/>
    <w:rsid w:val="00186420"/>
    <w:rsid w:val="00186C79"/>
    <w:rsid w:val="00187B71"/>
    <w:rsid w:val="00191882"/>
    <w:rsid w:val="00191D4C"/>
    <w:rsid w:val="00192295"/>
    <w:rsid w:val="0019455A"/>
    <w:rsid w:val="00194E9E"/>
    <w:rsid w:val="00195589"/>
    <w:rsid w:val="00195EC1"/>
    <w:rsid w:val="00196AB5"/>
    <w:rsid w:val="00196F05"/>
    <w:rsid w:val="001A03B3"/>
    <w:rsid w:val="001A1A74"/>
    <w:rsid w:val="001A2B18"/>
    <w:rsid w:val="001A3F75"/>
    <w:rsid w:val="001A5910"/>
    <w:rsid w:val="001A5F22"/>
    <w:rsid w:val="001A6649"/>
    <w:rsid w:val="001A676D"/>
    <w:rsid w:val="001A6E6D"/>
    <w:rsid w:val="001A7A7A"/>
    <w:rsid w:val="001B1023"/>
    <w:rsid w:val="001B1947"/>
    <w:rsid w:val="001B22FB"/>
    <w:rsid w:val="001B2C18"/>
    <w:rsid w:val="001B35E9"/>
    <w:rsid w:val="001B4EAF"/>
    <w:rsid w:val="001B57A4"/>
    <w:rsid w:val="001B5FD6"/>
    <w:rsid w:val="001B65EE"/>
    <w:rsid w:val="001B766D"/>
    <w:rsid w:val="001C0515"/>
    <w:rsid w:val="001C0D99"/>
    <w:rsid w:val="001C2CFB"/>
    <w:rsid w:val="001C425A"/>
    <w:rsid w:val="001C4AF7"/>
    <w:rsid w:val="001D060E"/>
    <w:rsid w:val="001D2C05"/>
    <w:rsid w:val="001D3B14"/>
    <w:rsid w:val="001D4153"/>
    <w:rsid w:val="001D4BE9"/>
    <w:rsid w:val="001D51A6"/>
    <w:rsid w:val="001D6A97"/>
    <w:rsid w:val="001D73F1"/>
    <w:rsid w:val="001E0411"/>
    <w:rsid w:val="001E1A21"/>
    <w:rsid w:val="001E33A8"/>
    <w:rsid w:val="001E356F"/>
    <w:rsid w:val="001E43EC"/>
    <w:rsid w:val="001E50A7"/>
    <w:rsid w:val="001E6121"/>
    <w:rsid w:val="001E7099"/>
    <w:rsid w:val="001E7830"/>
    <w:rsid w:val="001F05B7"/>
    <w:rsid w:val="001F0AC9"/>
    <w:rsid w:val="001F1F07"/>
    <w:rsid w:val="001F32DD"/>
    <w:rsid w:val="001F6EF2"/>
    <w:rsid w:val="001F7670"/>
    <w:rsid w:val="001F7A39"/>
    <w:rsid w:val="0020050B"/>
    <w:rsid w:val="00201C88"/>
    <w:rsid w:val="00205C32"/>
    <w:rsid w:val="002071BF"/>
    <w:rsid w:val="00207D7C"/>
    <w:rsid w:val="00210A9A"/>
    <w:rsid w:val="00210AEF"/>
    <w:rsid w:val="00211574"/>
    <w:rsid w:val="00212CDB"/>
    <w:rsid w:val="00213716"/>
    <w:rsid w:val="0021418C"/>
    <w:rsid w:val="00215031"/>
    <w:rsid w:val="0021619E"/>
    <w:rsid w:val="00216213"/>
    <w:rsid w:val="002167A8"/>
    <w:rsid w:val="00217383"/>
    <w:rsid w:val="0021798A"/>
    <w:rsid w:val="002220CF"/>
    <w:rsid w:val="002224B4"/>
    <w:rsid w:val="0022277D"/>
    <w:rsid w:val="00222E3E"/>
    <w:rsid w:val="002241EB"/>
    <w:rsid w:val="002245F3"/>
    <w:rsid w:val="00227A95"/>
    <w:rsid w:val="00231191"/>
    <w:rsid w:val="00231331"/>
    <w:rsid w:val="002342C8"/>
    <w:rsid w:val="00234DFA"/>
    <w:rsid w:val="00234F80"/>
    <w:rsid w:val="0023547F"/>
    <w:rsid w:val="00236505"/>
    <w:rsid w:val="00236764"/>
    <w:rsid w:val="00240771"/>
    <w:rsid w:val="002423A3"/>
    <w:rsid w:val="002431E8"/>
    <w:rsid w:val="00246C55"/>
    <w:rsid w:val="002471AF"/>
    <w:rsid w:val="002519F9"/>
    <w:rsid w:val="002520C1"/>
    <w:rsid w:val="00252172"/>
    <w:rsid w:val="00252C02"/>
    <w:rsid w:val="0025360E"/>
    <w:rsid w:val="0025386A"/>
    <w:rsid w:val="0025566A"/>
    <w:rsid w:val="002560DB"/>
    <w:rsid w:val="00261AA3"/>
    <w:rsid w:val="0026205C"/>
    <w:rsid w:val="002629C1"/>
    <w:rsid w:val="002653DF"/>
    <w:rsid w:val="00265C74"/>
    <w:rsid w:val="0026689D"/>
    <w:rsid w:val="00266A36"/>
    <w:rsid w:val="00267265"/>
    <w:rsid w:val="002716B7"/>
    <w:rsid w:val="00271C95"/>
    <w:rsid w:val="00271F26"/>
    <w:rsid w:val="002721B7"/>
    <w:rsid w:val="00272CF3"/>
    <w:rsid w:val="00272DDB"/>
    <w:rsid w:val="00273B26"/>
    <w:rsid w:val="00274643"/>
    <w:rsid w:val="0027508B"/>
    <w:rsid w:val="00277F21"/>
    <w:rsid w:val="00280EEE"/>
    <w:rsid w:val="00282F6E"/>
    <w:rsid w:val="0028361B"/>
    <w:rsid w:val="00285944"/>
    <w:rsid w:val="00286F2D"/>
    <w:rsid w:val="002900A9"/>
    <w:rsid w:val="002903C4"/>
    <w:rsid w:val="00291C4A"/>
    <w:rsid w:val="00292660"/>
    <w:rsid w:val="00293749"/>
    <w:rsid w:val="00293BE6"/>
    <w:rsid w:val="002950A0"/>
    <w:rsid w:val="002953FE"/>
    <w:rsid w:val="00295A78"/>
    <w:rsid w:val="002961EA"/>
    <w:rsid w:val="002972C6"/>
    <w:rsid w:val="002A09A8"/>
    <w:rsid w:val="002A20D0"/>
    <w:rsid w:val="002A3BE8"/>
    <w:rsid w:val="002A5225"/>
    <w:rsid w:val="002A5992"/>
    <w:rsid w:val="002A5C13"/>
    <w:rsid w:val="002A68E0"/>
    <w:rsid w:val="002A7925"/>
    <w:rsid w:val="002B05AC"/>
    <w:rsid w:val="002B1283"/>
    <w:rsid w:val="002B1751"/>
    <w:rsid w:val="002B21B0"/>
    <w:rsid w:val="002B2948"/>
    <w:rsid w:val="002B4338"/>
    <w:rsid w:val="002B772A"/>
    <w:rsid w:val="002C08E3"/>
    <w:rsid w:val="002C1420"/>
    <w:rsid w:val="002C1FC2"/>
    <w:rsid w:val="002C203B"/>
    <w:rsid w:val="002C2981"/>
    <w:rsid w:val="002C2DAB"/>
    <w:rsid w:val="002C3924"/>
    <w:rsid w:val="002C6783"/>
    <w:rsid w:val="002D166E"/>
    <w:rsid w:val="002D201F"/>
    <w:rsid w:val="002D267C"/>
    <w:rsid w:val="002D5748"/>
    <w:rsid w:val="002D69E2"/>
    <w:rsid w:val="002D6A52"/>
    <w:rsid w:val="002D7DEA"/>
    <w:rsid w:val="002E0117"/>
    <w:rsid w:val="002E05D0"/>
    <w:rsid w:val="002E1136"/>
    <w:rsid w:val="002E55DC"/>
    <w:rsid w:val="002E5775"/>
    <w:rsid w:val="002E7BDE"/>
    <w:rsid w:val="002F0004"/>
    <w:rsid w:val="002F1902"/>
    <w:rsid w:val="002F2F4B"/>
    <w:rsid w:val="002F3199"/>
    <w:rsid w:val="002F3434"/>
    <w:rsid w:val="002F43BA"/>
    <w:rsid w:val="002F6893"/>
    <w:rsid w:val="002F68DA"/>
    <w:rsid w:val="002F73BE"/>
    <w:rsid w:val="0030096E"/>
    <w:rsid w:val="00300D31"/>
    <w:rsid w:val="00300D81"/>
    <w:rsid w:val="003037E1"/>
    <w:rsid w:val="00303A06"/>
    <w:rsid w:val="00303A4A"/>
    <w:rsid w:val="003052BA"/>
    <w:rsid w:val="00306824"/>
    <w:rsid w:val="0030792E"/>
    <w:rsid w:val="00307D3E"/>
    <w:rsid w:val="003139A5"/>
    <w:rsid w:val="00313F98"/>
    <w:rsid w:val="00314C63"/>
    <w:rsid w:val="00315A7A"/>
    <w:rsid w:val="00320213"/>
    <w:rsid w:val="003211EA"/>
    <w:rsid w:val="00322CD4"/>
    <w:rsid w:val="003231C0"/>
    <w:rsid w:val="00325C3E"/>
    <w:rsid w:val="00327C8D"/>
    <w:rsid w:val="00330190"/>
    <w:rsid w:val="003316C3"/>
    <w:rsid w:val="00333D03"/>
    <w:rsid w:val="00334015"/>
    <w:rsid w:val="0033402E"/>
    <w:rsid w:val="00335A59"/>
    <w:rsid w:val="00336AF8"/>
    <w:rsid w:val="003401DC"/>
    <w:rsid w:val="0034088D"/>
    <w:rsid w:val="003408AA"/>
    <w:rsid w:val="00342141"/>
    <w:rsid w:val="003427ED"/>
    <w:rsid w:val="0034329B"/>
    <w:rsid w:val="00343755"/>
    <w:rsid w:val="003445F8"/>
    <w:rsid w:val="00345141"/>
    <w:rsid w:val="0034628B"/>
    <w:rsid w:val="00346372"/>
    <w:rsid w:val="0034648D"/>
    <w:rsid w:val="00347EAF"/>
    <w:rsid w:val="0035162C"/>
    <w:rsid w:val="00352520"/>
    <w:rsid w:val="00352677"/>
    <w:rsid w:val="00353759"/>
    <w:rsid w:val="00353B0D"/>
    <w:rsid w:val="00354207"/>
    <w:rsid w:val="003552D7"/>
    <w:rsid w:val="003558D0"/>
    <w:rsid w:val="00356EA0"/>
    <w:rsid w:val="00357870"/>
    <w:rsid w:val="00360826"/>
    <w:rsid w:val="00361083"/>
    <w:rsid w:val="003613DF"/>
    <w:rsid w:val="00361DE6"/>
    <w:rsid w:val="00362A5F"/>
    <w:rsid w:val="0036324B"/>
    <w:rsid w:val="00363649"/>
    <w:rsid w:val="00364228"/>
    <w:rsid w:val="0036516E"/>
    <w:rsid w:val="0036526D"/>
    <w:rsid w:val="0036622E"/>
    <w:rsid w:val="003705C2"/>
    <w:rsid w:val="00370B51"/>
    <w:rsid w:val="00370F26"/>
    <w:rsid w:val="00374E66"/>
    <w:rsid w:val="00375DA6"/>
    <w:rsid w:val="00376628"/>
    <w:rsid w:val="003768AB"/>
    <w:rsid w:val="003772B4"/>
    <w:rsid w:val="003775CF"/>
    <w:rsid w:val="00381124"/>
    <w:rsid w:val="00383804"/>
    <w:rsid w:val="00384D58"/>
    <w:rsid w:val="00385986"/>
    <w:rsid w:val="00386031"/>
    <w:rsid w:val="0038673C"/>
    <w:rsid w:val="003920F3"/>
    <w:rsid w:val="0039244C"/>
    <w:rsid w:val="003939D1"/>
    <w:rsid w:val="00393AC8"/>
    <w:rsid w:val="00395676"/>
    <w:rsid w:val="00396A53"/>
    <w:rsid w:val="00396E85"/>
    <w:rsid w:val="003A00C3"/>
    <w:rsid w:val="003A07BD"/>
    <w:rsid w:val="003A244D"/>
    <w:rsid w:val="003A4E38"/>
    <w:rsid w:val="003A7383"/>
    <w:rsid w:val="003A76EB"/>
    <w:rsid w:val="003B005E"/>
    <w:rsid w:val="003B1507"/>
    <w:rsid w:val="003B37E8"/>
    <w:rsid w:val="003B482C"/>
    <w:rsid w:val="003B5B71"/>
    <w:rsid w:val="003B721E"/>
    <w:rsid w:val="003B791E"/>
    <w:rsid w:val="003B7DBD"/>
    <w:rsid w:val="003B7DC4"/>
    <w:rsid w:val="003C051F"/>
    <w:rsid w:val="003C13B7"/>
    <w:rsid w:val="003C3F1C"/>
    <w:rsid w:val="003C4150"/>
    <w:rsid w:val="003C453B"/>
    <w:rsid w:val="003C4648"/>
    <w:rsid w:val="003C4888"/>
    <w:rsid w:val="003C55F7"/>
    <w:rsid w:val="003C59B3"/>
    <w:rsid w:val="003C5C7F"/>
    <w:rsid w:val="003C7EC3"/>
    <w:rsid w:val="003D0F3B"/>
    <w:rsid w:val="003D10B5"/>
    <w:rsid w:val="003D198C"/>
    <w:rsid w:val="003D305D"/>
    <w:rsid w:val="003D447E"/>
    <w:rsid w:val="003D4F1F"/>
    <w:rsid w:val="003D4F82"/>
    <w:rsid w:val="003D61CF"/>
    <w:rsid w:val="003D73C7"/>
    <w:rsid w:val="003E2941"/>
    <w:rsid w:val="003E41CE"/>
    <w:rsid w:val="003E4313"/>
    <w:rsid w:val="003E5E6C"/>
    <w:rsid w:val="003E76F2"/>
    <w:rsid w:val="003E7C43"/>
    <w:rsid w:val="003E7DCE"/>
    <w:rsid w:val="003F0914"/>
    <w:rsid w:val="003F0EA4"/>
    <w:rsid w:val="003F13CF"/>
    <w:rsid w:val="003F1CB7"/>
    <w:rsid w:val="003F1F47"/>
    <w:rsid w:val="003F319D"/>
    <w:rsid w:val="003F4211"/>
    <w:rsid w:val="003F44F2"/>
    <w:rsid w:val="003F58C6"/>
    <w:rsid w:val="003F5CB3"/>
    <w:rsid w:val="003F710E"/>
    <w:rsid w:val="003F76B4"/>
    <w:rsid w:val="003F7CF1"/>
    <w:rsid w:val="00400FEF"/>
    <w:rsid w:val="0040112B"/>
    <w:rsid w:val="00401217"/>
    <w:rsid w:val="00401837"/>
    <w:rsid w:val="00403553"/>
    <w:rsid w:val="004039CD"/>
    <w:rsid w:val="00403CBE"/>
    <w:rsid w:val="00403CFA"/>
    <w:rsid w:val="004044C8"/>
    <w:rsid w:val="004065A7"/>
    <w:rsid w:val="00406909"/>
    <w:rsid w:val="0040694A"/>
    <w:rsid w:val="00406F55"/>
    <w:rsid w:val="004107EE"/>
    <w:rsid w:val="00411C68"/>
    <w:rsid w:val="00411EA6"/>
    <w:rsid w:val="00412A50"/>
    <w:rsid w:val="0041457C"/>
    <w:rsid w:val="004157B2"/>
    <w:rsid w:val="00416B67"/>
    <w:rsid w:val="00416C62"/>
    <w:rsid w:val="00416F87"/>
    <w:rsid w:val="00421466"/>
    <w:rsid w:val="00421B8F"/>
    <w:rsid w:val="0042201C"/>
    <w:rsid w:val="0042219E"/>
    <w:rsid w:val="00423B4E"/>
    <w:rsid w:val="00424143"/>
    <w:rsid w:val="0042462D"/>
    <w:rsid w:val="0042600E"/>
    <w:rsid w:val="00427454"/>
    <w:rsid w:val="0042777E"/>
    <w:rsid w:val="00427949"/>
    <w:rsid w:val="00427A80"/>
    <w:rsid w:val="004309FB"/>
    <w:rsid w:val="00430B97"/>
    <w:rsid w:val="00430BD1"/>
    <w:rsid w:val="0043174E"/>
    <w:rsid w:val="0043323C"/>
    <w:rsid w:val="0043326D"/>
    <w:rsid w:val="0043327C"/>
    <w:rsid w:val="00435B4D"/>
    <w:rsid w:val="00435FF9"/>
    <w:rsid w:val="004368A4"/>
    <w:rsid w:val="004405C6"/>
    <w:rsid w:val="00440E17"/>
    <w:rsid w:val="0044117B"/>
    <w:rsid w:val="00442379"/>
    <w:rsid w:val="00442BB2"/>
    <w:rsid w:val="00443461"/>
    <w:rsid w:val="00445E0B"/>
    <w:rsid w:val="00446CD4"/>
    <w:rsid w:val="004474FA"/>
    <w:rsid w:val="00447FAA"/>
    <w:rsid w:val="00450B5A"/>
    <w:rsid w:val="00452D2C"/>
    <w:rsid w:val="00453265"/>
    <w:rsid w:val="00454684"/>
    <w:rsid w:val="00456052"/>
    <w:rsid w:val="004563DF"/>
    <w:rsid w:val="004565AF"/>
    <w:rsid w:val="004613EC"/>
    <w:rsid w:val="004629B4"/>
    <w:rsid w:val="00462FAA"/>
    <w:rsid w:val="00464898"/>
    <w:rsid w:val="00464CBA"/>
    <w:rsid w:val="00465A61"/>
    <w:rsid w:val="00465E1F"/>
    <w:rsid w:val="00466C62"/>
    <w:rsid w:val="00467546"/>
    <w:rsid w:val="00467822"/>
    <w:rsid w:val="00470397"/>
    <w:rsid w:val="00470668"/>
    <w:rsid w:val="00473EA6"/>
    <w:rsid w:val="004744A3"/>
    <w:rsid w:val="004760A2"/>
    <w:rsid w:val="004762C6"/>
    <w:rsid w:val="0047739F"/>
    <w:rsid w:val="004774A7"/>
    <w:rsid w:val="004804C4"/>
    <w:rsid w:val="00480EBC"/>
    <w:rsid w:val="00481055"/>
    <w:rsid w:val="004817A3"/>
    <w:rsid w:val="00482FD1"/>
    <w:rsid w:val="004857D2"/>
    <w:rsid w:val="00485D6A"/>
    <w:rsid w:val="00487F96"/>
    <w:rsid w:val="004903CC"/>
    <w:rsid w:val="0049127E"/>
    <w:rsid w:val="00491557"/>
    <w:rsid w:val="004916CD"/>
    <w:rsid w:val="0049204F"/>
    <w:rsid w:val="0049453E"/>
    <w:rsid w:val="00494AA0"/>
    <w:rsid w:val="00496177"/>
    <w:rsid w:val="004A0DDA"/>
    <w:rsid w:val="004A4F43"/>
    <w:rsid w:val="004A537F"/>
    <w:rsid w:val="004A645D"/>
    <w:rsid w:val="004B011A"/>
    <w:rsid w:val="004B1A4E"/>
    <w:rsid w:val="004B22E2"/>
    <w:rsid w:val="004B2C63"/>
    <w:rsid w:val="004B3B50"/>
    <w:rsid w:val="004B408A"/>
    <w:rsid w:val="004B5A7D"/>
    <w:rsid w:val="004C0E60"/>
    <w:rsid w:val="004C1589"/>
    <w:rsid w:val="004C1933"/>
    <w:rsid w:val="004C2172"/>
    <w:rsid w:val="004C4282"/>
    <w:rsid w:val="004C4340"/>
    <w:rsid w:val="004C49A2"/>
    <w:rsid w:val="004C543C"/>
    <w:rsid w:val="004C6766"/>
    <w:rsid w:val="004C6E3F"/>
    <w:rsid w:val="004D327E"/>
    <w:rsid w:val="004D37A5"/>
    <w:rsid w:val="004D3937"/>
    <w:rsid w:val="004D430A"/>
    <w:rsid w:val="004D5E3F"/>
    <w:rsid w:val="004D5EF7"/>
    <w:rsid w:val="004D66E0"/>
    <w:rsid w:val="004D6CDC"/>
    <w:rsid w:val="004E0708"/>
    <w:rsid w:val="004E1103"/>
    <w:rsid w:val="004E2B23"/>
    <w:rsid w:val="004E2CB0"/>
    <w:rsid w:val="004E2DBA"/>
    <w:rsid w:val="004E36F0"/>
    <w:rsid w:val="004E3E79"/>
    <w:rsid w:val="004E4225"/>
    <w:rsid w:val="004E4664"/>
    <w:rsid w:val="004E6701"/>
    <w:rsid w:val="004E6834"/>
    <w:rsid w:val="004F0126"/>
    <w:rsid w:val="004F0A88"/>
    <w:rsid w:val="004F13EC"/>
    <w:rsid w:val="004F178F"/>
    <w:rsid w:val="004F260B"/>
    <w:rsid w:val="004F27AD"/>
    <w:rsid w:val="004F352B"/>
    <w:rsid w:val="004F5C92"/>
    <w:rsid w:val="004F6401"/>
    <w:rsid w:val="005026A3"/>
    <w:rsid w:val="00503923"/>
    <w:rsid w:val="00503B2E"/>
    <w:rsid w:val="00503FE2"/>
    <w:rsid w:val="00504EF0"/>
    <w:rsid w:val="0050545F"/>
    <w:rsid w:val="0050582F"/>
    <w:rsid w:val="00506A2B"/>
    <w:rsid w:val="00506CF9"/>
    <w:rsid w:val="00506D91"/>
    <w:rsid w:val="00512923"/>
    <w:rsid w:val="00514659"/>
    <w:rsid w:val="00516B93"/>
    <w:rsid w:val="005170CA"/>
    <w:rsid w:val="00517AF3"/>
    <w:rsid w:val="00517F01"/>
    <w:rsid w:val="005238F1"/>
    <w:rsid w:val="00523A30"/>
    <w:rsid w:val="005254EC"/>
    <w:rsid w:val="00525A41"/>
    <w:rsid w:val="00534612"/>
    <w:rsid w:val="00535EAB"/>
    <w:rsid w:val="00536209"/>
    <w:rsid w:val="00536656"/>
    <w:rsid w:val="00536AD4"/>
    <w:rsid w:val="005379DF"/>
    <w:rsid w:val="0054018B"/>
    <w:rsid w:val="005432A4"/>
    <w:rsid w:val="005435CD"/>
    <w:rsid w:val="00544971"/>
    <w:rsid w:val="0054543C"/>
    <w:rsid w:val="0054716D"/>
    <w:rsid w:val="005507CC"/>
    <w:rsid w:val="00551E85"/>
    <w:rsid w:val="005521A1"/>
    <w:rsid w:val="005531E3"/>
    <w:rsid w:val="00553AB4"/>
    <w:rsid w:val="00553FE5"/>
    <w:rsid w:val="00555C22"/>
    <w:rsid w:val="00556A04"/>
    <w:rsid w:val="00556E77"/>
    <w:rsid w:val="00557210"/>
    <w:rsid w:val="00557EF8"/>
    <w:rsid w:val="00562A33"/>
    <w:rsid w:val="00562EDF"/>
    <w:rsid w:val="0056387A"/>
    <w:rsid w:val="00563D7F"/>
    <w:rsid w:val="005645AE"/>
    <w:rsid w:val="005646B1"/>
    <w:rsid w:val="00564746"/>
    <w:rsid w:val="00565B7E"/>
    <w:rsid w:val="00566442"/>
    <w:rsid w:val="005670AD"/>
    <w:rsid w:val="0057069B"/>
    <w:rsid w:val="00572859"/>
    <w:rsid w:val="00573561"/>
    <w:rsid w:val="00573A7A"/>
    <w:rsid w:val="00573EC6"/>
    <w:rsid w:val="0057401C"/>
    <w:rsid w:val="00574D15"/>
    <w:rsid w:val="00574FC6"/>
    <w:rsid w:val="00576BFA"/>
    <w:rsid w:val="00576E7A"/>
    <w:rsid w:val="00576F86"/>
    <w:rsid w:val="00582061"/>
    <w:rsid w:val="00582311"/>
    <w:rsid w:val="0058284A"/>
    <w:rsid w:val="00584DD7"/>
    <w:rsid w:val="0058551E"/>
    <w:rsid w:val="00585D24"/>
    <w:rsid w:val="00585E1B"/>
    <w:rsid w:val="00586A53"/>
    <w:rsid w:val="00586DDD"/>
    <w:rsid w:val="00587E08"/>
    <w:rsid w:val="00590067"/>
    <w:rsid w:val="00591D81"/>
    <w:rsid w:val="00592897"/>
    <w:rsid w:val="005928E2"/>
    <w:rsid w:val="00593676"/>
    <w:rsid w:val="00593968"/>
    <w:rsid w:val="00595501"/>
    <w:rsid w:val="00596620"/>
    <w:rsid w:val="00596AB9"/>
    <w:rsid w:val="00596BB6"/>
    <w:rsid w:val="00597C2E"/>
    <w:rsid w:val="005A00A8"/>
    <w:rsid w:val="005A04DE"/>
    <w:rsid w:val="005A1FAB"/>
    <w:rsid w:val="005B01CC"/>
    <w:rsid w:val="005B0D03"/>
    <w:rsid w:val="005B0EEF"/>
    <w:rsid w:val="005B2AB0"/>
    <w:rsid w:val="005B3124"/>
    <w:rsid w:val="005B46C0"/>
    <w:rsid w:val="005B483A"/>
    <w:rsid w:val="005B50BE"/>
    <w:rsid w:val="005B525B"/>
    <w:rsid w:val="005B5E99"/>
    <w:rsid w:val="005B7305"/>
    <w:rsid w:val="005B75A6"/>
    <w:rsid w:val="005B7BCE"/>
    <w:rsid w:val="005C02A1"/>
    <w:rsid w:val="005C34E3"/>
    <w:rsid w:val="005C34FF"/>
    <w:rsid w:val="005C5D25"/>
    <w:rsid w:val="005D0949"/>
    <w:rsid w:val="005D0985"/>
    <w:rsid w:val="005D1878"/>
    <w:rsid w:val="005D1E2F"/>
    <w:rsid w:val="005D225F"/>
    <w:rsid w:val="005D24A2"/>
    <w:rsid w:val="005D2752"/>
    <w:rsid w:val="005D2DF6"/>
    <w:rsid w:val="005D3AD3"/>
    <w:rsid w:val="005D49B0"/>
    <w:rsid w:val="005D547A"/>
    <w:rsid w:val="005D63C2"/>
    <w:rsid w:val="005D6F92"/>
    <w:rsid w:val="005D7825"/>
    <w:rsid w:val="005D7F61"/>
    <w:rsid w:val="005E006B"/>
    <w:rsid w:val="005E0302"/>
    <w:rsid w:val="005E08A0"/>
    <w:rsid w:val="005E08FA"/>
    <w:rsid w:val="005E09C2"/>
    <w:rsid w:val="005E0E5F"/>
    <w:rsid w:val="005E242A"/>
    <w:rsid w:val="005E27BA"/>
    <w:rsid w:val="005E2C2D"/>
    <w:rsid w:val="005E3A1E"/>
    <w:rsid w:val="005E44D5"/>
    <w:rsid w:val="005E5702"/>
    <w:rsid w:val="005E6E30"/>
    <w:rsid w:val="005E7C01"/>
    <w:rsid w:val="005F0ACB"/>
    <w:rsid w:val="005F0EF3"/>
    <w:rsid w:val="005F1977"/>
    <w:rsid w:val="005F24EB"/>
    <w:rsid w:val="005F2A76"/>
    <w:rsid w:val="005F3728"/>
    <w:rsid w:val="005F5C85"/>
    <w:rsid w:val="005F5EA7"/>
    <w:rsid w:val="005F6096"/>
    <w:rsid w:val="005F66FE"/>
    <w:rsid w:val="0060030C"/>
    <w:rsid w:val="00600515"/>
    <w:rsid w:val="00603037"/>
    <w:rsid w:val="006036BE"/>
    <w:rsid w:val="006038A7"/>
    <w:rsid w:val="00603E3D"/>
    <w:rsid w:val="00604491"/>
    <w:rsid w:val="0060454E"/>
    <w:rsid w:val="00605596"/>
    <w:rsid w:val="00605A2F"/>
    <w:rsid w:val="00606419"/>
    <w:rsid w:val="006065A3"/>
    <w:rsid w:val="00606873"/>
    <w:rsid w:val="006069BD"/>
    <w:rsid w:val="00606B92"/>
    <w:rsid w:val="006103B7"/>
    <w:rsid w:val="00612B55"/>
    <w:rsid w:val="00612F2F"/>
    <w:rsid w:val="00613151"/>
    <w:rsid w:val="00614D31"/>
    <w:rsid w:val="006166C9"/>
    <w:rsid w:val="00616A71"/>
    <w:rsid w:val="00616B38"/>
    <w:rsid w:val="00616FA3"/>
    <w:rsid w:val="00617D6B"/>
    <w:rsid w:val="00620FDE"/>
    <w:rsid w:val="00621BD5"/>
    <w:rsid w:val="006224FD"/>
    <w:rsid w:val="00625E97"/>
    <w:rsid w:val="00625ECD"/>
    <w:rsid w:val="00626105"/>
    <w:rsid w:val="00626202"/>
    <w:rsid w:val="00626524"/>
    <w:rsid w:val="00626592"/>
    <w:rsid w:val="0063093F"/>
    <w:rsid w:val="00633271"/>
    <w:rsid w:val="00634940"/>
    <w:rsid w:val="00634A5D"/>
    <w:rsid w:val="006366DF"/>
    <w:rsid w:val="00642CB3"/>
    <w:rsid w:val="006440CC"/>
    <w:rsid w:val="006442E5"/>
    <w:rsid w:val="0064435E"/>
    <w:rsid w:val="006476D0"/>
    <w:rsid w:val="006479EF"/>
    <w:rsid w:val="00650678"/>
    <w:rsid w:val="006524F3"/>
    <w:rsid w:val="0065257D"/>
    <w:rsid w:val="0065336C"/>
    <w:rsid w:val="00653A49"/>
    <w:rsid w:val="00654281"/>
    <w:rsid w:val="00654498"/>
    <w:rsid w:val="006545AB"/>
    <w:rsid w:val="00654BFE"/>
    <w:rsid w:val="00654EA7"/>
    <w:rsid w:val="0065514F"/>
    <w:rsid w:val="00656190"/>
    <w:rsid w:val="0065627E"/>
    <w:rsid w:val="00656951"/>
    <w:rsid w:val="00661691"/>
    <w:rsid w:val="00663626"/>
    <w:rsid w:val="00663F2E"/>
    <w:rsid w:val="006677FA"/>
    <w:rsid w:val="00670DDE"/>
    <w:rsid w:val="006720B5"/>
    <w:rsid w:val="00672469"/>
    <w:rsid w:val="0067303D"/>
    <w:rsid w:val="00674275"/>
    <w:rsid w:val="00676435"/>
    <w:rsid w:val="0067738B"/>
    <w:rsid w:val="00682357"/>
    <w:rsid w:val="006843E3"/>
    <w:rsid w:val="00684884"/>
    <w:rsid w:val="0068562C"/>
    <w:rsid w:val="0068608A"/>
    <w:rsid w:val="00686377"/>
    <w:rsid w:val="0069052E"/>
    <w:rsid w:val="00692843"/>
    <w:rsid w:val="006937B4"/>
    <w:rsid w:val="006944AE"/>
    <w:rsid w:val="006949F4"/>
    <w:rsid w:val="0069511A"/>
    <w:rsid w:val="00696D99"/>
    <w:rsid w:val="006A2E9E"/>
    <w:rsid w:val="006A65EE"/>
    <w:rsid w:val="006A6D51"/>
    <w:rsid w:val="006A7E02"/>
    <w:rsid w:val="006B161A"/>
    <w:rsid w:val="006B2F91"/>
    <w:rsid w:val="006B4A57"/>
    <w:rsid w:val="006C02F0"/>
    <w:rsid w:val="006C1F00"/>
    <w:rsid w:val="006C284F"/>
    <w:rsid w:val="006C28D4"/>
    <w:rsid w:val="006C29E3"/>
    <w:rsid w:val="006C2B7C"/>
    <w:rsid w:val="006C366D"/>
    <w:rsid w:val="006C3E91"/>
    <w:rsid w:val="006C4F79"/>
    <w:rsid w:val="006C5D2A"/>
    <w:rsid w:val="006C5E7C"/>
    <w:rsid w:val="006C5EC7"/>
    <w:rsid w:val="006C72C3"/>
    <w:rsid w:val="006D3C98"/>
    <w:rsid w:val="006D5F37"/>
    <w:rsid w:val="006D6B83"/>
    <w:rsid w:val="006D74F1"/>
    <w:rsid w:val="006E2A96"/>
    <w:rsid w:val="006E3127"/>
    <w:rsid w:val="006E33B0"/>
    <w:rsid w:val="006E41EE"/>
    <w:rsid w:val="006E493D"/>
    <w:rsid w:val="006E5ACB"/>
    <w:rsid w:val="006E5B76"/>
    <w:rsid w:val="006E6305"/>
    <w:rsid w:val="006E6BA1"/>
    <w:rsid w:val="006E7495"/>
    <w:rsid w:val="006F1AB6"/>
    <w:rsid w:val="006F1FA8"/>
    <w:rsid w:val="006F24E2"/>
    <w:rsid w:val="006F2D29"/>
    <w:rsid w:val="006F308C"/>
    <w:rsid w:val="006F4617"/>
    <w:rsid w:val="006F50C1"/>
    <w:rsid w:val="006F5285"/>
    <w:rsid w:val="006F550A"/>
    <w:rsid w:val="006F64AD"/>
    <w:rsid w:val="00700063"/>
    <w:rsid w:val="007002BD"/>
    <w:rsid w:val="007022D7"/>
    <w:rsid w:val="00702A89"/>
    <w:rsid w:val="00705C85"/>
    <w:rsid w:val="0070698B"/>
    <w:rsid w:val="00707B41"/>
    <w:rsid w:val="00710A50"/>
    <w:rsid w:val="00710ED6"/>
    <w:rsid w:val="00712D72"/>
    <w:rsid w:val="0071438D"/>
    <w:rsid w:val="00714588"/>
    <w:rsid w:val="00715A32"/>
    <w:rsid w:val="00715B84"/>
    <w:rsid w:val="00716A1A"/>
    <w:rsid w:val="00716CFD"/>
    <w:rsid w:val="007226F3"/>
    <w:rsid w:val="00723B1C"/>
    <w:rsid w:val="00723CF8"/>
    <w:rsid w:val="00724209"/>
    <w:rsid w:val="00724241"/>
    <w:rsid w:val="0072495F"/>
    <w:rsid w:val="00724BF0"/>
    <w:rsid w:val="00725D39"/>
    <w:rsid w:val="00726C94"/>
    <w:rsid w:val="00727C6E"/>
    <w:rsid w:val="00730188"/>
    <w:rsid w:val="007301D2"/>
    <w:rsid w:val="00730865"/>
    <w:rsid w:val="007339E1"/>
    <w:rsid w:val="00733C34"/>
    <w:rsid w:val="00734444"/>
    <w:rsid w:val="00734A60"/>
    <w:rsid w:val="00735520"/>
    <w:rsid w:val="00735B03"/>
    <w:rsid w:val="007360F6"/>
    <w:rsid w:val="00736503"/>
    <w:rsid w:val="00737CBF"/>
    <w:rsid w:val="0074015E"/>
    <w:rsid w:val="007408CA"/>
    <w:rsid w:val="00741042"/>
    <w:rsid w:val="00741A09"/>
    <w:rsid w:val="00745C11"/>
    <w:rsid w:val="007464B1"/>
    <w:rsid w:val="0075067E"/>
    <w:rsid w:val="00750EAC"/>
    <w:rsid w:val="00750F89"/>
    <w:rsid w:val="0075308A"/>
    <w:rsid w:val="00754184"/>
    <w:rsid w:val="0075751E"/>
    <w:rsid w:val="00757FFE"/>
    <w:rsid w:val="00762160"/>
    <w:rsid w:val="0076235A"/>
    <w:rsid w:val="00762B6B"/>
    <w:rsid w:val="007633F4"/>
    <w:rsid w:val="007636F7"/>
    <w:rsid w:val="00763E90"/>
    <w:rsid w:val="00764088"/>
    <w:rsid w:val="00765CC2"/>
    <w:rsid w:val="00767224"/>
    <w:rsid w:val="00767DFB"/>
    <w:rsid w:val="00770275"/>
    <w:rsid w:val="00771B2F"/>
    <w:rsid w:val="0077487C"/>
    <w:rsid w:val="00775797"/>
    <w:rsid w:val="00775B0D"/>
    <w:rsid w:val="0077636E"/>
    <w:rsid w:val="00776853"/>
    <w:rsid w:val="00776E5B"/>
    <w:rsid w:val="00777131"/>
    <w:rsid w:val="00777528"/>
    <w:rsid w:val="00777545"/>
    <w:rsid w:val="0078068B"/>
    <w:rsid w:val="00784047"/>
    <w:rsid w:val="0078473B"/>
    <w:rsid w:val="00784FAC"/>
    <w:rsid w:val="0078573D"/>
    <w:rsid w:val="00785D9B"/>
    <w:rsid w:val="0078685B"/>
    <w:rsid w:val="00787348"/>
    <w:rsid w:val="00790435"/>
    <w:rsid w:val="00792064"/>
    <w:rsid w:val="00792AD4"/>
    <w:rsid w:val="007937D8"/>
    <w:rsid w:val="00793C70"/>
    <w:rsid w:val="0079410A"/>
    <w:rsid w:val="0079412B"/>
    <w:rsid w:val="007954CA"/>
    <w:rsid w:val="007959B8"/>
    <w:rsid w:val="0079647B"/>
    <w:rsid w:val="00797097"/>
    <w:rsid w:val="0079723A"/>
    <w:rsid w:val="0079774C"/>
    <w:rsid w:val="007977E4"/>
    <w:rsid w:val="007A0812"/>
    <w:rsid w:val="007A2C25"/>
    <w:rsid w:val="007A31F7"/>
    <w:rsid w:val="007A5186"/>
    <w:rsid w:val="007A6822"/>
    <w:rsid w:val="007B00D5"/>
    <w:rsid w:val="007B0232"/>
    <w:rsid w:val="007B043D"/>
    <w:rsid w:val="007B4265"/>
    <w:rsid w:val="007B533E"/>
    <w:rsid w:val="007B67AD"/>
    <w:rsid w:val="007B69B6"/>
    <w:rsid w:val="007B6DA4"/>
    <w:rsid w:val="007C1068"/>
    <w:rsid w:val="007C1A50"/>
    <w:rsid w:val="007C2A6E"/>
    <w:rsid w:val="007C4389"/>
    <w:rsid w:val="007C4C8B"/>
    <w:rsid w:val="007C6CD7"/>
    <w:rsid w:val="007D0361"/>
    <w:rsid w:val="007D1521"/>
    <w:rsid w:val="007D1719"/>
    <w:rsid w:val="007D2092"/>
    <w:rsid w:val="007D2355"/>
    <w:rsid w:val="007D240D"/>
    <w:rsid w:val="007D24AA"/>
    <w:rsid w:val="007D3B34"/>
    <w:rsid w:val="007D3CF3"/>
    <w:rsid w:val="007D5169"/>
    <w:rsid w:val="007D54F9"/>
    <w:rsid w:val="007D565F"/>
    <w:rsid w:val="007D6457"/>
    <w:rsid w:val="007D692C"/>
    <w:rsid w:val="007D7F7E"/>
    <w:rsid w:val="007E1769"/>
    <w:rsid w:val="007E2EB7"/>
    <w:rsid w:val="007E5367"/>
    <w:rsid w:val="007E6808"/>
    <w:rsid w:val="007E6A80"/>
    <w:rsid w:val="007F030B"/>
    <w:rsid w:val="007F04C0"/>
    <w:rsid w:val="007F1C94"/>
    <w:rsid w:val="007F269A"/>
    <w:rsid w:val="007F4357"/>
    <w:rsid w:val="007F45F9"/>
    <w:rsid w:val="007F46EF"/>
    <w:rsid w:val="007F5E5A"/>
    <w:rsid w:val="007F5E6B"/>
    <w:rsid w:val="0080011D"/>
    <w:rsid w:val="0080294A"/>
    <w:rsid w:val="00803C30"/>
    <w:rsid w:val="008046D3"/>
    <w:rsid w:val="008047F9"/>
    <w:rsid w:val="00804F17"/>
    <w:rsid w:val="00805F99"/>
    <w:rsid w:val="00806E97"/>
    <w:rsid w:val="008109C0"/>
    <w:rsid w:val="00811A73"/>
    <w:rsid w:val="008134A3"/>
    <w:rsid w:val="00814CD9"/>
    <w:rsid w:val="00816BED"/>
    <w:rsid w:val="00817FAD"/>
    <w:rsid w:val="00821114"/>
    <w:rsid w:val="00825D5C"/>
    <w:rsid w:val="0082632B"/>
    <w:rsid w:val="008276B1"/>
    <w:rsid w:val="00827A5A"/>
    <w:rsid w:val="00827D2C"/>
    <w:rsid w:val="00830C6A"/>
    <w:rsid w:val="008322FD"/>
    <w:rsid w:val="00832B86"/>
    <w:rsid w:val="008337A9"/>
    <w:rsid w:val="00833AEA"/>
    <w:rsid w:val="00836246"/>
    <w:rsid w:val="00837C04"/>
    <w:rsid w:val="00837C88"/>
    <w:rsid w:val="008405E6"/>
    <w:rsid w:val="00841020"/>
    <w:rsid w:val="00841ED0"/>
    <w:rsid w:val="00841EFA"/>
    <w:rsid w:val="00842D69"/>
    <w:rsid w:val="0084319A"/>
    <w:rsid w:val="00843D5C"/>
    <w:rsid w:val="00846B20"/>
    <w:rsid w:val="00846C86"/>
    <w:rsid w:val="00846F86"/>
    <w:rsid w:val="008509EE"/>
    <w:rsid w:val="00851349"/>
    <w:rsid w:val="00854512"/>
    <w:rsid w:val="0085474E"/>
    <w:rsid w:val="00855EEA"/>
    <w:rsid w:val="00856D38"/>
    <w:rsid w:val="00860D44"/>
    <w:rsid w:val="00861048"/>
    <w:rsid w:val="0086177D"/>
    <w:rsid w:val="008617E1"/>
    <w:rsid w:val="0086182D"/>
    <w:rsid w:val="00862689"/>
    <w:rsid w:val="00862847"/>
    <w:rsid w:val="00862939"/>
    <w:rsid w:val="0086449F"/>
    <w:rsid w:val="00867098"/>
    <w:rsid w:val="00870324"/>
    <w:rsid w:val="00872A27"/>
    <w:rsid w:val="008746C0"/>
    <w:rsid w:val="00874CAA"/>
    <w:rsid w:val="0087506C"/>
    <w:rsid w:val="0087569F"/>
    <w:rsid w:val="00875716"/>
    <w:rsid w:val="00876375"/>
    <w:rsid w:val="00876B9C"/>
    <w:rsid w:val="00877265"/>
    <w:rsid w:val="008806C2"/>
    <w:rsid w:val="008850CB"/>
    <w:rsid w:val="008853F4"/>
    <w:rsid w:val="008857B3"/>
    <w:rsid w:val="00885A64"/>
    <w:rsid w:val="00886242"/>
    <w:rsid w:val="008869E0"/>
    <w:rsid w:val="00890E97"/>
    <w:rsid w:val="00891A83"/>
    <w:rsid w:val="00891F09"/>
    <w:rsid w:val="00893177"/>
    <w:rsid w:val="00894D63"/>
    <w:rsid w:val="0089623E"/>
    <w:rsid w:val="00896314"/>
    <w:rsid w:val="00896942"/>
    <w:rsid w:val="008972AB"/>
    <w:rsid w:val="008A28F7"/>
    <w:rsid w:val="008A2C66"/>
    <w:rsid w:val="008A339A"/>
    <w:rsid w:val="008A4486"/>
    <w:rsid w:val="008A48CB"/>
    <w:rsid w:val="008A4EF5"/>
    <w:rsid w:val="008A4F50"/>
    <w:rsid w:val="008A593C"/>
    <w:rsid w:val="008A625B"/>
    <w:rsid w:val="008B396E"/>
    <w:rsid w:val="008B39BC"/>
    <w:rsid w:val="008B487E"/>
    <w:rsid w:val="008B5ECF"/>
    <w:rsid w:val="008B7070"/>
    <w:rsid w:val="008B7F2D"/>
    <w:rsid w:val="008C07E7"/>
    <w:rsid w:val="008C0CA3"/>
    <w:rsid w:val="008C2A32"/>
    <w:rsid w:val="008C343E"/>
    <w:rsid w:val="008C356F"/>
    <w:rsid w:val="008C602D"/>
    <w:rsid w:val="008C6F95"/>
    <w:rsid w:val="008C716B"/>
    <w:rsid w:val="008C7641"/>
    <w:rsid w:val="008C7682"/>
    <w:rsid w:val="008C7DCE"/>
    <w:rsid w:val="008D0205"/>
    <w:rsid w:val="008D0465"/>
    <w:rsid w:val="008D04A8"/>
    <w:rsid w:val="008D0674"/>
    <w:rsid w:val="008D2580"/>
    <w:rsid w:val="008D29B3"/>
    <w:rsid w:val="008D3122"/>
    <w:rsid w:val="008D38F0"/>
    <w:rsid w:val="008D49CC"/>
    <w:rsid w:val="008E0F6A"/>
    <w:rsid w:val="008E24AB"/>
    <w:rsid w:val="008E493B"/>
    <w:rsid w:val="008E4E8B"/>
    <w:rsid w:val="008E5D95"/>
    <w:rsid w:val="008E7DAC"/>
    <w:rsid w:val="008F0131"/>
    <w:rsid w:val="008F02E8"/>
    <w:rsid w:val="008F1321"/>
    <w:rsid w:val="008F1DE6"/>
    <w:rsid w:val="008F31DB"/>
    <w:rsid w:val="008F489C"/>
    <w:rsid w:val="008F4B04"/>
    <w:rsid w:val="008F4EC4"/>
    <w:rsid w:val="008F5D74"/>
    <w:rsid w:val="0090067F"/>
    <w:rsid w:val="00900991"/>
    <w:rsid w:val="00904752"/>
    <w:rsid w:val="00904CE5"/>
    <w:rsid w:val="00905D7C"/>
    <w:rsid w:val="00906100"/>
    <w:rsid w:val="00906947"/>
    <w:rsid w:val="00907EEA"/>
    <w:rsid w:val="00910321"/>
    <w:rsid w:val="00910D1E"/>
    <w:rsid w:val="0091271C"/>
    <w:rsid w:val="00912DB5"/>
    <w:rsid w:val="009134D3"/>
    <w:rsid w:val="009136D2"/>
    <w:rsid w:val="00913E6C"/>
    <w:rsid w:val="00913E8C"/>
    <w:rsid w:val="0091553B"/>
    <w:rsid w:val="00916613"/>
    <w:rsid w:val="00916884"/>
    <w:rsid w:val="00916920"/>
    <w:rsid w:val="00916A14"/>
    <w:rsid w:val="00917452"/>
    <w:rsid w:val="009178DA"/>
    <w:rsid w:val="00921303"/>
    <w:rsid w:val="00921526"/>
    <w:rsid w:val="00921CDE"/>
    <w:rsid w:val="00922580"/>
    <w:rsid w:val="0092391D"/>
    <w:rsid w:val="00923992"/>
    <w:rsid w:val="00925A71"/>
    <w:rsid w:val="00925FB7"/>
    <w:rsid w:val="009263C2"/>
    <w:rsid w:val="009309DB"/>
    <w:rsid w:val="00930B82"/>
    <w:rsid w:val="00930E4C"/>
    <w:rsid w:val="009319A6"/>
    <w:rsid w:val="00931B45"/>
    <w:rsid w:val="00931C35"/>
    <w:rsid w:val="00931D26"/>
    <w:rsid w:val="00932D94"/>
    <w:rsid w:val="009339D9"/>
    <w:rsid w:val="00934FA2"/>
    <w:rsid w:val="00936178"/>
    <w:rsid w:val="00937411"/>
    <w:rsid w:val="00940474"/>
    <w:rsid w:val="0094059F"/>
    <w:rsid w:val="00941000"/>
    <w:rsid w:val="00942C3A"/>
    <w:rsid w:val="00942C4C"/>
    <w:rsid w:val="00944706"/>
    <w:rsid w:val="009453DC"/>
    <w:rsid w:val="00945B70"/>
    <w:rsid w:val="00945E00"/>
    <w:rsid w:val="00946093"/>
    <w:rsid w:val="00946099"/>
    <w:rsid w:val="00952488"/>
    <w:rsid w:val="009526F2"/>
    <w:rsid w:val="00952BFB"/>
    <w:rsid w:val="00954A6F"/>
    <w:rsid w:val="009552ED"/>
    <w:rsid w:val="009565A8"/>
    <w:rsid w:val="00956A12"/>
    <w:rsid w:val="00956E3D"/>
    <w:rsid w:val="00963B6C"/>
    <w:rsid w:val="00965241"/>
    <w:rsid w:val="009657A9"/>
    <w:rsid w:val="009660E9"/>
    <w:rsid w:val="00966449"/>
    <w:rsid w:val="00966518"/>
    <w:rsid w:val="009669BD"/>
    <w:rsid w:val="00967404"/>
    <w:rsid w:val="00967CEA"/>
    <w:rsid w:val="00967DEC"/>
    <w:rsid w:val="00970757"/>
    <w:rsid w:val="00970E8D"/>
    <w:rsid w:val="00971A84"/>
    <w:rsid w:val="00976966"/>
    <w:rsid w:val="00976977"/>
    <w:rsid w:val="00981286"/>
    <w:rsid w:val="00982B67"/>
    <w:rsid w:val="00983E06"/>
    <w:rsid w:val="009848CD"/>
    <w:rsid w:val="00984CF7"/>
    <w:rsid w:val="00985131"/>
    <w:rsid w:val="009907C3"/>
    <w:rsid w:val="00991390"/>
    <w:rsid w:val="0099359F"/>
    <w:rsid w:val="00993678"/>
    <w:rsid w:val="00994E3B"/>
    <w:rsid w:val="00997413"/>
    <w:rsid w:val="00997A1D"/>
    <w:rsid w:val="00997FBA"/>
    <w:rsid w:val="009A1C53"/>
    <w:rsid w:val="009A22BB"/>
    <w:rsid w:val="009A2B30"/>
    <w:rsid w:val="009A345C"/>
    <w:rsid w:val="009A49C3"/>
    <w:rsid w:val="009A4A36"/>
    <w:rsid w:val="009A5347"/>
    <w:rsid w:val="009A56A9"/>
    <w:rsid w:val="009B02A5"/>
    <w:rsid w:val="009B0B8B"/>
    <w:rsid w:val="009B39A3"/>
    <w:rsid w:val="009B3A90"/>
    <w:rsid w:val="009B6685"/>
    <w:rsid w:val="009B73A0"/>
    <w:rsid w:val="009B73C5"/>
    <w:rsid w:val="009B7906"/>
    <w:rsid w:val="009B7B91"/>
    <w:rsid w:val="009C0C55"/>
    <w:rsid w:val="009C0CA6"/>
    <w:rsid w:val="009C1895"/>
    <w:rsid w:val="009C39C3"/>
    <w:rsid w:val="009C3C4F"/>
    <w:rsid w:val="009C55F3"/>
    <w:rsid w:val="009C5FCC"/>
    <w:rsid w:val="009C6105"/>
    <w:rsid w:val="009D0A5D"/>
    <w:rsid w:val="009D2C12"/>
    <w:rsid w:val="009D49BC"/>
    <w:rsid w:val="009D69ED"/>
    <w:rsid w:val="009D765D"/>
    <w:rsid w:val="009E04D1"/>
    <w:rsid w:val="009E0A06"/>
    <w:rsid w:val="009E0E68"/>
    <w:rsid w:val="009E24D4"/>
    <w:rsid w:val="009E43E3"/>
    <w:rsid w:val="009F00BB"/>
    <w:rsid w:val="009F0428"/>
    <w:rsid w:val="009F13F7"/>
    <w:rsid w:val="009F2CA4"/>
    <w:rsid w:val="009F38D8"/>
    <w:rsid w:val="009F3978"/>
    <w:rsid w:val="009F4C09"/>
    <w:rsid w:val="009F5DA8"/>
    <w:rsid w:val="009F75E1"/>
    <w:rsid w:val="009F7611"/>
    <w:rsid w:val="00A0016F"/>
    <w:rsid w:val="00A00B0B"/>
    <w:rsid w:val="00A05C0D"/>
    <w:rsid w:val="00A062AC"/>
    <w:rsid w:val="00A06FDC"/>
    <w:rsid w:val="00A076DA"/>
    <w:rsid w:val="00A079EB"/>
    <w:rsid w:val="00A120F9"/>
    <w:rsid w:val="00A14586"/>
    <w:rsid w:val="00A147B2"/>
    <w:rsid w:val="00A16751"/>
    <w:rsid w:val="00A17564"/>
    <w:rsid w:val="00A220E1"/>
    <w:rsid w:val="00A222BC"/>
    <w:rsid w:val="00A2285D"/>
    <w:rsid w:val="00A23034"/>
    <w:rsid w:val="00A23069"/>
    <w:rsid w:val="00A23A63"/>
    <w:rsid w:val="00A25313"/>
    <w:rsid w:val="00A2569E"/>
    <w:rsid w:val="00A317F8"/>
    <w:rsid w:val="00A31B72"/>
    <w:rsid w:val="00A31FB7"/>
    <w:rsid w:val="00A3222E"/>
    <w:rsid w:val="00A32524"/>
    <w:rsid w:val="00A342A7"/>
    <w:rsid w:val="00A343D7"/>
    <w:rsid w:val="00A3440A"/>
    <w:rsid w:val="00A344DA"/>
    <w:rsid w:val="00A35357"/>
    <w:rsid w:val="00A36B5E"/>
    <w:rsid w:val="00A36EF3"/>
    <w:rsid w:val="00A41A49"/>
    <w:rsid w:val="00A41BED"/>
    <w:rsid w:val="00A4216C"/>
    <w:rsid w:val="00A42862"/>
    <w:rsid w:val="00A428EB"/>
    <w:rsid w:val="00A42CF0"/>
    <w:rsid w:val="00A43231"/>
    <w:rsid w:val="00A4494A"/>
    <w:rsid w:val="00A45C7C"/>
    <w:rsid w:val="00A4604C"/>
    <w:rsid w:val="00A463B0"/>
    <w:rsid w:val="00A47F83"/>
    <w:rsid w:val="00A51FEE"/>
    <w:rsid w:val="00A52B58"/>
    <w:rsid w:val="00A53AA8"/>
    <w:rsid w:val="00A53BE6"/>
    <w:rsid w:val="00A56170"/>
    <w:rsid w:val="00A578CD"/>
    <w:rsid w:val="00A60510"/>
    <w:rsid w:val="00A608B9"/>
    <w:rsid w:val="00A614D9"/>
    <w:rsid w:val="00A62E3B"/>
    <w:rsid w:val="00A63575"/>
    <w:rsid w:val="00A64045"/>
    <w:rsid w:val="00A651E3"/>
    <w:rsid w:val="00A651E5"/>
    <w:rsid w:val="00A6613F"/>
    <w:rsid w:val="00A66E8F"/>
    <w:rsid w:val="00A676E5"/>
    <w:rsid w:val="00A67F4B"/>
    <w:rsid w:val="00A704C6"/>
    <w:rsid w:val="00A71040"/>
    <w:rsid w:val="00A73CC2"/>
    <w:rsid w:val="00A76FFA"/>
    <w:rsid w:val="00A77A73"/>
    <w:rsid w:val="00A806F8"/>
    <w:rsid w:val="00A80910"/>
    <w:rsid w:val="00A8149E"/>
    <w:rsid w:val="00A81607"/>
    <w:rsid w:val="00A831A0"/>
    <w:rsid w:val="00A85D82"/>
    <w:rsid w:val="00A86220"/>
    <w:rsid w:val="00A913B6"/>
    <w:rsid w:val="00A91E84"/>
    <w:rsid w:val="00A92B56"/>
    <w:rsid w:val="00A92DB4"/>
    <w:rsid w:val="00A92FD9"/>
    <w:rsid w:val="00A93798"/>
    <w:rsid w:val="00A94687"/>
    <w:rsid w:val="00A96273"/>
    <w:rsid w:val="00A97980"/>
    <w:rsid w:val="00A97E14"/>
    <w:rsid w:val="00AA083D"/>
    <w:rsid w:val="00AA11D4"/>
    <w:rsid w:val="00AA15BA"/>
    <w:rsid w:val="00AA172A"/>
    <w:rsid w:val="00AA260D"/>
    <w:rsid w:val="00AA2BBD"/>
    <w:rsid w:val="00AA4661"/>
    <w:rsid w:val="00AA51D7"/>
    <w:rsid w:val="00AA5C75"/>
    <w:rsid w:val="00AA6E44"/>
    <w:rsid w:val="00AB050A"/>
    <w:rsid w:val="00AB17D5"/>
    <w:rsid w:val="00AB187F"/>
    <w:rsid w:val="00AB1F3B"/>
    <w:rsid w:val="00AB2834"/>
    <w:rsid w:val="00AB2D57"/>
    <w:rsid w:val="00AB45C2"/>
    <w:rsid w:val="00AB4790"/>
    <w:rsid w:val="00AB5DF1"/>
    <w:rsid w:val="00AB5F36"/>
    <w:rsid w:val="00AB690F"/>
    <w:rsid w:val="00AB713B"/>
    <w:rsid w:val="00AB7650"/>
    <w:rsid w:val="00AC0F1F"/>
    <w:rsid w:val="00AC1B11"/>
    <w:rsid w:val="00AC1C29"/>
    <w:rsid w:val="00AC4E77"/>
    <w:rsid w:val="00AC5072"/>
    <w:rsid w:val="00AC5398"/>
    <w:rsid w:val="00AC5E26"/>
    <w:rsid w:val="00AC6093"/>
    <w:rsid w:val="00AD1326"/>
    <w:rsid w:val="00AD2603"/>
    <w:rsid w:val="00AD2B70"/>
    <w:rsid w:val="00AD3817"/>
    <w:rsid w:val="00AD438E"/>
    <w:rsid w:val="00AD709A"/>
    <w:rsid w:val="00AD7B74"/>
    <w:rsid w:val="00AE0176"/>
    <w:rsid w:val="00AE0EEB"/>
    <w:rsid w:val="00AE1095"/>
    <w:rsid w:val="00AE2650"/>
    <w:rsid w:val="00AE29AD"/>
    <w:rsid w:val="00AE2FAC"/>
    <w:rsid w:val="00AE4662"/>
    <w:rsid w:val="00AE5383"/>
    <w:rsid w:val="00AE55DF"/>
    <w:rsid w:val="00AE66C3"/>
    <w:rsid w:val="00AE6A9F"/>
    <w:rsid w:val="00AF00D8"/>
    <w:rsid w:val="00AF019F"/>
    <w:rsid w:val="00AF0333"/>
    <w:rsid w:val="00AF23F9"/>
    <w:rsid w:val="00AF2EAB"/>
    <w:rsid w:val="00AF3150"/>
    <w:rsid w:val="00AF3CA0"/>
    <w:rsid w:val="00AF3EFC"/>
    <w:rsid w:val="00AF5387"/>
    <w:rsid w:val="00AF59A1"/>
    <w:rsid w:val="00AF6AAD"/>
    <w:rsid w:val="00B010D6"/>
    <w:rsid w:val="00B02650"/>
    <w:rsid w:val="00B032CB"/>
    <w:rsid w:val="00B035CF"/>
    <w:rsid w:val="00B03AE6"/>
    <w:rsid w:val="00B04F48"/>
    <w:rsid w:val="00B05705"/>
    <w:rsid w:val="00B05CE4"/>
    <w:rsid w:val="00B10E8A"/>
    <w:rsid w:val="00B11D0D"/>
    <w:rsid w:val="00B11DA9"/>
    <w:rsid w:val="00B12412"/>
    <w:rsid w:val="00B13354"/>
    <w:rsid w:val="00B13487"/>
    <w:rsid w:val="00B13A38"/>
    <w:rsid w:val="00B14675"/>
    <w:rsid w:val="00B155A6"/>
    <w:rsid w:val="00B15C78"/>
    <w:rsid w:val="00B201D7"/>
    <w:rsid w:val="00B204B5"/>
    <w:rsid w:val="00B2132E"/>
    <w:rsid w:val="00B2210F"/>
    <w:rsid w:val="00B22742"/>
    <w:rsid w:val="00B23439"/>
    <w:rsid w:val="00B23D4A"/>
    <w:rsid w:val="00B257B6"/>
    <w:rsid w:val="00B2664E"/>
    <w:rsid w:val="00B2695E"/>
    <w:rsid w:val="00B27410"/>
    <w:rsid w:val="00B3020A"/>
    <w:rsid w:val="00B31062"/>
    <w:rsid w:val="00B31B95"/>
    <w:rsid w:val="00B31EAF"/>
    <w:rsid w:val="00B354A5"/>
    <w:rsid w:val="00B36AC9"/>
    <w:rsid w:val="00B41A9C"/>
    <w:rsid w:val="00B427BD"/>
    <w:rsid w:val="00B42DFB"/>
    <w:rsid w:val="00B43039"/>
    <w:rsid w:val="00B44DA1"/>
    <w:rsid w:val="00B45225"/>
    <w:rsid w:val="00B4695C"/>
    <w:rsid w:val="00B46A56"/>
    <w:rsid w:val="00B47EDA"/>
    <w:rsid w:val="00B50644"/>
    <w:rsid w:val="00B50E34"/>
    <w:rsid w:val="00B51CE4"/>
    <w:rsid w:val="00B51FED"/>
    <w:rsid w:val="00B52FA7"/>
    <w:rsid w:val="00B53A49"/>
    <w:rsid w:val="00B54AEC"/>
    <w:rsid w:val="00B57475"/>
    <w:rsid w:val="00B57A8F"/>
    <w:rsid w:val="00B601B6"/>
    <w:rsid w:val="00B6094F"/>
    <w:rsid w:val="00B6133D"/>
    <w:rsid w:val="00B638C6"/>
    <w:rsid w:val="00B6465F"/>
    <w:rsid w:val="00B649A9"/>
    <w:rsid w:val="00B65598"/>
    <w:rsid w:val="00B6564E"/>
    <w:rsid w:val="00B66DC4"/>
    <w:rsid w:val="00B67346"/>
    <w:rsid w:val="00B67A6B"/>
    <w:rsid w:val="00B67CE6"/>
    <w:rsid w:val="00B70B08"/>
    <w:rsid w:val="00B710BE"/>
    <w:rsid w:val="00B71D39"/>
    <w:rsid w:val="00B72B43"/>
    <w:rsid w:val="00B73D7E"/>
    <w:rsid w:val="00B7448B"/>
    <w:rsid w:val="00B75708"/>
    <w:rsid w:val="00B75865"/>
    <w:rsid w:val="00B77913"/>
    <w:rsid w:val="00B779B2"/>
    <w:rsid w:val="00B802D8"/>
    <w:rsid w:val="00B80750"/>
    <w:rsid w:val="00B811A9"/>
    <w:rsid w:val="00B8326B"/>
    <w:rsid w:val="00B84235"/>
    <w:rsid w:val="00B84F59"/>
    <w:rsid w:val="00B8550A"/>
    <w:rsid w:val="00B85846"/>
    <w:rsid w:val="00B86C05"/>
    <w:rsid w:val="00B8794F"/>
    <w:rsid w:val="00B9017A"/>
    <w:rsid w:val="00B90CA4"/>
    <w:rsid w:val="00B9118B"/>
    <w:rsid w:val="00B911B9"/>
    <w:rsid w:val="00B913A6"/>
    <w:rsid w:val="00B9264B"/>
    <w:rsid w:val="00B9376A"/>
    <w:rsid w:val="00B940AF"/>
    <w:rsid w:val="00B94F4B"/>
    <w:rsid w:val="00B960DA"/>
    <w:rsid w:val="00BA0776"/>
    <w:rsid w:val="00BA0826"/>
    <w:rsid w:val="00BA150F"/>
    <w:rsid w:val="00BA18C8"/>
    <w:rsid w:val="00BA2A96"/>
    <w:rsid w:val="00BA2DFF"/>
    <w:rsid w:val="00BA3AB3"/>
    <w:rsid w:val="00BA42D8"/>
    <w:rsid w:val="00BA66AF"/>
    <w:rsid w:val="00BA6A04"/>
    <w:rsid w:val="00BA7036"/>
    <w:rsid w:val="00BA7F1C"/>
    <w:rsid w:val="00BB0207"/>
    <w:rsid w:val="00BB07EA"/>
    <w:rsid w:val="00BB1000"/>
    <w:rsid w:val="00BB1F27"/>
    <w:rsid w:val="00BB2977"/>
    <w:rsid w:val="00BB2DAB"/>
    <w:rsid w:val="00BB3E9C"/>
    <w:rsid w:val="00BB6564"/>
    <w:rsid w:val="00BB66E4"/>
    <w:rsid w:val="00BB67D8"/>
    <w:rsid w:val="00BB6B35"/>
    <w:rsid w:val="00BB7ADB"/>
    <w:rsid w:val="00BB7AFD"/>
    <w:rsid w:val="00BC2D62"/>
    <w:rsid w:val="00BC302D"/>
    <w:rsid w:val="00BC3B51"/>
    <w:rsid w:val="00BC3C4D"/>
    <w:rsid w:val="00BC42E8"/>
    <w:rsid w:val="00BC686F"/>
    <w:rsid w:val="00BC6A53"/>
    <w:rsid w:val="00BD1661"/>
    <w:rsid w:val="00BD2D73"/>
    <w:rsid w:val="00BD57F3"/>
    <w:rsid w:val="00BD5A42"/>
    <w:rsid w:val="00BD6EA5"/>
    <w:rsid w:val="00BD771C"/>
    <w:rsid w:val="00BE0850"/>
    <w:rsid w:val="00BE11B7"/>
    <w:rsid w:val="00BE18C6"/>
    <w:rsid w:val="00BE1A0C"/>
    <w:rsid w:val="00BE5512"/>
    <w:rsid w:val="00BE6074"/>
    <w:rsid w:val="00BE6C1C"/>
    <w:rsid w:val="00BE7A4A"/>
    <w:rsid w:val="00BE7FB2"/>
    <w:rsid w:val="00BF2909"/>
    <w:rsid w:val="00BF2BAB"/>
    <w:rsid w:val="00BF391A"/>
    <w:rsid w:val="00BF39DD"/>
    <w:rsid w:val="00BF3C54"/>
    <w:rsid w:val="00BF5281"/>
    <w:rsid w:val="00BF5DDD"/>
    <w:rsid w:val="00BF794D"/>
    <w:rsid w:val="00BF7D99"/>
    <w:rsid w:val="00C00A42"/>
    <w:rsid w:val="00C011D3"/>
    <w:rsid w:val="00C01F15"/>
    <w:rsid w:val="00C04B2D"/>
    <w:rsid w:val="00C04B9D"/>
    <w:rsid w:val="00C04CA8"/>
    <w:rsid w:val="00C057FB"/>
    <w:rsid w:val="00C076F2"/>
    <w:rsid w:val="00C10037"/>
    <w:rsid w:val="00C11E7B"/>
    <w:rsid w:val="00C12288"/>
    <w:rsid w:val="00C13429"/>
    <w:rsid w:val="00C13D6A"/>
    <w:rsid w:val="00C15499"/>
    <w:rsid w:val="00C17337"/>
    <w:rsid w:val="00C17F44"/>
    <w:rsid w:val="00C22BB6"/>
    <w:rsid w:val="00C241E8"/>
    <w:rsid w:val="00C26890"/>
    <w:rsid w:val="00C2739D"/>
    <w:rsid w:val="00C31967"/>
    <w:rsid w:val="00C330AE"/>
    <w:rsid w:val="00C33A36"/>
    <w:rsid w:val="00C34B7D"/>
    <w:rsid w:val="00C36077"/>
    <w:rsid w:val="00C378AC"/>
    <w:rsid w:val="00C41196"/>
    <w:rsid w:val="00C417D1"/>
    <w:rsid w:val="00C43227"/>
    <w:rsid w:val="00C436A7"/>
    <w:rsid w:val="00C43F09"/>
    <w:rsid w:val="00C45DDF"/>
    <w:rsid w:val="00C45F13"/>
    <w:rsid w:val="00C46735"/>
    <w:rsid w:val="00C46E7B"/>
    <w:rsid w:val="00C52539"/>
    <w:rsid w:val="00C551FC"/>
    <w:rsid w:val="00C574EA"/>
    <w:rsid w:val="00C57CC0"/>
    <w:rsid w:val="00C6111A"/>
    <w:rsid w:val="00C613B0"/>
    <w:rsid w:val="00C61CEB"/>
    <w:rsid w:val="00C6224D"/>
    <w:rsid w:val="00C6353D"/>
    <w:rsid w:val="00C639D3"/>
    <w:rsid w:val="00C63B37"/>
    <w:rsid w:val="00C63EF8"/>
    <w:rsid w:val="00C6431D"/>
    <w:rsid w:val="00C653C2"/>
    <w:rsid w:val="00C66D25"/>
    <w:rsid w:val="00C707A6"/>
    <w:rsid w:val="00C70CF8"/>
    <w:rsid w:val="00C71CEE"/>
    <w:rsid w:val="00C72AB2"/>
    <w:rsid w:val="00C7385C"/>
    <w:rsid w:val="00C74C26"/>
    <w:rsid w:val="00C74F64"/>
    <w:rsid w:val="00C75046"/>
    <w:rsid w:val="00C76189"/>
    <w:rsid w:val="00C76AE0"/>
    <w:rsid w:val="00C7721E"/>
    <w:rsid w:val="00C80404"/>
    <w:rsid w:val="00C81A07"/>
    <w:rsid w:val="00C820BA"/>
    <w:rsid w:val="00C82A64"/>
    <w:rsid w:val="00C83569"/>
    <w:rsid w:val="00C83BE6"/>
    <w:rsid w:val="00C842FF"/>
    <w:rsid w:val="00C84B3A"/>
    <w:rsid w:val="00C8559C"/>
    <w:rsid w:val="00C8616E"/>
    <w:rsid w:val="00C86EED"/>
    <w:rsid w:val="00C938DF"/>
    <w:rsid w:val="00C93A11"/>
    <w:rsid w:val="00C93A39"/>
    <w:rsid w:val="00C93CCC"/>
    <w:rsid w:val="00C9495C"/>
    <w:rsid w:val="00C95473"/>
    <w:rsid w:val="00C9587A"/>
    <w:rsid w:val="00C96961"/>
    <w:rsid w:val="00CA02EB"/>
    <w:rsid w:val="00CA182B"/>
    <w:rsid w:val="00CA3627"/>
    <w:rsid w:val="00CA3CA7"/>
    <w:rsid w:val="00CA3F8A"/>
    <w:rsid w:val="00CA4ABA"/>
    <w:rsid w:val="00CA4E38"/>
    <w:rsid w:val="00CB3F4F"/>
    <w:rsid w:val="00CB55F8"/>
    <w:rsid w:val="00CB5718"/>
    <w:rsid w:val="00CB5CA6"/>
    <w:rsid w:val="00CB5DA9"/>
    <w:rsid w:val="00CB61E1"/>
    <w:rsid w:val="00CB7697"/>
    <w:rsid w:val="00CB76EB"/>
    <w:rsid w:val="00CC0A50"/>
    <w:rsid w:val="00CC18A7"/>
    <w:rsid w:val="00CC26C2"/>
    <w:rsid w:val="00CC26E7"/>
    <w:rsid w:val="00CC2F23"/>
    <w:rsid w:val="00CC4383"/>
    <w:rsid w:val="00CC4D09"/>
    <w:rsid w:val="00CD0C26"/>
    <w:rsid w:val="00CD1039"/>
    <w:rsid w:val="00CD21BD"/>
    <w:rsid w:val="00CD2580"/>
    <w:rsid w:val="00CD3687"/>
    <w:rsid w:val="00CD5C8D"/>
    <w:rsid w:val="00CD6367"/>
    <w:rsid w:val="00CD7110"/>
    <w:rsid w:val="00CD77B8"/>
    <w:rsid w:val="00CE1C53"/>
    <w:rsid w:val="00CE39D8"/>
    <w:rsid w:val="00CE3BC9"/>
    <w:rsid w:val="00CE6975"/>
    <w:rsid w:val="00CE72F3"/>
    <w:rsid w:val="00CE7D94"/>
    <w:rsid w:val="00CF0303"/>
    <w:rsid w:val="00CF0B14"/>
    <w:rsid w:val="00CF179C"/>
    <w:rsid w:val="00CF297A"/>
    <w:rsid w:val="00CF2D3A"/>
    <w:rsid w:val="00CF35F3"/>
    <w:rsid w:val="00CF456E"/>
    <w:rsid w:val="00CF4584"/>
    <w:rsid w:val="00CF4895"/>
    <w:rsid w:val="00CF5F04"/>
    <w:rsid w:val="00CF623E"/>
    <w:rsid w:val="00CF6A4C"/>
    <w:rsid w:val="00CF6C93"/>
    <w:rsid w:val="00D0162C"/>
    <w:rsid w:val="00D0176E"/>
    <w:rsid w:val="00D01E2B"/>
    <w:rsid w:val="00D02FA4"/>
    <w:rsid w:val="00D03F2A"/>
    <w:rsid w:val="00D04695"/>
    <w:rsid w:val="00D04F51"/>
    <w:rsid w:val="00D062AB"/>
    <w:rsid w:val="00D064EE"/>
    <w:rsid w:val="00D10C45"/>
    <w:rsid w:val="00D11E4B"/>
    <w:rsid w:val="00D12AF8"/>
    <w:rsid w:val="00D151E3"/>
    <w:rsid w:val="00D1613E"/>
    <w:rsid w:val="00D163F6"/>
    <w:rsid w:val="00D17385"/>
    <w:rsid w:val="00D17705"/>
    <w:rsid w:val="00D17777"/>
    <w:rsid w:val="00D208EE"/>
    <w:rsid w:val="00D228AF"/>
    <w:rsid w:val="00D24A4F"/>
    <w:rsid w:val="00D2567B"/>
    <w:rsid w:val="00D26769"/>
    <w:rsid w:val="00D267B8"/>
    <w:rsid w:val="00D26A00"/>
    <w:rsid w:val="00D27246"/>
    <w:rsid w:val="00D303D5"/>
    <w:rsid w:val="00D325A0"/>
    <w:rsid w:val="00D33750"/>
    <w:rsid w:val="00D33D21"/>
    <w:rsid w:val="00D347BA"/>
    <w:rsid w:val="00D3594D"/>
    <w:rsid w:val="00D37CA5"/>
    <w:rsid w:val="00D37D5D"/>
    <w:rsid w:val="00D40393"/>
    <w:rsid w:val="00D41CAA"/>
    <w:rsid w:val="00D42E58"/>
    <w:rsid w:val="00D4367F"/>
    <w:rsid w:val="00D4590E"/>
    <w:rsid w:val="00D45B68"/>
    <w:rsid w:val="00D45E1F"/>
    <w:rsid w:val="00D47856"/>
    <w:rsid w:val="00D47935"/>
    <w:rsid w:val="00D5047A"/>
    <w:rsid w:val="00D5121D"/>
    <w:rsid w:val="00D513F5"/>
    <w:rsid w:val="00D51473"/>
    <w:rsid w:val="00D51657"/>
    <w:rsid w:val="00D51B0B"/>
    <w:rsid w:val="00D55980"/>
    <w:rsid w:val="00D55CF5"/>
    <w:rsid w:val="00D565B0"/>
    <w:rsid w:val="00D57EF0"/>
    <w:rsid w:val="00D616A2"/>
    <w:rsid w:val="00D61A23"/>
    <w:rsid w:val="00D62116"/>
    <w:rsid w:val="00D6216E"/>
    <w:rsid w:val="00D62860"/>
    <w:rsid w:val="00D62FD7"/>
    <w:rsid w:val="00D63871"/>
    <w:rsid w:val="00D64C67"/>
    <w:rsid w:val="00D651AC"/>
    <w:rsid w:val="00D66F30"/>
    <w:rsid w:val="00D66FA5"/>
    <w:rsid w:val="00D678A7"/>
    <w:rsid w:val="00D679B9"/>
    <w:rsid w:val="00D67CE3"/>
    <w:rsid w:val="00D70142"/>
    <w:rsid w:val="00D701EC"/>
    <w:rsid w:val="00D70C48"/>
    <w:rsid w:val="00D72AE8"/>
    <w:rsid w:val="00D7517E"/>
    <w:rsid w:val="00D762C2"/>
    <w:rsid w:val="00D7650A"/>
    <w:rsid w:val="00D76713"/>
    <w:rsid w:val="00D767CE"/>
    <w:rsid w:val="00D77F80"/>
    <w:rsid w:val="00D8029A"/>
    <w:rsid w:val="00D80C5D"/>
    <w:rsid w:val="00D811B7"/>
    <w:rsid w:val="00D819A2"/>
    <w:rsid w:val="00D81B89"/>
    <w:rsid w:val="00D8240F"/>
    <w:rsid w:val="00D83E21"/>
    <w:rsid w:val="00D84048"/>
    <w:rsid w:val="00D86EF9"/>
    <w:rsid w:val="00D872F4"/>
    <w:rsid w:val="00D9109C"/>
    <w:rsid w:val="00D92750"/>
    <w:rsid w:val="00D93DD3"/>
    <w:rsid w:val="00D947E6"/>
    <w:rsid w:val="00D95EE3"/>
    <w:rsid w:val="00D969E9"/>
    <w:rsid w:val="00DA0D20"/>
    <w:rsid w:val="00DA112C"/>
    <w:rsid w:val="00DA1340"/>
    <w:rsid w:val="00DA4A27"/>
    <w:rsid w:val="00DA532E"/>
    <w:rsid w:val="00DA6119"/>
    <w:rsid w:val="00DA642F"/>
    <w:rsid w:val="00DA7569"/>
    <w:rsid w:val="00DA7A61"/>
    <w:rsid w:val="00DA7DE5"/>
    <w:rsid w:val="00DB1046"/>
    <w:rsid w:val="00DB574C"/>
    <w:rsid w:val="00DB59BC"/>
    <w:rsid w:val="00DB7CDB"/>
    <w:rsid w:val="00DC0269"/>
    <w:rsid w:val="00DC09D5"/>
    <w:rsid w:val="00DC0AC8"/>
    <w:rsid w:val="00DC1A30"/>
    <w:rsid w:val="00DC2E63"/>
    <w:rsid w:val="00DC3AF0"/>
    <w:rsid w:val="00DC3C52"/>
    <w:rsid w:val="00DC4A09"/>
    <w:rsid w:val="00DC4CC6"/>
    <w:rsid w:val="00DC52C2"/>
    <w:rsid w:val="00DC5426"/>
    <w:rsid w:val="00DC5AED"/>
    <w:rsid w:val="00DC623F"/>
    <w:rsid w:val="00DC6B47"/>
    <w:rsid w:val="00DC71AC"/>
    <w:rsid w:val="00DC74BF"/>
    <w:rsid w:val="00DC7750"/>
    <w:rsid w:val="00DD089E"/>
    <w:rsid w:val="00DD0FE1"/>
    <w:rsid w:val="00DD29F3"/>
    <w:rsid w:val="00DD2B55"/>
    <w:rsid w:val="00DD4179"/>
    <w:rsid w:val="00DD63A4"/>
    <w:rsid w:val="00DD7FC5"/>
    <w:rsid w:val="00DE0F46"/>
    <w:rsid w:val="00DE145A"/>
    <w:rsid w:val="00DE2794"/>
    <w:rsid w:val="00DE2E0D"/>
    <w:rsid w:val="00DE4D22"/>
    <w:rsid w:val="00DE5337"/>
    <w:rsid w:val="00DE6050"/>
    <w:rsid w:val="00DE6347"/>
    <w:rsid w:val="00DE6770"/>
    <w:rsid w:val="00DE7F74"/>
    <w:rsid w:val="00DF1A2C"/>
    <w:rsid w:val="00DF29E1"/>
    <w:rsid w:val="00DF4607"/>
    <w:rsid w:val="00DF4B93"/>
    <w:rsid w:val="00DF6024"/>
    <w:rsid w:val="00DF676F"/>
    <w:rsid w:val="00DF67ED"/>
    <w:rsid w:val="00E02AAE"/>
    <w:rsid w:val="00E02CB3"/>
    <w:rsid w:val="00E030CC"/>
    <w:rsid w:val="00E03839"/>
    <w:rsid w:val="00E040A2"/>
    <w:rsid w:val="00E04612"/>
    <w:rsid w:val="00E04BE7"/>
    <w:rsid w:val="00E050EF"/>
    <w:rsid w:val="00E052A2"/>
    <w:rsid w:val="00E055A1"/>
    <w:rsid w:val="00E05E10"/>
    <w:rsid w:val="00E06348"/>
    <w:rsid w:val="00E06B0C"/>
    <w:rsid w:val="00E1181B"/>
    <w:rsid w:val="00E11A62"/>
    <w:rsid w:val="00E1200E"/>
    <w:rsid w:val="00E12D57"/>
    <w:rsid w:val="00E13C47"/>
    <w:rsid w:val="00E14178"/>
    <w:rsid w:val="00E14D6D"/>
    <w:rsid w:val="00E160E4"/>
    <w:rsid w:val="00E1635F"/>
    <w:rsid w:val="00E21095"/>
    <w:rsid w:val="00E248E8"/>
    <w:rsid w:val="00E340B5"/>
    <w:rsid w:val="00E343A3"/>
    <w:rsid w:val="00E34879"/>
    <w:rsid w:val="00E34DC6"/>
    <w:rsid w:val="00E35A2F"/>
    <w:rsid w:val="00E3692F"/>
    <w:rsid w:val="00E371E6"/>
    <w:rsid w:val="00E375D3"/>
    <w:rsid w:val="00E37871"/>
    <w:rsid w:val="00E37DE2"/>
    <w:rsid w:val="00E40B3E"/>
    <w:rsid w:val="00E42D4C"/>
    <w:rsid w:val="00E45F26"/>
    <w:rsid w:val="00E46850"/>
    <w:rsid w:val="00E46CEF"/>
    <w:rsid w:val="00E507B1"/>
    <w:rsid w:val="00E51118"/>
    <w:rsid w:val="00E54068"/>
    <w:rsid w:val="00E54C71"/>
    <w:rsid w:val="00E56182"/>
    <w:rsid w:val="00E561BF"/>
    <w:rsid w:val="00E569A4"/>
    <w:rsid w:val="00E5710D"/>
    <w:rsid w:val="00E57641"/>
    <w:rsid w:val="00E57896"/>
    <w:rsid w:val="00E60573"/>
    <w:rsid w:val="00E618C3"/>
    <w:rsid w:val="00E623EA"/>
    <w:rsid w:val="00E63622"/>
    <w:rsid w:val="00E63AAA"/>
    <w:rsid w:val="00E65824"/>
    <w:rsid w:val="00E664CB"/>
    <w:rsid w:val="00E66EF4"/>
    <w:rsid w:val="00E70371"/>
    <w:rsid w:val="00E70E46"/>
    <w:rsid w:val="00E719C7"/>
    <w:rsid w:val="00E71E7A"/>
    <w:rsid w:val="00E721B7"/>
    <w:rsid w:val="00E7246B"/>
    <w:rsid w:val="00E73F82"/>
    <w:rsid w:val="00E740D2"/>
    <w:rsid w:val="00E7653F"/>
    <w:rsid w:val="00E803BF"/>
    <w:rsid w:val="00E8126A"/>
    <w:rsid w:val="00E82D7A"/>
    <w:rsid w:val="00E86045"/>
    <w:rsid w:val="00E86760"/>
    <w:rsid w:val="00E86A41"/>
    <w:rsid w:val="00E8780A"/>
    <w:rsid w:val="00E90548"/>
    <w:rsid w:val="00E90687"/>
    <w:rsid w:val="00E91720"/>
    <w:rsid w:val="00E9458E"/>
    <w:rsid w:val="00E94E9C"/>
    <w:rsid w:val="00E959F8"/>
    <w:rsid w:val="00E97461"/>
    <w:rsid w:val="00EA00BC"/>
    <w:rsid w:val="00EA0A7A"/>
    <w:rsid w:val="00EA119C"/>
    <w:rsid w:val="00EA17F1"/>
    <w:rsid w:val="00EA2C0B"/>
    <w:rsid w:val="00EA2EA7"/>
    <w:rsid w:val="00EA517E"/>
    <w:rsid w:val="00EA5546"/>
    <w:rsid w:val="00EA565C"/>
    <w:rsid w:val="00EA6018"/>
    <w:rsid w:val="00EA68F3"/>
    <w:rsid w:val="00EA744E"/>
    <w:rsid w:val="00EA7B76"/>
    <w:rsid w:val="00EB02D9"/>
    <w:rsid w:val="00EB06C0"/>
    <w:rsid w:val="00EB1A73"/>
    <w:rsid w:val="00EB3159"/>
    <w:rsid w:val="00EB328C"/>
    <w:rsid w:val="00EB3893"/>
    <w:rsid w:val="00EB4252"/>
    <w:rsid w:val="00EB4BEC"/>
    <w:rsid w:val="00EB5E42"/>
    <w:rsid w:val="00EB6156"/>
    <w:rsid w:val="00EC3ABA"/>
    <w:rsid w:val="00EC4B2A"/>
    <w:rsid w:val="00EC4EB3"/>
    <w:rsid w:val="00EC51EE"/>
    <w:rsid w:val="00EC58E6"/>
    <w:rsid w:val="00EC5D22"/>
    <w:rsid w:val="00EC6D91"/>
    <w:rsid w:val="00ED0074"/>
    <w:rsid w:val="00ED057A"/>
    <w:rsid w:val="00ED09A3"/>
    <w:rsid w:val="00ED1903"/>
    <w:rsid w:val="00ED2739"/>
    <w:rsid w:val="00ED3916"/>
    <w:rsid w:val="00ED4097"/>
    <w:rsid w:val="00ED796A"/>
    <w:rsid w:val="00ED7B39"/>
    <w:rsid w:val="00EE0700"/>
    <w:rsid w:val="00EE3AA9"/>
    <w:rsid w:val="00EE4723"/>
    <w:rsid w:val="00EE541B"/>
    <w:rsid w:val="00EE5683"/>
    <w:rsid w:val="00EE729C"/>
    <w:rsid w:val="00EF0069"/>
    <w:rsid w:val="00EF2BEC"/>
    <w:rsid w:val="00EF3442"/>
    <w:rsid w:val="00EF42E7"/>
    <w:rsid w:val="00EF4F09"/>
    <w:rsid w:val="00EF5077"/>
    <w:rsid w:val="00EF6123"/>
    <w:rsid w:val="00EF63C1"/>
    <w:rsid w:val="00EF6B3B"/>
    <w:rsid w:val="00F00E18"/>
    <w:rsid w:val="00F01E00"/>
    <w:rsid w:val="00F02293"/>
    <w:rsid w:val="00F05127"/>
    <w:rsid w:val="00F067C1"/>
    <w:rsid w:val="00F11511"/>
    <w:rsid w:val="00F14CA5"/>
    <w:rsid w:val="00F17C7C"/>
    <w:rsid w:val="00F20B47"/>
    <w:rsid w:val="00F20FFC"/>
    <w:rsid w:val="00F21A3F"/>
    <w:rsid w:val="00F21D7A"/>
    <w:rsid w:val="00F222B1"/>
    <w:rsid w:val="00F24BBE"/>
    <w:rsid w:val="00F252A5"/>
    <w:rsid w:val="00F265ED"/>
    <w:rsid w:val="00F31400"/>
    <w:rsid w:val="00F31B52"/>
    <w:rsid w:val="00F320B4"/>
    <w:rsid w:val="00F32E64"/>
    <w:rsid w:val="00F364E5"/>
    <w:rsid w:val="00F36870"/>
    <w:rsid w:val="00F36FD4"/>
    <w:rsid w:val="00F400AE"/>
    <w:rsid w:val="00F41D1D"/>
    <w:rsid w:val="00F427F5"/>
    <w:rsid w:val="00F43E21"/>
    <w:rsid w:val="00F442F9"/>
    <w:rsid w:val="00F4488C"/>
    <w:rsid w:val="00F45EFB"/>
    <w:rsid w:val="00F45FDF"/>
    <w:rsid w:val="00F471C9"/>
    <w:rsid w:val="00F47475"/>
    <w:rsid w:val="00F50E5C"/>
    <w:rsid w:val="00F50EC2"/>
    <w:rsid w:val="00F51AB0"/>
    <w:rsid w:val="00F522C9"/>
    <w:rsid w:val="00F53888"/>
    <w:rsid w:val="00F558E0"/>
    <w:rsid w:val="00F559F3"/>
    <w:rsid w:val="00F56BE0"/>
    <w:rsid w:val="00F56D57"/>
    <w:rsid w:val="00F60784"/>
    <w:rsid w:val="00F65A1B"/>
    <w:rsid w:val="00F65E92"/>
    <w:rsid w:val="00F66947"/>
    <w:rsid w:val="00F672A7"/>
    <w:rsid w:val="00F67375"/>
    <w:rsid w:val="00F67A0C"/>
    <w:rsid w:val="00F67A45"/>
    <w:rsid w:val="00F7005A"/>
    <w:rsid w:val="00F74879"/>
    <w:rsid w:val="00F75B30"/>
    <w:rsid w:val="00F77A7A"/>
    <w:rsid w:val="00F803D8"/>
    <w:rsid w:val="00F80E1D"/>
    <w:rsid w:val="00F80F9D"/>
    <w:rsid w:val="00F81AD6"/>
    <w:rsid w:val="00F82627"/>
    <w:rsid w:val="00F8308D"/>
    <w:rsid w:val="00F8728A"/>
    <w:rsid w:val="00F909B2"/>
    <w:rsid w:val="00F91914"/>
    <w:rsid w:val="00F948CD"/>
    <w:rsid w:val="00F9533A"/>
    <w:rsid w:val="00F956DD"/>
    <w:rsid w:val="00F95916"/>
    <w:rsid w:val="00F95B98"/>
    <w:rsid w:val="00F96496"/>
    <w:rsid w:val="00F976B4"/>
    <w:rsid w:val="00FA3F6B"/>
    <w:rsid w:val="00FA5674"/>
    <w:rsid w:val="00FA5865"/>
    <w:rsid w:val="00FA59E3"/>
    <w:rsid w:val="00FA72C0"/>
    <w:rsid w:val="00FA73BE"/>
    <w:rsid w:val="00FB1791"/>
    <w:rsid w:val="00FB302C"/>
    <w:rsid w:val="00FB34F3"/>
    <w:rsid w:val="00FB35FD"/>
    <w:rsid w:val="00FB4561"/>
    <w:rsid w:val="00FB5DA0"/>
    <w:rsid w:val="00FB6640"/>
    <w:rsid w:val="00FB7C9A"/>
    <w:rsid w:val="00FC135B"/>
    <w:rsid w:val="00FC13EC"/>
    <w:rsid w:val="00FC1489"/>
    <w:rsid w:val="00FC2D66"/>
    <w:rsid w:val="00FC33B9"/>
    <w:rsid w:val="00FC4CC3"/>
    <w:rsid w:val="00FC78A2"/>
    <w:rsid w:val="00FD00B1"/>
    <w:rsid w:val="00FD0FBE"/>
    <w:rsid w:val="00FD12E1"/>
    <w:rsid w:val="00FD176F"/>
    <w:rsid w:val="00FD1C5E"/>
    <w:rsid w:val="00FD25CF"/>
    <w:rsid w:val="00FD2998"/>
    <w:rsid w:val="00FD2E88"/>
    <w:rsid w:val="00FD3E72"/>
    <w:rsid w:val="00FD6D65"/>
    <w:rsid w:val="00FE003C"/>
    <w:rsid w:val="00FE01D1"/>
    <w:rsid w:val="00FE0A19"/>
    <w:rsid w:val="00FE15A9"/>
    <w:rsid w:val="00FE20C9"/>
    <w:rsid w:val="00FE2D57"/>
    <w:rsid w:val="00FE355C"/>
    <w:rsid w:val="00FE4873"/>
    <w:rsid w:val="00FE5468"/>
    <w:rsid w:val="00FE73A1"/>
    <w:rsid w:val="00FE7545"/>
    <w:rsid w:val="00FF27EC"/>
    <w:rsid w:val="00FF44AE"/>
    <w:rsid w:val="00FF582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Unicode MS" w:eastAsia="Arial Unicode MS" w:hAnsi="Arial Unicode MS" w:cs="Arial Unicode MS"/>
        <w:lang w:val="en-US" w:eastAsia="en-US"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semiHidden="0" w:uiPriority="9" w:unhideWhenUsed="0" w:qFormat="1"/>
    <w:lsdException w:name="heading 5" w:locked="1" w:semiHidden="0" w:unhideWhenUsed="0" w:qFormat="1"/>
    <w:lsdException w:name="heading 6" w:locked="1" w:semiHidden="0" w:unhideWhenUsed="0" w:qFormat="1"/>
    <w:lsdException w:name="heading 7" w:locked="1" w:qFormat="1"/>
    <w:lsdException w:name="heading 8" w:locked="1" w:qFormat="1"/>
    <w:lsdException w:name="heading 9" w:locked="1" w:qFormat="1"/>
    <w:lsdException w:name="toc 1" w:locked="1" w:uiPriority="39" w:qFormat="1"/>
    <w:lsdException w:name="toc 2" w:locked="1" w:uiPriority="39" w:qFormat="1"/>
    <w:lsdException w:name="toc 3" w:locked="1" w:uiPriority="39" w:qFormat="1"/>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locked="1"/>
    <w:lsdException w:name="footnote text" w:locked="1" w:uiPriority="99" w:qFormat="1"/>
    <w:lsdException w:name="caption" w:locked="1" w:uiPriority="35" w:qFormat="1"/>
    <w:lsdException w:name="table of figures" w:locked="1" w:uiPriority="99" w:qFormat="1"/>
    <w:lsdException w:name="footnote reference" w:locked="1" w:uiPriority="99" w:qFormat="1"/>
    <w:lsdException w:name="List Number" w:locked="1" w:semiHidden="0" w:unhideWhenUsed="0"/>
    <w:lsdException w:name="List 4" w:semiHidden="0" w:unhideWhenUsed="0"/>
    <w:lsdException w:name="List 5" w:semiHidden="0" w:unhideWhenUsed="0"/>
    <w:lsdException w:name="List Number 2" w:locked="1"/>
    <w:lsdException w:name="List Number 3" w:locked="1"/>
    <w:lsdException w:name="Title" w:locked="1" w:semiHidden="0" w:unhideWhenUsed="0" w:qFormat="1"/>
    <w:lsdException w:name="Default Paragraph Font" w:locked="1"/>
    <w:lsdException w:name="Body Text" w:locked="1"/>
    <w:lsdException w:name="Subtitle" w:locked="1"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locked="1" w:semiHidden="0" w:unhideWhenUsed="0" w:qFormat="1"/>
    <w:lsdException w:name="Emphasis" w:locked="1" w:semiHidden="0" w:unhideWhenUsed="0" w:qFormat="1"/>
    <w:lsdException w:name="No List" w:uiPriority="99"/>
    <w:lsdException w:name="Table Grid" w:locked="1"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721CB"/>
    <w:pPr>
      <w:spacing w:after="180"/>
    </w:pPr>
    <w:rPr>
      <w:rFonts w:ascii="Arial" w:eastAsia="Times New Roman" w:hAnsi="Arial" w:cs="Times New Roman"/>
      <w:szCs w:val="22"/>
      <w:lang w:val="bg-BG"/>
    </w:rPr>
  </w:style>
  <w:style w:type="paragraph" w:styleId="Heading1">
    <w:name w:val="heading 1"/>
    <w:aliases w:val="Heading 1 WB"/>
    <w:basedOn w:val="Normal"/>
    <w:next w:val="Normal"/>
    <w:link w:val="Heading1Char"/>
    <w:qFormat/>
    <w:rsid w:val="006A2E9E"/>
    <w:pPr>
      <w:keepNext/>
      <w:keepLines/>
      <w:spacing w:before="200" w:after="200"/>
      <w:outlineLvl w:val="0"/>
    </w:pPr>
    <w:rPr>
      <w:rFonts w:ascii="Calibri" w:eastAsia="MS Gothic" w:hAnsi="Calibri"/>
      <w:b/>
      <w:bCs/>
      <w:color w:val="365F91"/>
      <w:sz w:val="28"/>
      <w:szCs w:val="28"/>
      <w:lang w:val="x-none" w:eastAsia="x-none"/>
    </w:rPr>
  </w:style>
  <w:style w:type="paragraph" w:styleId="Heading2">
    <w:name w:val="heading 2"/>
    <w:aliases w:val="Heading 2 WB"/>
    <w:basedOn w:val="Normal"/>
    <w:next w:val="Normal"/>
    <w:link w:val="Heading2Char"/>
    <w:qFormat/>
    <w:rsid w:val="006A2E9E"/>
    <w:pPr>
      <w:widowControl w:val="0"/>
      <w:numPr>
        <w:ilvl w:val="1"/>
        <w:numId w:val="1"/>
      </w:numPr>
      <w:spacing w:before="200" w:after="60" w:line="264" w:lineRule="auto"/>
      <w:jc w:val="both"/>
      <w:outlineLvl w:val="1"/>
    </w:pPr>
    <w:rPr>
      <w:rFonts w:ascii="Calibri" w:eastAsia="Arial Unicode MS" w:hAnsi="Calibri"/>
      <w:b/>
      <w:color w:val="365F91"/>
      <w:sz w:val="28"/>
      <w:szCs w:val="26"/>
      <w:lang w:val="x-none" w:eastAsia="x-none"/>
    </w:rPr>
  </w:style>
  <w:style w:type="paragraph" w:styleId="Heading3">
    <w:name w:val="heading 3"/>
    <w:basedOn w:val="Normal"/>
    <w:next w:val="Normal"/>
    <w:link w:val="Heading3Char"/>
    <w:qFormat/>
    <w:rsid w:val="00896942"/>
    <w:pPr>
      <w:keepNext/>
      <w:keepLines/>
      <w:numPr>
        <w:ilvl w:val="2"/>
        <w:numId w:val="1"/>
      </w:numPr>
      <w:autoSpaceDE w:val="0"/>
      <w:autoSpaceDN w:val="0"/>
      <w:adjustRightInd w:val="0"/>
      <w:spacing w:before="60" w:after="60"/>
      <w:jc w:val="both"/>
      <w:outlineLvl w:val="2"/>
    </w:pPr>
    <w:rPr>
      <w:rFonts w:ascii="Calibri" w:eastAsia="MS Gothic" w:hAnsi="Calibri"/>
      <w:b/>
      <w:bCs/>
      <w:i/>
      <w:color w:val="4F81BD"/>
      <w:sz w:val="26"/>
      <w:lang w:val="x-none"/>
    </w:rPr>
  </w:style>
  <w:style w:type="paragraph" w:styleId="Heading4">
    <w:name w:val="heading 4"/>
    <w:aliases w:val="Heading 4 WB"/>
    <w:basedOn w:val="Normal"/>
    <w:next w:val="Normal"/>
    <w:link w:val="Heading4Char"/>
    <w:uiPriority w:val="9"/>
    <w:qFormat/>
    <w:rsid w:val="00491557"/>
    <w:pPr>
      <w:keepNext/>
      <w:keepLines/>
      <w:autoSpaceDE w:val="0"/>
      <w:autoSpaceDN w:val="0"/>
      <w:adjustRightInd w:val="0"/>
      <w:spacing w:before="60" w:after="60"/>
      <w:jc w:val="both"/>
      <w:outlineLvl w:val="3"/>
    </w:pPr>
    <w:rPr>
      <w:rFonts w:ascii="Calibri" w:hAnsi="Calibri"/>
      <w:bCs/>
      <w:i/>
      <w:iCs/>
      <w:color w:val="2F5496"/>
      <w:sz w:val="24"/>
      <w:szCs w:val="24"/>
      <w:lang w:val="en-US"/>
    </w:rPr>
  </w:style>
  <w:style w:type="paragraph" w:styleId="Heading5">
    <w:name w:val="heading 5"/>
    <w:basedOn w:val="Normal"/>
    <w:next w:val="Normal"/>
    <w:link w:val="Heading5Char"/>
    <w:qFormat/>
    <w:rsid w:val="00896942"/>
    <w:pPr>
      <w:keepNext/>
      <w:keepLines/>
      <w:spacing w:before="40" w:after="0"/>
      <w:outlineLvl w:val="4"/>
    </w:pPr>
    <w:rPr>
      <w:rFonts w:ascii="Cambria" w:eastAsia="MS Gothic" w:hAnsi="Cambria"/>
      <w:color w:val="365F91"/>
      <w:sz w:val="22"/>
      <w:lang w:val="x-none" w:eastAsia="x-none"/>
    </w:rPr>
  </w:style>
  <w:style w:type="paragraph" w:styleId="Heading6">
    <w:name w:val="heading 6"/>
    <w:basedOn w:val="Normal"/>
    <w:next w:val="Normal"/>
    <w:link w:val="Heading6Char"/>
    <w:qFormat/>
    <w:rsid w:val="006442E5"/>
    <w:pPr>
      <w:keepNext/>
      <w:keepLines/>
      <w:spacing w:before="40" w:after="160" w:line="259" w:lineRule="auto"/>
      <w:ind w:left="1152" w:hanging="1152"/>
      <w:jc w:val="both"/>
      <w:outlineLvl w:val="5"/>
    </w:pPr>
    <w:rPr>
      <w:rFonts w:ascii="Calibri Light" w:eastAsia="Arial Unicode MS" w:hAnsi="Calibri Light"/>
      <w:color w:val="1F4D78"/>
      <w:sz w:val="22"/>
      <w:lang w:eastAsia="x-none"/>
    </w:rPr>
  </w:style>
  <w:style w:type="paragraph" w:styleId="Heading7">
    <w:name w:val="heading 7"/>
    <w:basedOn w:val="Normal"/>
    <w:next w:val="Normal"/>
    <w:link w:val="Heading7Char"/>
    <w:qFormat/>
    <w:rsid w:val="006442E5"/>
    <w:pPr>
      <w:keepNext/>
      <w:keepLines/>
      <w:spacing w:before="40" w:after="160" w:line="259" w:lineRule="auto"/>
      <w:ind w:left="1296" w:hanging="1296"/>
      <w:jc w:val="both"/>
      <w:outlineLvl w:val="6"/>
    </w:pPr>
    <w:rPr>
      <w:rFonts w:ascii="Calibri Light" w:eastAsia="Arial Unicode MS" w:hAnsi="Calibri Light"/>
      <w:i/>
      <w:iCs/>
      <w:color w:val="1F4D78"/>
      <w:sz w:val="22"/>
      <w:lang w:eastAsia="x-none"/>
    </w:rPr>
  </w:style>
  <w:style w:type="paragraph" w:styleId="Heading8">
    <w:name w:val="heading 8"/>
    <w:basedOn w:val="Normal"/>
    <w:next w:val="Normal"/>
    <w:link w:val="Heading8Char"/>
    <w:qFormat/>
    <w:rsid w:val="006442E5"/>
    <w:pPr>
      <w:keepNext/>
      <w:keepLines/>
      <w:spacing w:before="40" w:after="160" w:line="259" w:lineRule="auto"/>
      <w:ind w:left="1440" w:hanging="1440"/>
      <w:jc w:val="both"/>
      <w:outlineLvl w:val="7"/>
    </w:pPr>
    <w:rPr>
      <w:rFonts w:ascii="Calibri Light" w:eastAsia="Arial Unicode MS" w:hAnsi="Calibri Light"/>
      <w:color w:val="272727"/>
      <w:sz w:val="21"/>
      <w:szCs w:val="21"/>
      <w:lang w:eastAsia="x-none"/>
    </w:rPr>
  </w:style>
  <w:style w:type="paragraph" w:styleId="Heading9">
    <w:name w:val="heading 9"/>
    <w:basedOn w:val="Normal"/>
    <w:next w:val="Normal"/>
    <w:link w:val="Heading9Char"/>
    <w:qFormat/>
    <w:rsid w:val="006442E5"/>
    <w:pPr>
      <w:keepNext/>
      <w:keepLines/>
      <w:spacing w:before="40" w:after="160" w:line="259" w:lineRule="auto"/>
      <w:ind w:left="1584" w:hanging="1584"/>
      <w:jc w:val="both"/>
      <w:outlineLvl w:val="8"/>
    </w:pPr>
    <w:rPr>
      <w:rFonts w:ascii="Calibri Light" w:eastAsia="Arial Unicode MS" w:hAnsi="Calibri Light"/>
      <w:i/>
      <w:iCs/>
      <w:color w:val="272727"/>
      <w:sz w:val="21"/>
      <w:szCs w:val="21"/>
      <w:lang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rsid w:val="005F24EB"/>
    <w:rPr>
      <w:rFonts w:cs="Times New Roman"/>
      <w:sz w:val="16"/>
      <w:szCs w:val="16"/>
    </w:rPr>
  </w:style>
  <w:style w:type="paragraph" w:styleId="CommentText">
    <w:name w:val="annotation text"/>
    <w:basedOn w:val="Normal"/>
    <w:link w:val="CommentTextChar"/>
    <w:rsid w:val="005F24EB"/>
    <w:rPr>
      <w:szCs w:val="20"/>
      <w:lang w:val="x-none" w:eastAsia="x-none"/>
    </w:rPr>
  </w:style>
  <w:style w:type="character" w:customStyle="1" w:styleId="CommentTextChar">
    <w:name w:val="Comment Text Char"/>
    <w:link w:val="CommentText"/>
    <w:locked/>
    <w:rsid w:val="005F24EB"/>
    <w:rPr>
      <w:rFonts w:ascii="Arial" w:eastAsia="Times New Roman" w:hAnsi="Arial" w:cs="Times New Roman"/>
      <w:sz w:val="20"/>
      <w:szCs w:val="20"/>
    </w:rPr>
  </w:style>
  <w:style w:type="paragraph" w:styleId="BalloonText">
    <w:name w:val="Balloon Text"/>
    <w:basedOn w:val="Normal"/>
    <w:link w:val="BalloonTextChar"/>
    <w:semiHidden/>
    <w:rsid w:val="005F24EB"/>
    <w:pPr>
      <w:spacing w:after="0"/>
    </w:pPr>
    <w:rPr>
      <w:rFonts w:ascii="Segoe UI" w:hAnsi="Segoe UI"/>
      <w:sz w:val="18"/>
      <w:szCs w:val="18"/>
      <w:lang w:val="x-none" w:eastAsia="x-none"/>
    </w:rPr>
  </w:style>
  <w:style w:type="character" w:customStyle="1" w:styleId="BalloonTextChar">
    <w:name w:val="Balloon Text Char"/>
    <w:link w:val="BalloonText"/>
    <w:semiHidden/>
    <w:locked/>
    <w:rsid w:val="005F24EB"/>
    <w:rPr>
      <w:rFonts w:ascii="Segoe UI" w:eastAsia="Times New Roman" w:hAnsi="Segoe UI" w:cs="Segoe UI"/>
      <w:sz w:val="18"/>
      <w:szCs w:val="18"/>
    </w:rPr>
  </w:style>
  <w:style w:type="paragraph" w:styleId="CommentSubject">
    <w:name w:val="annotation subject"/>
    <w:basedOn w:val="CommentText"/>
    <w:next w:val="CommentText"/>
    <w:link w:val="CommentSubjectChar"/>
    <w:semiHidden/>
    <w:rsid w:val="005F24EB"/>
    <w:rPr>
      <w:b/>
      <w:bCs/>
    </w:rPr>
  </w:style>
  <w:style w:type="character" w:customStyle="1" w:styleId="CommentSubjectChar">
    <w:name w:val="Comment Subject Char"/>
    <w:link w:val="CommentSubject"/>
    <w:semiHidden/>
    <w:locked/>
    <w:rsid w:val="005F24EB"/>
    <w:rPr>
      <w:rFonts w:ascii="Arial" w:eastAsia="Times New Roman" w:hAnsi="Arial" w:cs="Times New Roman"/>
      <w:b/>
      <w:bCs/>
      <w:sz w:val="20"/>
      <w:szCs w:val="20"/>
    </w:rPr>
  </w:style>
  <w:style w:type="paragraph" w:styleId="FootnoteText">
    <w:name w:val="footnote text"/>
    <w:aliases w:val="Footnote Text Char Char Char Char Char Char,fn,single space,FOOTNOTES,Footnote Text Char Char,ft,Texto nota pie Car,Footnote Text Char1,Fußnotentext Char,Fußnotentext arial,ALTS FOOTNOTE,ADB,pod carou,Footnote text,Fußnotentextf"/>
    <w:basedOn w:val="Normal"/>
    <w:link w:val="FootnoteTextChar"/>
    <w:uiPriority w:val="99"/>
    <w:qFormat/>
    <w:rsid w:val="005F24EB"/>
    <w:pPr>
      <w:spacing w:after="0"/>
    </w:pPr>
    <w:rPr>
      <w:szCs w:val="20"/>
      <w:lang w:eastAsia="x-none"/>
    </w:rPr>
  </w:style>
  <w:style w:type="character" w:customStyle="1" w:styleId="FootnoteTextChar">
    <w:name w:val="Footnote Text Char"/>
    <w:aliases w:val="Footnote Text Char Char Char Char Char Char Char1,fn Char1,single space Char1,FOOTNOTES Char1,Footnote Text Char Char Char1,ft Char1,Texto nota pie Car Char1,Footnote Text Char1 Char1,Fußnotentext Char Char1,Fußnotentext arial Char"/>
    <w:link w:val="FootnoteText"/>
    <w:uiPriority w:val="99"/>
    <w:locked/>
    <w:rsid w:val="005F24EB"/>
    <w:rPr>
      <w:rFonts w:ascii="Arial" w:eastAsia="Times New Roman" w:hAnsi="Arial" w:cs="Times New Roman"/>
      <w:sz w:val="20"/>
      <w:szCs w:val="20"/>
      <w:lang w:val="bg-BG" w:eastAsia="x-none"/>
    </w:rPr>
  </w:style>
  <w:style w:type="character" w:styleId="FootnoteReference">
    <w:name w:val="footnote reference"/>
    <w:aliases w:val="ftref,Footnote Reference Number,Footnote Reference_LVL6,Footnote Reference_LVL61,Footnote Reference_LVL62,Footnote Reference_LVL63,Footnote Reference_LVL64,Знак сноски-FN,16 Point,Superscript 6 Point,fr,ftref Char1 Char"/>
    <w:link w:val="BVIfnrChar"/>
    <w:uiPriority w:val="99"/>
    <w:qFormat/>
    <w:locked/>
    <w:rsid w:val="005F24EB"/>
    <w:rPr>
      <w:vertAlign w:val="superscript"/>
    </w:rPr>
  </w:style>
  <w:style w:type="character" w:styleId="Hyperlink">
    <w:name w:val="Hyperlink"/>
    <w:uiPriority w:val="99"/>
    <w:rsid w:val="005F24EB"/>
    <w:rPr>
      <w:color w:val="0000FF"/>
      <w:u w:val="single"/>
    </w:rPr>
  </w:style>
  <w:style w:type="paragraph" w:customStyle="1" w:styleId="BVIfnrChar">
    <w:name w:val="BVI fnr Char"/>
    <w:aliases w:val="BVI fnr Car Car Char,BVI fnr Car Char,BVI fnr Car Car Car Car Char1,BVI fnr Car Car Car Car Char Car Char Char,Footnote Refernece Char,callout Char,ftref Char,Footnotes refss Char,Fussnota Char,Footnote symbol Char,Times 10 Point Char"/>
    <w:basedOn w:val="Normal"/>
    <w:link w:val="FootnoteReference"/>
    <w:uiPriority w:val="99"/>
    <w:rsid w:val="005F24EB"/>
    <w:pPr>
      <w:spacing w:after="160" w:line="240" w:lineRule="exact"/>
    </w:pPr>
    <w:rPr>
      <w:rFonts w:ascii="Arial Unicode MS" w:eastAsia="Arial Unicode MS" w:hAnsi="Arial Unicode MS"/>
      <w:szCs w:val="20"/>
      <w:vertAlign w:val="superscript"/>
      <w:lang w:val="x-none" w:eastAsia="x-none"/>
    </w:rPr>
  </w:style>
  <w:style w:type="paragraph" w:styleId="Revision">
    <w:name w:val="Revision"/>
    <w:hidden/>
    <w:semiHidden/>
    <w:rsid w:val="005F24EB"/>
    <w:rPr>
      <w:rFonts w:ascii="Arial" w:eastAsia="Times New Roman" w:hAnsi="Arial" w:cs="Times New Roman"/>
      <w:szCs w:val="22"/>
      <w:lang w:val="bg-BG"/>
    </w:rPr>
  </w:style>
  <w:style w:type="table" w:styleId="TableGrid">
    <w:name w:val="Table Grid"/>
    <w:basedOn w:val="TableNormal"/>
    <w:rsid w:val="00B6094F"/>
    <w:rPr>
      <w:rFonts w:eastAsia="Times New Roman"/>
      <w:lang w:val="bg-BG" w:eastAsia="bg-B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aliases w:val="Heading 2 WB Char"/>
    <w:link w:val="Heading2"/>
    <w:locked/>
    <w:rsid w:val="006A2E9E"/>
    <w:rPr>
      <w:rFonts w:ascii="Calibri" w:hAnsi="Calibri" w:cs="Times New Roman"/>
      <w:b/>
      <w:color w:val="365F91"/>
      <w:sz w:val="28"/>
      <w:szCs w:val="26"/>
      <w:lang w:val="x-none" w:eastAsia="x-none"/>
    </w:rPr>
  </w:style>
  <w:style w:type="paragraph" w:customStyle="1" w:styleId="western">
    <w:name w:val="western"/>
    <w:basedOn w:val="Normal"/>
    <w:rsid w:val="00AF3CA0"/>
    <w:pPr>
      <w:spacing w:before="100" w:beforeAutospacing="1" w:after="100" w:afterAutospacing="1"/>
    </w:pPr>
    <w:rPr>
      <w:rFonts w:ascii="Times New Roman" w:eastAsia="Arial Unicode MS" w:hAnsi="Times New Roman"/>
      <w:sz w:val="24"/>
      <w:szCs w:val="24"/>
      <w:lang w:eastAsia="bg-BG"/>
    </w:rPr>
  </w:style>
  <w:style w:type="character" w:styleId="Strong">
    <w:name w:val="Strong"/>
    <w:qFormat/>
    <w:rsid w:val="00AF3CA0"/>
    <w:rPr>
      <w:b/>
    </w:rPr>
  </w:style>
  <w:style w:type="paragraph" w:styleId="NormalWeb">
    <w:name w:val="Normal (Web)"/>
    <w:basedOn w:val="Normal"/>
    <w:rsid w:val="00AF3CA0"/>
    <w:pPr>
      <w:spacing w:before="100" w:beforeAutospacing="1" w:after="100" w:afterAutospacing="1"/>
    </w:pPr>
    <w:rPr>
      <w:rFonts w:ascii="Times New Roman" w:eastAsia="Arial Unicode MS" w:hAnsi="Times New Roman"/>
      <w:sz w:val="24"/>
      <w:szCs w:val="24"/>
      <w:lang w:eastAsia="bg-BG"/>
    </w:rPr>
  </w:style>
  <w:style w:type="character" w:customStyle="1" w:styleId="Heading3Char">
    <w:name w:val="Heading 3 Char"/>
    <w:link w:val="Heading3"/>
    <w:locked/>
    <w:rsid w:val="00896942"/>
    <w:rPr>
      <w:rFonts w:ascii="Calibri" w:eastAsia="MS Gothic" w:hAnsi="Calibri" w:cs="Times New Roman"/>
      <w:b/>
      <w:bCs/>
      <w:i/>
      <w:color w:val="4F81BD"/>
      <w:sz w:val="26"/>
      <w:szCs w:val="22"/>
      <w:lang w:val="x-none"/>
    </w:rPr>
  </w:style>
  <w:style w:type="paragraph" w:customStyle="1" w:styleId="ListParagraph1">
    <w:name w:val="List Paragraph1"/>
    <w:aliases w:val="List Paragraph (numbered (a)),Normal bullet 2,List_Paragraph,Multilevel para_II,List Paragraph 1,References,Numbered List Paragraph,Numbered Paragraph,Main numbered paragraph,Colorful List - Accent 11,Bullets,Liste 1"/>
    <w:basedOn w:val="Normal"/>
    <w:link w:val="ListParagraphChar"/>
    <w:rsid w:val="0050582F"/>
    <w:pPr>
      <w:spacing w:after="120" w:line="276" w:lineRule="auto"/>
      <w:contextualSpacing/>
    </w:pPr>
    <w:rPr>
      <w:sz w:val="22"/>
      <w:szCs w:val="20"/>
      <w:lang w:val="x-none" w:eastAsia="x-none"/>
    </w:rPr>
  </w:style>
  <w:style w:type="paragraph" w:customStyle="1" w:styleId="Default">
    <w:name w:val="Default"/>
    <w:rsid w:val="005379DF"/>
    <w:pPr>
      <w:autoSpaceDE w:val="0"/>
      <w:autoSpaceDN w:val="0"/>
      <w:adjustRightInd w:val="0"/>
    </w:pPr>
    <w:rPr>
      <w:rFonts w:ascii="Arial" w:eastAsia="Times New Roman" w:hAnsi="Arial" w:cs="Arial"/>
      <w:color w:val="000000"/>
      <w:sz w:val="24"/>
      <w:szCs w:val="24"/>
      <w:lang w:val="bg-BG"/>
    </w:rPr>
  </w:style>
  <w:style w:type="paragraph" w:customStyle="1" w:styleId="soerkeyblue">
    <w:name w:val="soerkeyblue"/>
    <w:basedOn w:val="Normal"/>
    <w:rsid w:val="00A4216C"/>
    <w:pPr>
      <w:spacing w:before="100" w:beforeAutospacing="1" w:after="100" w:afterAutospacing="1"/>
    </w:pPr>
    <w:rPr>
      <w:rFonts w:ascii="Times New Roman" w:eastAsia="Arial Unicode MS" w:hAnsi="Times New Roman"/>
      <w:sz w:val="24"/>
      <w:szCs w:val="24"/>
      <w:lang w:eastAsia="en-CA"/>
    </w:rPr>
  </w:style>
  <w:style w:type="character" w:customStyle="1" w:styleId="Heading1Char">
    <w:name w:val="Heading 1 Char"/>
    <w:aliases w:val="Heading 1 WB Char"/>
    <w:link w:val="Heading1"/>
    <w:locked/>
    <w:rsid w:val="006A2E9E"/>
    <w:rPr>
      <w:rFonts w:ascii="Calibri" w:eastAsia="MS Gothic" w:hAnsi="Calibri" w:cs="Times New Roman"/>
      <w:b/>
      <w:bCs/>
      <w:color w:val="365F91"/>
      <w:sz w:val="28"/>
      <w:szCs w:val="28"/>
    </w:rPr>
  </w:style>
  <w:style w:type="paragraph" w:styleId="Title">
    <w:name w:val="Title"/>
    <w:basedOn w:val="Normal"/>
    <w:next w:val="Normal"/>
    <w:link w:val="TitleChar"/>
    <w:qFormat/>
    <w:rsid w:val="005D1878"/>
    <w:pPr>
      <w:spacing w:after="480"/>
    </w:pPr>
    <w:rPr>
      <w:rFonts w:eastAsia="Arial Unicode MS"/>
      <w:spacing w:val="-10"/>
      <w:kern w:val="28"/>
      <w:sz w:val="56"/>
      <w:szCs w:val="56"/>
      <w:lang w:eastAsia="x-none"/>
    </w:rPr>
  </w:style>
  <w:style w:type="character" w:customStyle="1" w:styleId="TitleChar">
    <w:name w:val="Title Char"/>
    <w:link w:val="Title"/>
    <w:locked/>
    <w:rsid w:val="005D1878"/>
    <w:rPr>
      <w:rFonts w:ascii="Arial" w:hAnsi="Arial" w:cs="Times New Roman"/>
      <w:spacing w:val="-10"/>
      <w:kern w:val="28"/>
      <w:sz w:val="56"/>
      <w:szCs w:val="56"/>
      <w:lang w:val="bg-BG" w:eastAsia="x-none"/>
    </w:rPr>
  </w:style>
  <w:style w:type="paragraph" w:styleId="Footer">
    <w:name w:val="footer"/>
    <w:basedOn w:val="Normal"/>
    <w:link w:val="FooterChar"/>
    <w:rsid w:val="005D1878"/>
    <w:pPr>
      <w:tabs>
        <w:tab w:val="center" w:pos="4536"/>
        <w:tab w:val="right" w:pos="9072"/>
      </w:tabs>
      <w:spacing w:after="0"/>
    </w:pPr>
    <w:rPr>
      <w:sz w:val="22"/>
      <w:lang w:eastAsia="x-none"/>
    </w:rPr>
  </w:style>
  <w:style w:type="character" w:customStyle="1" w:styleId="FooterChar">
    <w:name w:val="Footer Char"/>
    <w:link w:val="Footer"/>
    <w:locked/>
    <w:rsid w:val="005D1878"/>
    <w:rPr>
      <w:rFonts w:ascii="Arial" w:eastAsia="Times New Roman" w:hAnsi="Arial" w:cs="Times New Roman"/>
      <w:sz w:val="22"/>
      <w:szCs w:val="22"/>
      <w:lang w:val="bg-BG" w:eastAsia="x-none"/>
    </w:rPr>
  </w:style>
  <w:style w:type="paragraph" w:styleId="TOC1">
    <w:name w:val="toc 1"/>
    <w:basedOn w:val="Normal"/>
    <w:next w:val="Normal"/>
    <w:uiPriority w:val="39"/>
    <w:qFormat/>
    <w:rsid w:val="00A147B2"/>
    <w:pPr>
      <w:tabs>
        <w:tab w:val="left" w:pos="440"/>
        <w:tab w:val="right" w:leader="dot" w:pos="9062"/>
      </w:tabs>
      <w:spacing w:after="100" w:line="276" w:lineRule="auto"/>
      <w:jc w:val="both"/>
    </w:pPr>
    <w:rPr>
      <w:rFonts w:ascii="Times New Roman" w:hAnsi="Times New Roman" w:cs="Arial"/>
      <w:noProof/>
      <w:sz w:val="22"/>
      <w:szCs w:val="20"/>
    </w:rPr>
  </w:style>
  <w:style w:type="paragraph" w:styleId="TOC2">
    <w:name w:val="toc 2"/>
    <w:basedOn w:val="Normal"/>
    <w:next w:val="Normal"/>
    <w:uiPriority w:val="39"/>
    <w:qFormat/>
    <w:rsid w:val="00A147B2"/>
    <w:pPr>
      <w:tabs>
        <w:tab w:val="left" w:pos="880"/>
        <w:tab w:val="right" w:leader="dot" w:pos="9062"/>
      </w:tabs>
      <w:spacing w:after="100" w:line="276" w:lineRule="auto"/>
      <w:ind w:left="202"/>
      <w:jc w:val="both"/>
    </w:pPr>
    <w:rPr>
      <w:rFonts w:ascii="Times New Roman" w:hAnsi="Times New Roman"/>
      <w:sz w:val="22"/>
    </w:rPr>
  </w:style>
  <w:style w:type="paragraph" w:customStyle="1" w:styleId="Footnote">
    <w:name w:val="Footnote"/>
    <w:basedOn w:val="FootnoteText"/>
    <w:link w:val="FootnoteChar"/>
    <w:rsid w:val="00EF0069"/>
    <w:pPr>
      <w:spacing w:after="120"/>
      <w:ind w:left="284" w:hanging="284"/>
    </w:pPr>
  </w:style>
  <w:style w:type="character" w:customStyle="1" w:styleId="FootnoteChar">
    <w:name w:val="Footnote Char"/>
    <w:aliases w:val="Footnote Text Char2,Footnote Text Char Char Char Char Char Char Char,fn Char,single space Char,FOOTNOTES Char,Footnote Text Char Char Char,ft Char,Texto nota pie Car Char,Footnote Text Char1 Char,Fußnotentext Char Char,ALTS FOOTNOTE Char"/>
    <w:link w:val="Footnote"/>
    <w:locked/>
    <w:rsid w:val="00EF0069"/>
    <w:rPr>
      <w:rFonts w:ascii="Arial" w:eastAsia="Times New Roman" w:hAnsi="Arial" w:cs="Arial"/>
      <w:sz w:val="20"/>
      <w:szCs w:val="20"/>
      <w:lang w:val="bg-BG" w:eastAsia="x-none"/>
    </w:rPr>
  </w:style>
  <w:style w:type="paragraph" w:styleId="NoSpacing">
    <w:name w:val="No Spacing"/>
    <w:link w:val="NoSpacingChar"/>
    <w:qFormat/>
    <w:rsid w:val="002C6783"/>
    <w:rPr>
      <w:rFonts w:ascii="Calibri" w:eastAsia="MS Mincho" w:hAnsi="Calibri" w:cs="Arial"/>
      <w:sz w:val="22"/>
      <w:szCs w:val="22"/>
      <w:lang w:val="bg-BG"/>
    </w:rPr>
  </w:style>
  <w:style w:type="character" w:customStyle="1" w:styleId="NoSpacingChar">
    <w:name w:val="No Spacing Char"/>
    <w:link w:val="NoSpacing"/>
    <w:locked/>
    <w:rsid w:val="002C6783"/>
    <w:rPr>
      <w:rFonts w:ascii="Calibri" w:eastAsia="MS Mincho" w:hAnsi="Calibri" w:cs="Arial"/>
      <w:sz w:val="22"/>
      <w:szCs w:val="22"/>
      <w:lang w:val="bg-BG" w:eastAsia="en-US" w:bidi="ar-SA"/>
    </w:rPr>
  </w:style>
  <w:style w:type="paragraph" w:styleId="Header">
    <w:name w:val="header"/>
    <w:basedOn w:val="Normal"/>
    <w:link w:val="HeaderChar"/>
    <w:rsid w:val="002C6783"/>
    <w:pPr>
      <w:tabs>
        <w:tab w:val="center" w:pos="4680"/>
        <w:tab w:val="right" w:pos="9360"/>
      </w:tabs>
      <w:spacing w:after="0"/>
    </w:pPr>
    <w:rPr>
      <w:sz w:val="22"/>
      <w:lang w:val="x-none" w:eastAsia="x-none"/>
    </w:rPr>
  </w:style>
  <w:style w:type="character" w:customStyle="1" w:styleId="HeaderChar">
    <w:name w:val="Header Char"/>
    <w:link w:val="Header"/>
    <w:locked/>
    <w:rsid w:val="002C6783"/>
    <w:rPr>
      <w:rFonts w:ascii="Arial" w:eastAsia="Times New Roman" w:hAnsi="Arial" w:cs="Times New Roman"/>
      <w:sz w:val="22"/>
      <w:szCs w:val="22"/>
    </w:rPr>
  </w:style>
  <w:style w:type="table" w:customStyle="1" w:styleId="ListTable3-Accent11">
    <w:name w:val="List Table 3 - Accent 11"/>
    <w:rsid w:val="00406909"/>
    <w:pPr>
      <w:spacing w:before="120"/>
      <w:jc w:val="both"/>
    </w:pPr>
    <w:rPr>
      <w:rFonts w:ascii="Times New Roman" w:eastAsia="Times New Roman" w:hAnsi="Times New Roman" w:cs="Times New Roman"/>
      <w:sz w:val="23"/>
      <w:szCs w:val="23"/>
      <w:lang w:val="bg-BG" w:eastAsia="bg-BG"/>
    </w:rPr>
    <w:tblPr>
      <w:tblStyleRowBandSize w:val="1"/>
      <w:tblStyleColBandSize w:val="1"/>
      <w:tblInd w:w="0" w:type="dxa"/>
      <w:tblBorders>
        <w:top w:val="single" w:sz="4" w:space="0" w:color="5B9BD5"/>
        <w:left w:val="single" w:sz="4" w:space="0" w:color="5B9BD5"/>
        <w:bottom w:val="single" w:sz="4" w:space="0" w:color="5B9BD5"/>
        <w:right w:val="single" w:sz="4" w:space="0" w:color="5B9BD5"/>
      </w:tblBorders>
      <w:tblCellMar>
        <w:top w:w="0" w:type="dxa"/>
        <w:left w:w="108" w:type="dxa"/>
        <w:bottom w:w="0" w:type="dxa"/>
        <w:right w:w="108" w:type="dxa"/>
      </w:tblCellMar>
    </w:tblPr>
  </w:style>
  <w:style w:type="table" w:customStyle="1" w:styleId="ListTable3-Accent12">
    <w:name w:val="List Table 3 - Accent 12"/>
    <w:rsid w:val="00406909"/>
    <w:rPr>
      <w:rFonts w:eastAsia="Times New Roman"/>
      <w:lang w:val="bg-BG" w:eastAsia="bg-BG"/>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108" w:type="dxa"/>
        <w:bottom w:w="0" w:type="dxa"/>
        <w:right w:w="108" w:type="dxa"/>
      </w:tblCellMar>
    </w:tblPr>
  </w:style>
  <w:style w:type="paragraph" w:styleId="TOCHeading">
    <w:name w:val="TOC Heading"/>
    <w:basedOn w:val="Heading1"/>
    <w:next w:val="Normal"/>
    <w:qFormat/>
    <w:rsid w:val="00020CB3"/>
    <w:pPr>
      <w:spacing w:before="240" w:line="259" w:lineRule="auto"/>
      <w:outlineLvl w:val="9"/>
    </w:pPr>
    <w:rPr>
      <w:b w:val="0"/>
      <w:bCs w:val="0"/>
      <w:szCs w:val="32"/>
    </w:rPr>
  </w:style>
  <w:style w:type="character" w:customStyle="1" w:styleId="Heading4Char">
    <w:name w:val="Heading 4 Char"/>
    <w:aliases w:val="Heading 4 WB Char"/>
    <w:link w:val="Heading4"/>
    <w:uiPriority w:val="9"/>
    <w:locked/>
    <w:rsid w:val="00491557"/>
    <w:rPr>
      <w:rFonts w:ascii="Calibri" w:eastAsia="Times New Roman" w:hAnsi="Calibri" w:cs="Times New Roman"/>
      <w:bCs/>
      <w:i/>
      <w:iCs/>
      <w:color w:val="2F5496"/>
      <w:sz w:val="24"/>
      <w:szCs w:val="24"/>
    </w:rPr>
  </w:style>
  <w:style w:type="paragraph" w:styleId="TOC3">
    <w:name w:val="toc 3"/>
    <w:basedOn w:val="Normal"/>
    <w:next w:val="Normal"/>
    <w:uiPriority w:val="39"/>
    <w:qFormat/>
    <w:rsid w:val="00A147B2"/>
    <w:pPr>
      <w:tabs>
        <w:tab w:val="left" w:pos="1320"/>
        <w:tab w:val="right" w:leader="dot" w:pos="9062"/>
      </w:tabs>
      <w:spacing w:after="100" w:line="276" w:lineRule="auto"/>
      <w:ind w:left="403"/>
      <w:jc w:val="both"/>
    </w:pPr>
    <w:rPr>
      <w:rFonts w:ascii="Times New Roman" w:hAnsi="Times New Roman"/>
      <w:sz w:val="22"/>
    </w:rPr>
  </w:style>
  <w:style w:type="character" w:customStyle="1" w:styleId="Heading5Char">
    <w:name w:val="Heading 5 Char"/>
    <w:link w:val="Heading5"/>
    <w:locked/>
    <w:rsid w:val="00896942"/>
    <w:rPr>
      <w:rFonts w:ascii="Cambria" w:eastAsia="MS Gothic" w:hAnsi="Cambria" w:cs="Times New Roman"/>
      <w:color w:val="365F91"/>
      <w:sz w:val="22"/>
      <w:szCs w:val="22"/>
    </w:rPr>
  </w:style>
  <w:style w:type="paragraph" w:customStyle="1" w:styleId="Source">
    <w:name w:val="Source"/>
    <w:basedOn w:val="Normal"/>
    <w:rsid w:val="00595501"/>
    <w:pPr>
      <w:spacing w:before="60" w:after="200"/>
    </w:pPr>
    <w:rPr>
      <w:rFonts w:ascii="Calibri" w:hAnsi="Calibri" w:cs="Calibri"/>
      <w:i/>
      <w:szCs w:val="20"/>
    </w:rPr>
  </w:style>
  <w:style w:type="paragraph" w:customStyle="1" w:styleId="TableHeading">
    <w:name w:val="Table Heading"/>
    <w:basedOn w:val="Normal"/>
    <w:rsid w:val="00595501"/>
    <w:pPr>
      <w:spacing w:before="120" w:after="60"/>
      <w:jc w:val="center"/>
    </w:pPr>
    <w:rPr>
      <w:rFonts w:ascii="Calibri" w:hAnsi="Calibri" w:cs="Arial"/>
      <w:b/>
      <w:sz w:val="22"/>
    </w:rPr>
  </w:style>
  <w:style w:type="paragraph" w:styleId="BodyText">
    <w:name w:val="Body Text"/>
    <w:basedOn w:val="Normal"/>
    <w:link w:val="BodyTextChar"/>
    <w:rsid w:val="009136D2"/>
    <w:pPr>
      <w:widowControl w:val="0"/>
      <w:numPr>
        <w:numId w:val="8"/>
      </w:numPr>
      <w:autoSpaceDE w:val="0"/>
      <w:autoSpaceDN w:val="0"/>
      <w:adjustRightInd w:val="0"/>
      <w:spacing w:after="120" w:line="276" w:lineRule="auto"/>
      <w:jc w:val="both"/>
    </w:pPr>
    <w:rPr>
      <w:rFonts w:ascii="Times New Roman" w:eastAsia="MS Mincho" w:hAnsi="Times New Roman"/>
      <w:sz w:val="24"/>
      <w:szCs w:val="24"/>
      <w:lang w:val="x-none" w:eastAsia="x-none"/>
    </w:rPr>
  </w:style>
  <w:style w:type="character" w:customStyle="1" w:styleId="BodyTextChar">
    <w:name w:val="Body Text Char"/>
    <w:link w:val="BodyText"/>
    <w:locked/>
    <w:rsid w:val="009136D2"/>
    <w:rPr>
      <w:rFonts w:ascii="Times New Roman" w:eastAsia="MS Mincho" w:hAnsi="Times New Roman" w:cs="Times New Roman"/>
      <w:sz w:val="24"/>
      <w:szCs w:val="24"/>
      <w:lang w:val="x-none" w:eastAsia="x-none"/>
    </w:rPr>
  </w:style>
  <w:style w:type="character" w:styleId="FollowedHyperlink">
    <w:name w:val="FollowedHyperlink"/>
    <w:semiHidden/>
    <w:rsid w:val="00AD438E"/>
    <w:rPr>
      <w:rFonts w:cs="Times New Roman"/>
      <w:color w:val="954F72"/>
      <w:u w:val="single"/>
    </w:rPr>
  </w:style>
  <w:style w:type="paragraph" w:customStyle="1" w:styleId="xl65">
    <w:name w:val="xl65"/>
    <w:basedOn w:val="Normal"/>
    <w:rsid w:val="00AD438E"/>
    <w:pPr>
      <w:spacing w:before="100" w:beforeAutospacing="1" w:after="100" w:afterAutospacing="1"/>
      <w:jc w:val="center"/>
      <w:textAlignment w:val="center"/>
    </w:pPr>
    <w:rPr>
      <w:rFonts w:ascii="Times New Roman" w:eastAsia="Arial Unicode MS" w:hAnsi="Times New Roman"/>
      <w:sz w:val="24"/>
      <w:szCs w:val="24"/>
      <w:lang w:eastAsia="bg-BG"/>
    </w:rPr>
  </w:style>
  <w:style w:type="paragraph" w:customStyle="1" w:styleId="xl66">
    <w:name w:val="xl66"/>
    <w:basedOn w:val="Normal"/>
    <w:rsid w:val="00AD438E"/>
    <w:pPr>
      <w:spacing w:before="100" w:beforeAutospacing="1" w:after="100" w:afterAutospacing="1"/>
      <w:jc w:val="center"/>
    </w:pPr>
    <w:rPr>
      <w:rFonts w:ascii="Times New Roman" w:eastAsia="Arial Unicode MS" w:hAnsi="Times New Roman"/>
      <w:sz w:val="24"/>
      <w:szCs w:val="24"/>
      <w:lang w:eastAsia="bg-BG"/>
    </w:rPr>
  </w:style>
  <w:style w:type="paragraph" w:customStyle="1" w:styleId="xl67">
    <w:name w:val="xl67"/>
    <w:basedOn w:val="Normal"/>
    <w:rsid w:val="00AD438E"/>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Arial Unicode MS" w:hAnsi="Times New Roman"/>
      <w:sz w:val="24"/>
      <w:szCs w:val="24"/>
      <w:lang w:eastAsia="bg-BG"/>
    </w:rPr>
  </w:style>
  <w:style w:type="paragraph" w:customStyle="1" w:styleId="xl68">
    <w:name w:val="xl68"/>
    <w:basedOn w:val="Normal"/>
    <w:rsid w:val="00AD438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Arial Unicode MS" w:hAnsi="Times New Roman"/>
      <w:sz w:val="24"/>
      <w:szCs w:val="24"/>
      <w:lang w:eastAsia="bg-BG"/>
    </w:rPr>
  </w:style>
  <w:style w:type="paragraph" w:customStyle="1" w:styleId="xl69">
    <w:name w:val="xl69"/>
    <w:basedOn w:val="Normal"/>
    <w:rsid w:val="00AD438E"/>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Arial Unicode MS" w:hAnsi="Times New Roman"/>
      <w:sz w:val="24"/>
      <w:szCs w:val="24"/>
      <w:lang w:eastAsia="bg-BG"/>
    </w:rPr>
  </w:style>
  <w:style w:type="paragraph" w:customStyle="1" w:styleId="xl70">
    <w:name w:val="xl70"/>
    <w:basedOn w:val="Normal"/>
    <w:rsid w:val="00AD438E"/>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Arial Unicode MS" w:hAnsi="Times New Roman"/>
      <w:sz w:val="24"/>
      <w:szCs w:val="24"/>
      <w:lang w:eastAsia="bg-BG"/>
    </w:rPr>
  </w:style>
  <w:style w:type="paragraph" w:customStyle="1" w:styleId="xl71">
    <w:name w:val="xl71"/>
    <w:basedOn w:val="Normal"/>
    <w:rsid w:val="00AD438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Times New Roman" w:eastAsia="Arial Unicode MS" w:hAnsi="Times New Roman"/>
      <w:sz w:val="24"/>
      <w:szCs w:val="24"/>
      <w:lang w:eastAsia="bg-BG"/>
    </w:rPr>
  </w:style>
  <w:style w:type="paragraph" w:customStyle="1" w:styleId="xl72">
    <w:name w:val="xl72"/>
    <w:basedOn w:val="Normal"/>
    <w:rsid w:val="00AD438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Times New Roman" w:eastAsia="Arial Unicode MS" w:hAnsi="Times New Roman"/>
      <w:sz w:val="24"/>
      <w:szCs w:val="24"/>
      <w:lang w:eastAsia="bg-BG"/>
    </w:rPr>
  </w:style>
  <w:style w:type="paragraph" w:customStyle="1" w:styleId="xl73">
    <w:name w:val="xl73"/>
    <w:basedOn w:val="Normal"/>
    <w:rsid w:val="00AD438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Times New Roman" w:eastAsia="Arial Unicode MS" w:hAnsi="Times New Roman"/>
      <w:sz w:val="24"/>
      <w:szCs w:val="24"/>
      <w:lang w:eastAsia="bg-BG"/>
    </w:rPr>
  </w:style>
  <w:style w:type="table" w:customStyle="1" w:styleId="TableGrid1">
    <w:name w:val="Table Grid1"/>
    <w:rsid w:val="00AD438E"/>
    <w:rPr>
      <w:rFonts w:ascii="Calibri" w:eastAsia="Times New Roman" w:hAnsi="Calibri" w:cs="Times New Roman"/>
      <w:sz w:val="22"/>
      <w:szCs w:val="22"/>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4CharChar">
    <w:name w:val="Char Char4 Знак Знак Char Char Знак Знак"/>
    <w:basedOn w:val="Normal"/>
    <w:rsid w:val="00AD438E"/>
    <w:pPr>
      <w:tabs>
        <w:tab w:val="left" w:pos="709"/>
      </w:tabs>
      <w:spacing w:before="120" w:after="0"/>
      <w:ind w:firstLine="709"/>
      <w:jc w:val="both"/>
    </w:pPr>
    <w:rPr>
      <w:rFonts w:ascii="Tahoma" w:eastAsia="Arial Unicode MS" w:hAnsi="Tahoma"/>
      <w:sz w:val="24"/>
      <w:szCs w:val="24"/>
      <w:lang w:eastAsia="pl-PL"/>
    </w:rPr>
  </w:style>
  <w:style w:type="paragraph" w:styleId="Caption">
    <w:name w:val="caption"/>
    <w:aliases w:val="Legende,Car16,Car Car Car Car,Car Car Car Car Car Car Car,Car Car Car Car Car,Car Car Car Car Car Car Car Car Car Car Car Car,Car3,Car,légende,Car5,Caption Char2,Caption Char Char1,Caption Char1 Char Char,Caption Char Char Char Char,òàáëèöà Cha"/>
    <w:basedOn w:val="Normal"/>
    <w:next w:val="Normal"/>
    <w:link w:val="CaptionChar"/>
    <w:uiPriority w:val="35"/>
    <w:qFormat/>
    <w:rsid w:val="00AD438E"/>
    <w:pPr>
      <w:spacing w:before="120" w:after="120"/>
    </w:pPr>
    <w:rPr>
      <w:rFonts w:ascii="Times New Roman" w:eastAsia="Arial Unicode MS" w:hAnsi="Times New Roman"/>
      <w:b/>
      <w:szCs w:val="20"/>
      <w:lang w:eastAsia="bg-BG"/>
    </w:rPr>
  </w:style>
  <w:style w:type="character" w:customStyle="1" w:styleId="shorttext">
    <w:name w:val="short_text"/>
    <w:rsid w:val="00AD438E"/>
    <w:rPr>
      <w:rFonts w:cs="Times New Roman"/>
    </w:rPr>
  </w:style>
  <w:style w:type="character" w:customStyle="1" w:styleId="apple-converted-space">
    <w:name w:val="apple-converted-space"/>
    <w:rsid w:val="00AD438E"/>
  </w:style>
  <w:style w:type="character" w:customStyle="1" w:styleId="ListParagraphChar">
    <w:name w:val="List Paragraph Char"/>
    <w:aliases w:val="List Paragraph (numbered (a)) Char,List Paragraph1 Char,Normal bullet 2 Char,List_Paragraph Char,Multilevel para_II Char,List Paragraph 1 Char,References Char,Numbered List Paragraph Char,Numbered Paragraph Char,Bullets Char"/>
    <w:link w:val="ListParagraph1"/>
    <w:locked/>
    <w:rsid w:val="0050582F"/>
    <w:rPr>
      <w:rFonts w:ascii="Arial" w:eastAsia="Times New Roman" w:hAnsi="Arial"/>
      <w:sz w:val="22"/>
    </w:rPr>
  </w:style>
  <w:style w:type="character" w:customStyle="1" w:styleId="Mention1">
    <w:name w:val="Mention1"/>
    <w:semiHidden/>
    <w:rsid w:val="00AD438E"/>
    <w:rPr>
      <w:color w:val="2B579A"/>
      <w:shd w:val="clear" w:color="auto" w:fill="E6E6E6"/>
    </w:rPr>
  </w:style>
  <w:style w:type="character" w:customStyle="1" w:styleId="Heading6Char">
    <w:name w:val="Heading 6 Char"/>
    <w:link w:val="Heading6"/>
    <w:locked/>
    <w:rsid w:val="006442E5"/>
    <w:rPr>
      <w:rFonts w:ascii="Calibri Light" w:hAnsi="Calibri Light" w:cs="Times New Roman"/>
      <w:color w:val="1F4D78"/>
      <w:sz w:val="22"/>
      <w:szCs w:val="22"/>
      <w:lang w:val="bg-BG" w:eastAsia="x-none"/>
    </w:rPr>
  </w:style>
  <w:style w:type="character" w:customStyle="1" w:styleId="Heading7Char">
    <w:name w:val="Heading 7 Char"/>
    <w:link w:val="Heading7"/>
    <w:locked/>
    <w:rsid w:val="006442E5"/>
    <w:rPr>
      <w:rFonts w:ascii="Calibri Light" w:hAnsi="Calibri Light" w:cs="Times New Roman"/>
      <w:i/>
      <w:iCs/>
      <w:color w:val="1F4D78"/>
      <w:sz w:val="22"/>
      <w:szCs w:val="22"/>
      <w:lang w:val="bg-BG" w:eastAsia="x-none"/>
    </w:rPr>
  </w:style>
  <w:style w:type="character" w:customStyle="1" w:styleId="Heading8Char">
    <w:name w:val="Heading 8 Char"/>
    <w:link w:val="Heading8"/>
    <w:locked/>
    <w:rsid w:val="006442E5"/>
    <w:rPr>
      <w:rFonts w:ascii="Calibri Light" w:hAnsi="Calibri Light" w:cs="Times New Roman"/>
      <w:color w:val="272727"/>
      <w:sz w:val="21"/>
      <w:szCs w:val="21"/>
      <w:lang w:val="bg-BG" w:eastAsia="x-none"/>
    </w:rPr>
  </w:style>
  <w:style w:type="character" w:customStyle="1" w:styleId="Heading9Char">
    <w:name w:val="Heading 9 Char"/>
    <w:link w:val="Heading9"/>
    <w:locked/>
    <w:rsid w:val="006442E5"/>
    <w:rPr>
      <w:rFonts w:ascii="Calibri Light" w:hAnsi="Calibri Light" w:cs="Times New Roman"/>
      <w:i/>
      <w:iCs/>
      <w:color w:val="272727"/>
      <w:sz w:val="21"/>
      <w:szCs w:val="21"/>
      <w:lang w:val="bg-BG" w:eastAsia="x-none"/>
    </w:rPr>
  </w:style>
  <w:style w:type="paragraph" w:styleId="NormalIndent">
    <w:name w:val="Normal Indent"/>
    <w:basedOn w:val="Normal"/>
    <w:link w:val="NormalIndentChar"/>
    <w:rsid w:val="006442E5"/>
    <w:pPr>
      <w:widowControl w:val="0"/>
      <w:autoSpaceDE w:val="0"/>
      <w:autoSpaceDN w:val="0"/>
      <w:spacing w:after="0"/>
      <w:ind w:firstLine="680"/>
      <w:jc w:val="both"/>
    </w:pPr>
    <w:rPr>
      <w:rFonts w:ascii="Times New Roman" w:eastAsia="Arial Unicode MS" w:hAnsi="Times New Roman"/>
      <w:szCs w:val="20"/>
      <w:lang w:eastAsia="bg-BG"/>
    </w:rPr>
  </w:style>
  <w:style w:type="character" w:customStyle="1" w:styleId="NormalIndentChar">
    <w:name w:val="Normal Indent Char"/>
    <w:link w:val="NormalIndent"/>
    <w:locked/>
    <w:rsid w:val="006442E5"/>
    <w:rPr>
      <w:rFonts w:ascii="Times New Roman" w:hAnsi="Times New Roman" w:cs="Times New Roman"/>
      <w:lang w:val="bg-BG" w:eastAsia="bg-BG"/>
    </w:rPr>
  </w:style>
  <w:style w:type="paragraph" w:customStyle="1" w:styleId="volissue">
    <w:name w:val="volissue"/>
    <w:basedOn w:val="Normal"/>
    <w:rsid w:val="006442E5"/>
    <w:pPr>
      <w:spacing w:before="100" w:beforeAutospacing="1" w:after="100" w:afterAutospacing="1"/>
      <w:jc w:val="both"/>
    </w:pPr>
    <w:rPr>
      <w:rFonts w:ascii="Times New Roman" w:eastAsia="Arial Unicode MS" w:hAnsi="Times New Roman"/>
      <w:sz w:val="24"/>
      <w:szCs w:val="24"/>
      <w:lang w:eastAsia="bg-BG"/>
    </w:rPr>
  </w:style>
  <w:style w:type="paragraph" w:customStyle="1" w:styleId="TableParagraph">
    <w:name w:val="Table Paragraph"/>
    <w:basedOn w:val="Normal"/>
    <w:rsid w:val="006442E5"/>
    <w:pPr>
      <w:widowControl w:val="0"/>
      <w:autoSpaceDE w:val="0"/>
      <w:autoSpaceDN w:val="0"/>
      <w:adjustRightInd w:val="0"/>
      <w:spacing w:after="0"/>
      <w:jc w:val="both"/>
    </w:pPr>
    <w:rPr>
      <w:rFonts w:ascii="Times New Roman" w:eastAsia="Arial Unicode MS" w:hAnsi="Times New Roman"/>
      <w:sz w:val="24"/>
      <w:szCs w:val="24"/>
      <w:lang w:eastAsia="bg-BG"/>
    </w:rPr>
  </w:style>
  <w:style w:type="table" w:customStyle="1" w:styleId="LightShading1">
    <w:name w:val="Light Shading1"/>
    <w:rsid w:val="006442E5"/>
    <w:rPr>
      <w:rFonts w:ascii="Calibri" w:eastAsia="Times New Roman" w:hAnsi="Calibri" w:cs="Times New Roman"/>
      <w:color w:val="000000"/>
      <w:sz w:val="22"/>
      <w:szCs w:val="22"/>
      <w:lang w:val="bg-BG" w:eastAsia="bg-BG"/>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TableGrid2">
    <w:name w:val="Table Grid2"/>
    <w:rsid w:val="006442E5"/>
    <w:rPr>
      <w:rFonts w:ascii="Calibri" w:eastAsia="Times New Roman" w:hAnsi="Calibri" w:cs="Times New Roman"/>
      <w:sz w:val="22"/>
      <w:szCs w:val="22"/>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TMLCite">
    <w:name w:val="HTML Cite"/>
    <w:semiHidden/>
    <w:rsid w:val="006442E5"/>
    <w:rPr>
      <w:rFonts w:cs="Times New Roman"/>
      <w:i/>
      <w:iCs/>
    </w:rPr>
  </w:style>
  <w:style w:type="paragraph" w:styleId="DocumentMap">
    <w:name w:val="Document Map"/>
    <w:basedOn w:val="Normal"/>
    <w:link w:val="DocumentMapChar"/>
    <w:semiHidden/>
    <w:rsid w:val="006442E5"/>
    <w:pPr>
      <w:spacing w:after="0"/>
      <w:jc w:val="both"/>
    </w:pPr>
    <w:rPr>
      <w:rFonts w:ascii="Lucida Grande" w:hAnsi="Lucida Grande"/>
      <w:szCs w:val="20"/>
      <w:lang w:eastAsia="x-none"/>
    </w:rPr>
  </w:style>
  <w:style w:type="character" w:customStyle="1" w:styleId="DocumentMapChar">
    <w:name w:val="Document Map Char"/>
    <w:link w:val="DocumentMap"/>
    <w:semiHidden/>
    <w:locked/>
    <w:rsid w:val="006442E5"/>
    <w:rPr>
      <w:rFonts w:ascii="Lucida Grande" w:eastAsia="Times New Roman" w:hAnsi="Lucida Grande" w:cs="Lucida Grande"/>
      <w:lang w:val="bg-BG" w:eastAsia="x-none"/>
    </w:rPr>
  </w:style>
  <w:style w:type="table" w:customStyle="1" w:styleId="ListTable3-Accent111">
    <w:name w:val="List Table 3 - Accent 111"/>
    <w:rsid w:val="006442E5"/>
    <w:pPr>
      <w:spacing w:before="120"/>
      <w:jc w:val="both"/>
    </w:pPr>
    <w:rPr>
      <w:rFonts w:ascii="Times New Roman" w:eastAsia="Times New Roman" w:hAnsi="Times New Roman" w:cs="Times New Roman"/>
      <w:sz w:val="23"/>
      <w:szCs w:val="23"/>
      <w:lang w:val="bg-BG" w:eastAsia="bg-BG"/>
    </w:rPr>
    <w:tblPr>
      <w:tblStyleRowBandSize w:val="1"/>
      <w:tblStyleColBandSize w:val="1"/>
      <w:tblInd w:w="0" w:type="dxa"/>
      <w:tblBorders>
        <w:top w:val="single" w:sz="4" w:space="0" w:color="5B9BD5"/>
        <w:left w:val="single" w:sz="4" w:space="0" w:color="5B9BD5"/>
        <w:bottom w:val="single" w:sz="4" w:space="0" w:color="5B9BD5"/>
        <w:right w:val="single" w:sz="4" w:space="0" w:color="5B9BD5"/>
      </w:tblBorders>
      <w:tblCellMar>
        <w:top w:w="0" w:type="dxa"/>
        <w:left w:w="108" w:type="dxa"/>
        <w:bottom w:w="0" w:type="dxa"/>
        <w:right w:w="108" w:type="dxa"/>
      </w:tblCellMar>
    </w:tblPr>
  </w:style>
  <w:style w:type="table" w:customStyle="1" w:styleId="ListTable3-Accent123">
    <w:name w:val="List Table 3 - Accent 123"/>
    <w:rsid w:val="006442E5"/>
    <w:rPr>
      <w:rFonts w:ascii="Calibri" w:eastAsia="Times New Roman" w:hAnsi="Calibri" w:cs="Times New Roman"/>
      <w:sz w:val="22"/>
      <w:szCs w:val="22"/>
      <w:lang w:val="bg-BG" w:eastAsia="bg-BG"/>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108" w:type="dxa"/>
        <w:bottom w:w="0" w:type="dxa"/>
        <w:right w:w="108" w:type="dxa"/>
      </w:tblCellMar>
    </w:tblPr>
  </w:style>
  <w:style w:type="paragraph" w:styleId="TOC4">
    <w:name w:val="toc 4"/>
    <w:basedOn w:val="Normal"/>
    <w:next w:val="Normal"/>
    <w:autoRedefine/>
    <w:uiPriority w:val="39"/>
    <w:rsid w:val="006442E5"/>
    <w:pPr>
      <w:spacing w:after="100" w:line="264" w:lineRule="auto"/>
      <w:ind w:left="720"/>
      <w:jc w:val="both"/>
    </w:pPr>
    <w:rPr>
      <w:rFonts w:ascii="Times New Roman" w:hAnsi="Times New Roman"/>
      <w:sz w:val="24"/>
    </w:rPr>
  </w:style>
  <w:style w:type="paragraph" w:customStyle="1" w:styleId="LightGrid-Accent31">
    <w:name w:val="Light Grid - Accent 31"/>
    <w:basedOn w:val="Normal"/>
    <w:rsid w:val="006442E5"/>
    <w:pPr>
      <w:spacing w:after="60" w:line="264" w:lineRule="auto"/>
      <w:ind w:left="720"/>
      <w:contextualSpacing/>
      <w:jc w:val="both"/>
    </w:pPr>
    <w:rPr>
      <w:rFonts w:ascii="Times New Roman" w:hAnsi="Times New Roman"/>
      <w:sz w:val="24"/>
    </w:rPr>
  </w:style>
  <w:style w:type="paragraph" w:styleId="EndnoteText">
    <w:name w:val="endnote text"/>
    <w:basedOn w:val="Normal"/>
    <w:link w:val="EndnoteTextChar"/>
    <w:rsid w:val="006442E5"/>
    <w:pPr>
      <w:spacing w:after="0"/>
      <w:jc w:val="both"/>
    </w:pPr>
    <w:rPr>
      <w:rFonts w:ascii="Times New Roman" w:hAnsi="Times New Roman"/>
      <w:szCs w:val="20"/>
      <w:lang w:eastAsia="x-none"/>
    </w:rPr>
  </w:style>
  <w:style w:type="character" w:customStyle="1" w:styleId="EndnoteTextChar">
    <w:name w:val="Endnote Text Char"/>
    <w:link w:val="EndnoteText"/>
    <w:locked/>
    <w:rsid w:val="006442E5"/>
    <w:rPr>
      <w:rFonts w:ascii="Times New Roman" w:eastAsia="Times New Roman" w:hAnsi="Times New Roman" w:cs="Times New Roman"/>
      <w:sz w:val="20"/>
      <w:szCs w:val="20"/>
      <w:lang w:val="bg-BG" w:eastAsia="x-none"/>
    </w:rPr>
  </w:style>
  <w:style w:type="character" w:styleId="EndnoteReference">
    <w:name w:val="endnote reference"/>
    <w:rsid w:val="006442E5"/>
    <w:rPr>
      <w:vertAlign w:val="superscript"/>
    </w:rPr>
  </w:style>
  <w:style w:type="character" w:styleId="Emphasis">
    <w:name w:val="Emphasis"/>
    <w:qFormat/>
    <w:rsid w:val="006442E5"/>
    <w:rPr>
      <w:i/>
    </w:rPr>
  </w:style>
  <w:style w:type="paragraph" w:customStyle="1" w:styleId="body">
    <w:name w:val="body"/>
    <w:basedOn w:val="Normal"/>
    <w:rsid w:val="006442E5"/>
    <w:pPr>
      <w:spacing w:before="100" w:beforeAutospacing="1" w:after="100" w:afterAutospacing="1"/>
      <w:jc w:val="both"/>
    </w:pPr>
    <w:rPr>
      <w:rFonts w:ascii="Times New Roman" w:eastAsia="Arial Unicode MS" w:hAnsi="Times New Roman"/>
      <w:sz w:val="24"/>
      <w:szCs w:val="24"/>
      <w:lang w:eastAsia="bg-BG"/>
    </w:rPr>
  </w:style>
  <w:style w:type="character" w:customStyle="1" w:styleId="tgc">
    <w:name w:val="_tgc"/>
    <w:rsid w:val="006442E5"/>
    <w:rPr>
      <w:rFonts w:cs="Times New Roman"/>
    </w:rPr>
  </w:style>
  <w:style w:type="paragraph" w:customStyle="1" w:styleId="LightList-Accent31">
    <w:name w:val="Light List - Accent 31"/>
    <w:hidden/>
    <w:semiHidden/>
    <w:rsid w:val="006442E5"/>
    <w:rPr>
      <w:rFonts w:ascii="Calibri" w:eastAsia="Times New Roman" w:hAnsi="Calibri" w:cs="Times New Roman"/>
      <w:sz w:val="22"/>
      <w:szCs w:val="22"/>
      <w:lang w:val="bg-BG"/>
    </w:rPr>
  </w:style>
  <w:style w:type="paragraph" w:customStyle="1" w:styleId="Pa15">
    <w:name w:val="Pa15"/>
    <w:basedOn w:val="Default"/>
    <w:next w:val="Default"/>
    <w:rsid w:val="006442E5"/>
    <w:pPr>
      <w:spacing w:line="201" w:lineRule="atLeast"/>
    </w:pPr>
    <w:rPr>
      <w:rFonts w:ascii="Palatino Linotype" w:hAnsi="Palatino Linotype" w:cs="Times New Roman"/>
      <w:color w:val="auto"/>
    </w:rPr>
  </w:style>
  <w:style w:type="paragraph" w:customStyle="1" w:styleId="Pa26">
    <w:name w:val="Pa26"/>
    <w:basedOn w:val="Default"/>
    <w:next w:val="Default"/>
    <w:rsid w:val="006442E5"/>
    <w:pPr>
      <w:spacing w:line="181" w:lineRule="atLeast"/>
    </w:pPr>
    <w:rPr>
      <w:rFonts w:ascii="Palatino Linotype" w:hAnsi="Palatino Linotype" w:cs="Times New Roman"/>
      <w:color w:val="auto"/>
    </w:rPr>
  </w:style>
  <w:style w:type="paragraph" w:customStyle="1" w:styleId="Pa34">
    <w:name w:val="Pa34"/>
    <w:basedOn w:val="Default"/>
    <w:next w:val="Default"/>
    <w:rsid w:val="006442E5"/>
    <w:pPr>
      <w:spacing w:line="141" w:lineRule="atLeast"/>
    </w:pPr>
    <w:rPr>
      <w:rFonts w:ascii="Palatino Linotype" w:hAnsi="Palatino Linotype" w:cs="Times New Roman"/>
      <w:color w:val="auto"/>
    </w:rPr>
  </w:style>
  <w:style w:type="paragraph" w:customStyle="1" w:styleId="Pa1">
    <w:name w:val="Pa1"/>
    <w:basedOn w:val="Default"/>
    <w:next w:val="Default"/>
    <w:rsid w:val="006442E5"/>
    <w:pPr>
      <w:spacing w:line="361" w:lineRule="atLeast"/>
    </w:pPr>
    <w:rPr>
      <w:rFonts w:ascii="Verdana" w:hAnsi="Verdana" w:cs="Times New Roman"/>
      <w:color w:val="auto"/>
    </w:rPr>
  </w:style>
  <w:style w:type="character" w:customStyle="1" w:styleId="st">
    <w:name w:val="st"/>
    <w:rsid w:val="006442E5"/>
    <w:rPr>
      <w:rFonts w:cs="Times New Roman"/>
    </w:rPr>
  </w:style>
  <w:style w:type="character" w:customStyle="1" w:styleId="a">
    <w:name w:val="a"/>
    <w:rsid w:val="006442E5"/>
    <w:rPr>
      <w:rFonts w:cs="Times New Roman"/>
    </w:rPr>
  </w:style>
  <w:style w:type="character" w:customStyle="1" w:styleId="l6">
    <w:name w:val="l6"/>
    <w:rsid w:val="006442E5"/>
    <w:rPr>
      <w:rFonts w:cs="Times New Roman"/>
    </w:rPr>
  </w:style>
  <w:style w:type="character" w:customStyle="1" w:styleId="l7">
    <w:name w:val="l7"/>
    <w:rsid w:val="006442E5"/>
    <w:rPr>
      <w:rFonts w:cs="Times New Roman"/>
    </w:rPr>
  </w:style>
  <w:style w:type="character" w:customStyle="1" w:styleId="l8">
    <w:name w:val="l8"/>
    <w:rsid w:val="006442E5"/>
    <w:rPr>
      <w:rFonts w:cs="Times New Roman"/>
    </w:rPr>
  </w:style>
  <w:style w:type="character" w:customStyle="1" w:styleId="l10">
    <w:name w:val="l10"/>
    <w:rsid w:val="006442E5"/>
    <w:rPr>
      <w:rFonts w:cs="Times New Roman"/>
    </w:rPr>
  </w:style>
  <w:style w:type="character" w:customStyle="1" w:styleId="l9">
    <w:name w:val="l9"/>
    <w:rsid w:val="006442E5"/>
    <w:rPr>
      <w:rFonts w:cs="Times New Roman"/>
    </w:rPr>
  </w:style>
  <w:style w:type="character" w:customStyle="1" w:styleId="l">
    <w:name w:val="l"/>
    <w:rsid w:val="006442E5"/>
    <w:rPr>
      <w:rFonts w:cs="Times New Roman"/>
    </w:rPr>
  </w:style>
  <w:style w:type="character" w:customStyle="1" w:styleId="l12">
    <w:name w:val="l12"/>
    <w:rsid w:val="006442E5"/>
    <w:rPr>
      <w:rFonts w:cs="Times New Roman"/>
    </w:rPr>
  </w:style>
  <w:style w:type="character" w:customStyle="1" w:styleId="l11">
    <w:name w:val="l11"/>
    <w:rsid w:val="006442E5"/>
    <w:rPr>
      <w:rFonts w:cs="Times New Roman"/>
    </w:rPr>
  </w:style>
  <w:style w:type="paragraph" w:customStyle="1" w:styleId="WBNormalNumbered">
    <w:name w:val="WB Normal Numbered"/>
    <w:basedOn w:val="Normal"/>
    <w:link w:val="WBNormalNumberedChar"/>
    <w:autoRedefine/>
    <w:rsid w:val="006442E5"/>
    <w:pPr>
      <w:numPr>
        <w:numId w:val="29"/>
      </w:numPr>
      <w:tabs>
        <w:tab w:val="left" w:pos="709"/>
      </w:tabs>
      <w:spacing w:before="120" w:after="60" w:line="264" w:lineRule="auto"/>
      <w:ind w:left="0" w:firstLine="0"/>
      <w:jc w:val="both"/>
    </w:pPr>
    <w:rPr>
      <w:rFonts w:ascii="Times New Roman" w:hAnsi="Times New Roman"/>
      <w:sz w:val="24"/>
      <w:lang w:val="x-none"/>
    </w:rPr>
  </w:style>
  <w:style w:type="character" w:customStyle="1" w:styleId="WBNormalNumberedChar">
    <w:name w:val="WB Normal Numbered Char"/>
    <w:link w:val="WBNormalNumbered"/>
    <w:locked/>
    <w:rsid w:val="006442E5"/>
    <w:rPr>
      <w:rFonts w:ascii="Times New Roman" w:eastAsia="Times New Roman" w:hAnsi="Times New Roman" w:cs="Times New Roman"/>
      <w:sz w:val="24"/>
      <w:szCs w:val="22"/>
      <w:lang w:val="x-none"/>
    </w:rPr>
  </w:style>
  <w:style w:type="table" w:customStyle="1" w:styleId="TableGrid11">
    <w:name w:val="Table Grid11"/>
    <w:rsid w:val="006442E5"/>
    <w:rPr>
      <w:rFonts w:ascii="Calibri" w:eastAsia="Times New Roman" w:hAnsi="Calibri" w:cs="Times New Roman"/>
      <w:sz w:val="22"/>
      <w:szCs w:val="22"/>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51">
    <w:name w:val="TOC 51"/>
    <w:basedOn w:val="Normal"/>
    <w:next w:val="Normal"/>
    <w:autoRedefine/>
    <w:rsid w:val="006442E5"/>
    <w:pPr>
      <w:spacing w:after="100" w:line="259" w:lineRule="auto"/>
      <w:ind w:left="880"/>
    </w:pPr>
    <w:rPr>
      <w:rFonts w:ascii="Calibri" w:eastAsia="Arial Unicode MS" w:hAnsi="Calibri"/>
      <w:sz w:val="22"/>
    </w:rPr>
  </w:style>
  <w:style w:type="paragraph" w:customStyle="1" w:styleId="TOC61">
    <w:name w:val="TOC 61"/>
    <w:basedOn w:val="Normal"/>
    <w:next w:val="Normal"/>
    <w:autoRedefine/>
    <w:rsid w:val="006442E5"/>
    <w:pPr>
      <w:spacing w:after="100" w:line="259" w:lineRule="auto"/>
      <w:ind w:left="1100"/>
    </w:pPr>
    <w:rPr>
      <w:rFonts w:ascii="Calibri" w:eastAsia="Arial Unicode MS" w:hAnsi="Calibri"/>
      <w:sz w:val="22"/>
    </w:rPr>
  </w:style>
  <w:style w:type="paragraph" w:customStyle="1" w:styleId="TOC71">
    <w:name w:val="TOC 71"/>
    <w:basedOn w:val="Normal"/>
    <w:next w:val="Normal"/>
    <w:autoRedefine/>
    <w:rsid w:val="006442E5"/>
    <w:pPr>
      <w:spacing w:after="100" w:line="259" w:lineRule="auto"/>
      <w:ind w:left="1320"/>
    </w:pPr>
    <w:rPr>
      <w:rFonts w:ascii="Calibri" w:eastAsia="Arial Unicode MS" w:hAnsi="Calibri"/>
      <w:sz w:val="22"/>
    </w:rPr>
  </w:style>
  <w:style w:type="paragraph" w:customStyle="1" w:styleId="TOC81">
    <w:name w:val="TOC 81"/>
    <w:basedOn w:val="Normal"/>
    <w:next w:val="Normal"/>
    <w:autoRedefine/>
    <w:rsid w:val="006442E5"/>
    <w:pPr>
      <w:spacing w:after="100" w:line="259" w:lineRule="auto"/>
      <w:ind w:left="1540"/>
    </w:pPr>
    <w:rPr>
      <w:rFonts w:ascii="Calibri" w:eastAsia="Arial Unicode MS" w:hAnsi="Calibri"/>
      <w:sz w:val="22"/>
    </w:rPr>
  </w:style>
  <w:style w:type="paragraph" w:customStyle="1" w:styleId="TOC91">
    <w:name w:val="TOC 91"/>
    <w:basedOn w:val="Normal"/>
    <w:next w:val="Normal"/>
    <w:autoRedefine/>
    <w:rsid w:val="006442E5"/>
    <w:pPr>
      <w:spacing w:after="100" w:line="259" w:lineRule="auto"/>
      <w:ind w:left="1760"/>
    </w:pPr>
    <w:rPr>
      <w:rFonts w:ascii="Calibri" w:eastAsia="Arial Unicode MS" w:hAnsi="Calibri"/>
      <w:sz w:val="22"/>
    </w:rPr>
  </w:style>
  <w:style w:type="paragraph" w:customStyle="1" w:styleId="BulletNormal">
    <w:name w:val="Bullet Normal"/>
    <w:basedOn w:val="ListParagraph1"/>
    <w:link w:val="BulletNormalChar"/>
    <w:rsid w:val="006442E5"/>
    <w:pPr>
      <w:numPr>
        <w:numId w:val="30"/>
      </w:numPr>
      <w:contextualSpacing w:val="0"/>
    </w:pPr>
    <w:rPr>
      <w:rFonts w:ascii="Times New Roman" w:hAnsi="Times New Roman"/>
      <w:sz w:val="24"/>
      <w:szCs w:val="22"/>
    </w:rPr>
  </w:style>
  <w:style w:type="character" w:customStyle="1" w:styleId="BulletNormalChar">
    <w:name w:val="Bullet Normal Char"/>
    <w:link w:val="BulletNormal"/>
    <w:locked/>
    <w:rsid w:val="006442E5"/>
    <w:rPr>
      <w:rFonts w:ascii="Times New Roman" w:eastAsia="Times New Roman" w:hAnsi="Times New Roman" w:cs="Times New Roman"/>
      <w:sz w:val="24"/>
      <w:szCs w:val="22"/>
      <w:lang w:val="x-none" w:eastAsia="x-none"/>
    </w:rPr>
  </w:style>
  <w:style w:type="paragraph" w:customStyle="1" w:styleId="NormalunderBullet">
    <w:name w:val="Normal (under Bullet)"/>
    <w:basedOn w:val="Normal"/>
    <w:link w:val="NormalunderBulletChar"/>
    <w:rsid w:val="006442E5"/>
    <w:pPr>
      <w:ind w:left="709"/>
    </w:pPr>
    <w:rPr>
      <w:sz w:val="22"/>
      <w:lang w:eastAsia="x-none"/>
    </w:rPr>
  </w:style>
  <w:style w:type="character" w:customStyle="1" w:styleId="NormalunderBulletChar">
    <w:name w:val="Normal (under Bullet) Char"/>
    <w:link w:val="NormalunderBullet"/>
    <w:locked/>
    <w:rsid w:val="006442E5"/>
    <w:rPr>
      <w:rFonts w:ascii="Arial" w:eastAsia="Times New Roman" w:hAnsi="Arial" w:cs="Times New Roman"/>
      <w:sz w:val="22"/>
      <w:szCs w:val="22"/>
      <w:lang w:val="bg-BG" w:eastAsia="x-none"/>
    </w:rPr>
  </w:style>
  <w:style w:type="paragraph" w:customStyle="1" w:styleId="Table">
    <w:name w:val="Table"/>
    <w:basedOn w:val="Normal"/>
    <w:link w:val="TableChar"/>
    <w:rsid w:val="006442E5"/>
    <w:pPr>
      <w:keepNext/>
      <w:spacing w:before="180" w:after="120"/>
    </w:pPr>
    <w:rPr>
      <w:b/>
      <w:sz w:val="22"/>
      <w:lang w:eastAsia="x-none"/>
    </w:rPr>
  </w:style>
  <w:style w:type="character" w:customStyle="1" w:styleId="TableChar">
    <w:name w:val="Table Char"/>
    <w:link w:val="Table"/>
    <w:locked/>
    <w:rsid w:val="006442E5"/>
    <w:rPr>
      <w:rFonts w:ascii="Arial" w:eastAsia="Times New Roman" w:hAnsi="Arial" w:cs="Times New Roman"/>
      <w:b/>
      <w:sz w:val="22"/>
      <w:szCs w:val="22"/>
      <w:lang w:val="bg-BG" w:eastAsia="x-none"/>
    </w:rPr>
  </w:style>
  <w:style w:type="character" w:customStyle="1" w:styleId="Mention2">
    <w:name w:val="Mention2"/>
    <w:semiHidden/>
    <w:rsid w:val="006442E5"/>
    <w:rPr>
      <w:rFonts w:cs="Times New Roman"/>
      <w:color w:val="2B579A"/>
      <w:shd w:val="clear" w:color="auto" w:fill="E6E6E6"/>
    </w:rPr>
  </w:style>
  <w:style w:type="paragraph" w:customStyle="1" w:styleId="Figure">
    <w:name w:val="Figure"/>
    <w:basedOn w:val="Table"/>
    <w:link w:val="FigureChar"/>
    <w:rsid w:val="006442E5"/>
  </w:style>
  <w:style w:type="character" w:customStyle="1" w:styleId="FigureChar">
    <w:name w:val="Figure Char"/>
    <w:basedOn w:val="TableChar"/>
    <w:link w:val="Figure"/>
    <w:locked/>
    <w:rsid w:val="006442E5"/>
    <w:rPr>
      <w:rFonts w:ascii="Arial" w:eastAsia="Times New Roman" w:hAnsi="Arial" w:cs="Times New Roman"/>
      <w:b/>
      <w:sz w:val="22"/>
      <w:szCs w:val="22"/>
      <w:lang w:val="bg-BG" w:eastAsia="x-none"/>
    </w:rPr>
  </w:style>
  <w:style w:type="paragraph" w:customStyle="1" w:styleId="Box">
    <w:name w:val="Box"/>
    <w:basedOn w:val="Normal"/>
    <w:rsid w:val="006442E5"/>
    <w:pPr>
      <w:pBdr>
        <w:top w:val="single" w:sz="4" w:space="1" w:color="auto"/>
        <w:left w:val="single" w:sz="4" w:space="4" w:color="auto"/>
        <w:bottom w:val="single" w:sz="4" w:space="1" w:color="auto"/>
        <w:right w:val="single" w:sz="4" w:space="4" w:color="auto"/>
      </w:pBdr>
      <w:shd w:val="clear" w:color="auto" w:fill="DAEEF3"/>
      <w:spacing w:before="180"/>
      <w:ind w:left="426" w:right="567"/>
    </w:pPr>
  </w:style>
  <w:style w:type="paragraph" w:customStyle="1" w:styleId="TableTitle">
    <w:name w:val="TableTitle"/>
    <w:basedOn w:val="Normal"/>
    <w:rsid w:val="006442E5"/>
    <w:pPr>
      <w:numPr>
        <w:numId w:val="31"/>
      </w:numPr>
      <w:spacing w:before="240" w:after="120"/>
      <w:ind w:left="2486"/>
    </w:pPr>
    <w:rPr>
      <w:b/>
      <w:color w:val="1F497D"/>
    </w:rPr>
  </w:style>
  <w:style w:type="paragraph" w:customStyle="1" w:styleId="Bodytable">
    <w:name w:val="Body table"/>
    <w:rsid w:val="006442E5"/>
    <w:pPr>
      <w:spacing w:before="40" w:after="40"/>
    </w:pPr>
    <w:rPr>
      <w:rFonts w:ascii="Calibri" w:eastAsia="Batang" w:hAnsi="Calibri" w:cs="Arial"/>
      <w:color w:val="394A58"/>
      <w:lang w:val="bg-BG" w:eastAsia="ko-KR"/>
    </w:rPr>
  </w:style>
  <w:style w:type="character" w:customStyle="1" w:styleId="font551">
    <w:name w:val="font551"/>
    <w:rsid w:val="006442E5"/>
    <w:rPr>
      <w:rFonts w:ascii="Arial Narrow" w:hAnsi="Arial Narrow" w:cs="Times New Roman"/>
      <w:i/>
      <w:iCs/>
      <w:color w:val="000000"/>
      <w:sz w:val="20"/>
      <w:szCs w:val="20"/>
      <w:u w:val="none"/>
      <w:effect w:val="none"/>
    </w:rPr>
  </w:style>
  <w:style w:type="character" w:customStyle="1" w:styleId="font291">
    <w:name w:val="font291"/>
    <w:rsid w:val="006442E5"/>
    <w:rPr>
      <w:rFonts w:ascii="Arial Narrow" w:hAnsi="Arial Narrow" w:cs="Times New Roman"/>
      <w:color w:val="000000"/>
      <w:sz w:val="20"/>
      <w:szCs w:val="20"/>
      <w:u w:val="none"/>
      <w:effect w:val="none"/>
    </w:rPr>
  </w:style>
  <w:style w:type="paragraph" w:customStyle="1" w:styleId="FalseHeading">
    <w:name w:val="False Heading"/>
    <w:basedOn w:val="Normal"/>
    <w:next w:val="Normal"/>
    <w:link w:val="FalseHeadingChar"/>
    <w:rsid w:val="006442E5"/>
    <w:pPr>
      <w:spacing w:before="640"/>
      <w:ind w:left="1985" w:hanging="1985"/>
      <w:outlineLvl w:val="2"/>
    </w:pPr>
    <w:rPr>
      <w:color w:val="365F91"/>
      <w:sz w:val="32"/>
      <w:szCs w:val="32"/>
      <w:lang w:eastAsia="x-none"/>
    </w:rPr>
  </w:style>
  <w:style w:type="character" w:customStyle="1" w:styleId="FalseHeadingChar">
    <w:name w:val="False Heading Char"/>
    <w:link w:val="FalseHeading"/>
    <w:locked/>
    <w:rsid w:val="006442E5"/>
    <w:rPr>
      <w:rFonts w:ascii="Arial" w:eastAsia="Times New Roman" w:hAnsi="Arial" w:cs="Times New Roman"/>
      <w:color w:val="365F91"/>
      <w:sz w:val="32"/>
      <w:szCs w:val="32"/>
      <w:lang w:val="bg-BG" w:eastAsia="x-none"/>
    </w:rPr>
  </w:style>
  <w:style w:type="paragraph" w:styleId="TableofFigures">
    <w:name w:val="table of figures"/>
    <w:basedOn w:val="Normal"/>
    <w:next w:val="Normal"/>
    <w:uiPriority w:val="99"/>
    <w:qFormat/>
    <w:rsid w:val="00D325A0"/>
    <w:pPr>
      <w:spacing w:after="100" w:line="276" w:lineRule="auto"/>
      <w:jc w:val="both"/>
    </w:pPr>
    <w:rPr>
      <w:rFonts w:ascii="Times New Roman" w:hAnsi="Times New Roman"/>
      <w:sz w:val="22"/>
    </w:rPr>
  </w:style>
  <w:style w:type="paragraph" w:customStyle="1" w:styleId="TablesFigures">
    <w:name w:val="Tables &amp; Figures"/>
    <w:basedOn w:val="Table"/>
    <w:link w:val="TablesFiguresChar"/>
    <w:autoRedefine/>
    <w:rsid w:val="006442E5"/>
    <w:pPr>
      <w:keepNext w:val="0"/>
      <w:spacing w:before="0"/>
      <w:jc w:val="center"/>
    </w:pPr>
    <w:rPr>
      <w:rFonts w:ascii="Calibri" w:hAnsi="Calibri"/>
    </w:rPr>
  </w:style>
  <w:style w:type="character" w:customStyle="1" w:styleId="TablesFiguresChar">
    <w:name w:val="Tables &amp; Figures Char"/>
    <w:link w:val="TablesFigures"/>
    <w:locked/>
    <w:rsid w:val="006442E5"/>
    <w:rPr>
      <w:rFonts w:ascii="Calibri" w:eastAsia="Times New Roman" w:hAnsi="Calibri" w:cs="Times New Roman"/>
      <w:b/>
      <w:sz w:val="22"/>
      <w:szCs w:val="22"/>
      <w:lang w:val="bg-BG" w:eastAsia="x-none"/>
    </w:rPr>
  </w:style>
  <w:style w:type="paragraph" w:customStyle="1" w:styleId="Sourceline">
    <w:name w:val="Source line"/>
    <w:basedOn w:val="Normal"/>
    <w:link w:val="SourcelineChar"/>
    <w:autoRedefine/>
    <w:rsid w:val="006442E5"/>
    <w:pPr>
      <w:spacing w:after="240"/>
    </w:pPr>
    <w:rPr>
      <w:rFonts w:ascii="Calibri" w:hAnsi="Calibri"/>
      <w:i/>
      <w:sz w:val="18"/>
      <w:szCs w:val="18"/>
      <w:lang w:eastAsia="x-none"/>
    </w:rPr>
  </w:style>
  <w:style w:type="character" w:customStyle="1" w:styleId="SourcelineChar">
    <w:name w:val="Source line Char"/>
    <w:link w:val="Sourceline"/>
    <w:locked/>
    <w:rsid w:val="006442E5"/>
    <w:rPr>
      <w:rFonts w:ascii="Calibri" w:eastAsia="Times New Roman" w:hAnsi="Calibri" w:cs="Arial"/>
      <w:i/>
      <w:sz w:val="18"/>
      <w:szCs w:val="18"/>
      <w:lang w:val="bg-BG" w:eastAsia="x-none"/>
    </w:rPr>
  </w:style>
  <w:style w:type="paragraph" w:customStyle="1" w:styleId="Bullet">
    <w:name w:val="Bullet"/>
    <w:basedOn w:val="BulletNormal"/>
    <w:autoRedefine/>
    <w:rsid w:val="006442E5"/>
    <w:pPr>
      <w:spacing w:before="120" w:after="60" w:line="264" w:lineRule="auto"/>
      <w:jc w:val="both"/>
    </w:pPr>
  </w:style>
  <w:style w:type="paragraph" w:customStyle="1" w:styleId="NormalIndent1">
    <w:name w:val="Normal Indent1"/>
    <w:basedOn w:val="Footnote"/>
    <w:link w:val="NormalindentChar0"/>
    <w:autoRedefine/>
    <w:rsid w:val="006442E5"/>
    <w:pPr>
      <w:pBdr>
        <w:top w:val="single" w:sz="4" w:space="1" w:color="auto"/>
        <w:left w:val="single" w:sz="4" w:space="4" w:color="auto"/>
        <w:bottom w:val="single" w:sz="4" w:space="1" w:color="auto"/>
        <w:right w:val="single" w:sz="4" w:space="4" w:color="auto"/>
      </w:pBdr>
      <w:shd w:val="clear" w:color="auto" w:fill="B8CCE4"/>
      <w:spacing w:before="120" w:line="264" w:lineRule="auto"/>
      <w:ind w:left="397" w:right="397" w:firstLine="0"/>
      <w:jc w:val="both"/>
    </w:pPr>
    <w:rPr>
      <w:rFonts w:ascii="Times New Roman" w:hAnsi="Times New Roman"/>
      <w:sz w:val="16"/>
      <w:szCs w:val="16"/>
    </w:rPr>
  </w:style>
  <w:style w:type="character" w:customStyle="1" w:styleId="NormalindentChar0">
    <w:name w:val="Normal indent Char"/>
    <w:link w:val="NormalIndent1"/>
    <w:locked/>
    <w:rsid w:val="006442E5"/>
    <w:rPr>
      <w:rFonts w:ascii="Times New Roman" w:eastAsia="Times New Roman" w:hAnsi="Times New Roman" w:cs="Arial"/>
      <w:sz w:val="16"/>
      <w:szCs w:val="16"/>
      <w:shd w:val="clear" w:color="auto" w:fill="B8CCE4"/>
      <w:lang w:val="bg-BG" w:eastAsia="x-none"/>
    </w:rPr>
  </w:style>
  <w:style w:type="character" w:customStyle="1" w:styleId="CaptionChar">
    <w:name w:val="Caption Char"/>
    <w:aliases w:val="Legende Char,Car16 Char,Car Car Car Car Char,Car Car Car Car Car Car Car Char,Car Car Car Car Car Char,Car Car Car Car Car Car Car Car Car Car Car Car Char,Car3 Char,Car Char,légende Char,Car5 Char,Caption Char2 Char,Caption Char Char1 Char"/>
    <w:link w:val="Caption"/>
    <w:uiPriority w:val="35"/>
    <w:locked/>
    <w:rsid w:val="006442E5"/>
    <w:rPr>
      <w:rFonts w:ascii="Times New Roman" w:hAnsi="Times New Roman"/>
      <w:b/>
      <w:sz w:val="20"/>
      <w:lang w:val="bg-BG" w:eastAsia="bg-BG"/>
    </w:rPr>
  </w:style>
  <w:style w:type="paragraph" w:customStyle="1" w:styleId="Chapter">
    <w:name w:val="Chapter"/>
    <w:basedOn w:val="Heading1"/>
    <w:next w:val="Heading1"/>
    <w:rsid w:val="006442E5"/>
    <w:pPr>
      <w:keepNext w:val="0"/>
      <w:keepLines w:val="0"/>
      <w:spacing w:before="0" w:line="264" w:lineRule="auto"/>
      <w:ind w:left="1418" w:hanging="1418"/>
      <w:jc w:val="both"/>
    </w:pPr>
    <w:rPr>
      <w:rFonts w:eastAsia="Arial Unicode MS"/>
      <w:kern w:val="36"/>
      <w:szCs w:val="18"/>
      <w:lang w:eastAsia="bg-BG"/>
    </w:rPr>
  </w:style>
  <w:style w:type="paragraph" w:customStyle="1" w:styleId="Tabletxt">
    <w:name w:val="Table txt"/>
    <w:basedOn w:val="Normal"/>
    <w:link w:val="TabletxtChar"/>
    <w:rsid w:val="006442E5"/>
    <w:pPr>
      <w:autoSpaceDE w:val="0"/>
      <w:autoSpaceDN w:val="0"/>
      <w:adjustRightInd w:val="0"/>
      <w:spacing w:before="60" w:after="60" w:line="264" w:lineRule="auto"/>
    </w:pPr>
    <w:rPr>
      <w:rFonts w:ascii="Calibri" w:hAnsi="Calibri"/>
      <w:szCs w:val="20"/>
      <w:lang w:eastAsia="x-none"/>
    </w:rPr>
  </w:style>
  <w:style w:type="character" w:customStyle="1" w:styleId="TabletxtChar">
    <w:name w:val="Table txt Char"/>
    <w:link w:val="Tabletxt"/>
    <w:locked/>
    <w:rsid w:val="006442E5"/>
    <w:rPr>
      <w:rFonts w:ascii="Calibri" w:eastAsia="Times New Roman" w:hAnsi="Calibri" w:cs="Times New Roman"/>
      <w:sz w:val="20"/>
      <w:szCs w:val="20"/>
      <w:lang w:val="bg-BG" w:eastAsia="x-none"/>
    </w:rPr>
  </w:style>
  <w:style w:type="character" w:customStyle="1" w:styleId="notranslate">
    <w:name w:val="notranslate"/>
    <w:rsid w:val="006442E5"/>
    <w:rPr>
      <w:rFonts w:cs="Times New Roman"/>
    </w:rPr>
  </w:style>
  <w:style w:type="paragraph" w:customStyle="1" w:styleId="CM1">
    <w:name w:val="CM1"/>
    <w:basedOn w:val="Normal"/>
    <w:next w:val="Normal"/>
    <w:rsid w:val="006442E5"/>
    <w:pPr>
      <w:autoSpaceDE w:val="0"/>
      <w:autoSpaceDN w:val="0"/>
      <w:adjustRightInd w:val="0"/>
      <w:spacing w:after="0"/>
    </w:pPr>
    <w:rPr>
      <w:rFonts w:ascii="EUAlbertina" w:hAnsi="EUAlbertina"/>
      <w:sz w:val="24"/>
      <w:szCs w:val="24"/>
    </w:rPr>
  </w:style>
  <w:style w:type="character" w:customStyle="1" w:styleId="rpf1">
    <w:name w:val="_rp_f1"/>
    <w:rsid w:val="006442E5"/>
    <w:rPr>
      <w:rFonts w:cs="Times New Roman"/>
    </w:rPr>
  </w:style>
  <w:style w:type="character" w:customStyle="1" w:styleId="pel">
    <w:name w:val="_pe_l"/>
    <w:rsid w:val="006442E5"/>
    <w:rPr>
      <w:rFonts w:cs="Times New Roman"/>
    </w:rPr>
  </w:style>
  <w:style w:type="character" w:customStyle="1" w:styleId="bidi">
    <w:name w:val="bidi"/>
    <w:rsid w:val="006442E5"/>
    <w:rPr>
      <w:rFonts w:cs="Times New Roman"/>
    </w:rPr>
  </w:style>
  <w:style w:type="character" w:customStyle="1" w:styleId="rpp1">
    <w:name w:val="_rp_p1"/>
    <w:rsid w:val="006442E5"/>
    <w:rPr>
      <w:rFonts w:cs="Times New Roman"/>
    </w:rPr>
  </w:style>
  <w:style w:type="character" w:customStyle="1" w:styleId="allowtextselection">
    <w:name w:val="allowtextselection"/>
    <w:rsid w:val="006442E5"/>
    <w:rPr>
      <w:rFonts w:cs="Times New Roman"/>
    </w:rPr>
  </w:style>
  <w:style w:type="character" w:customStyle="1" w:styleId="dbz">
    <w:name w:val="_db_z"/>
    <w:rsid w:val="006442E5"/>
    <w:rPr>
      <w:rFonts w:cs="Times New Roman"/>
    </w:rPr>
  </w:style>
  <w:style w:type="paragraph" w:customStyle="1" w:styleId="a0">
    <w:name w:val="Абзац списка"/>
    <w:basedOn w:val="Normal"/>
    <w:rsid w:val="006442E5"/>
    <w:pPr>
      <w:spacing w:after="0"/>
      <w:ind w:left="720"/>
    </w:pPr>
    <w:rPr>
      <w:rFonts w:ascii="Verdana" w:eastAsia="Arial Unicode MS" w:hAnsi="Verdana" w:cs="Verdana"/>
      <w:color w:val="6A6A6A"/>
      <w:sz w:val="24"/>
      <w:szCs w:val="24"/>
    </w:rPr>
  </w:style>
  <w:style w:type="character" w:styleId="SubtleEmphasis">
    <w:name w:val="Subtle Emphasis"/>
    <w:qFormat/>
    <w:rsid w:val="006442E5"/>
    <w:rPr>
      <w:i/>
      <w:color w:val="808080"/>
    </w:rPr>
  </w:style>
  <w:style w:type="paragraph" w:customStyle="1" w:styleId="ftrefChar1">
    <w:name w:val="ftref Char1"/>
    <w:aliases w:val="Footnote Reference Number Char,Footnote Reference_LVL6 Char,Footnote Reference_LVL61 Char,Footnote Reference_LVL62 Char,Footnote Reference_LVL63 Char,Footnote Reference_LVL64 Char,Знак сноски-FN Char,16 Point Char"/>
    <w:basedOn w:val="Normal"/>
    <w:rsid w:val="000A1AFB"/>
    <w:pPr>
      <w:spacing w:after="160" w:line="240" w:lineRule="exact"/>
    </w:pPr>
    <w:rPr>
      <w:rFonts w:ascii="Arial Unicode MS" w:eastAsia="Arial Unicode MS" w:hAnsi="Arial Unicode MS"/>
      <w:szCs w:val="20"/>
      <w:vertAlign w:val="superscript"/>
      <w:lang w:eastAsia="bg-BG"/>
    </w:rPr>
  </w:style>
  <w:style w:type="table" w:customStyle="1" w:styleId="ListTable3-Accent13">
    <w:name w:val="List Table 3 - Accent 13"/>
    <w:rsid w:val="000A1AFB"/>
    <w:rPr>
      <w:lang w:val="bg-BG" w:eastAsia="bg-BG"/>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108" w:type="dxa"/>
        <w:bottom w:w="0" w:type="dxa"/>
        <w:right w:w="108" w:type="dxa"/>
      </w:tblCellMar>
    </w:tblPr>
  </w:style>
  <w:style w:type="table" w:customStyle="1" w:styleId="TableGrid4">
    <w:name w:val="Table Grid4"/>
    <w:rsid w:val="00C057FB"/>
    <w:rPr>
      <w:rFonts w:ascii="Calibri" w:eastAsia="Times New Roman" w:hAnsi="Calibri" w:cs="Arial"/>
      <w:sz w:val="22"/>
      <w:szCs w:val="22"/>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5">
    <w:name w:val="toc 5"/>
    <w:basedOn w:val="Normal"/>
    <w:next w:val="Normal"/>
    <w:autoRedefine/>
    <w:uiPriority w:val="39"/>
    <w:rsid w:val="00805F99"/>
    <w:pPr>
      <w:spacing w:after="100" w:line="259" w:lineRule="auto"/>
      <w:ind w:left="880"/>
    </w:pPr>
    <w:rPr>
      <w:rFonts w:ascii="Calibri" w:eastAsia="MS Mincho" w:hAnsi="Calibri" w:cs="Arial"/>
      <w:sz w:val="22"/>
      <w:lang w:val="en-US"/>
    </w:rPr>
  </w:style>
  <w:style w:type="paragraph" w:styleId="TOC6">
    <w:name w:val="toc 6"/>
    <w:basedOn w:val="Normal"/>
    <w:next w:val="Normal"/>
    <w:autoRedefine/>
    <w:uiPriority w:val="39"/>
    <w:rsid w:val="00805F99"/>
    <w:pPr>
      <w:spacing w:after="100" w:line="259" w:lineRule="auto"/>
      <w:ind w:left="1100"/>
    </w:pPr>
    <w:rPr>
      <w:rFonts w:ascii="Calibri" w:eastAsia="MS Mincho" w:hAnsi="Calibri" w:cs="Arial"/>
      <w:sz w:val="22"/>
      <w:lang w:val="en-US"/>
    </w:rPr>
  </w:style>
  <w:style w:type="paragraph" w:styleId="TOC7">
    <w:name w:val="toc 7"/>
    <w:basedOn w:val="Normal"/>
    <w:next w:val="Normal"/>
    <w:autoRedefine/>
    <w:uiPriority w:val="39"/>
    <w:rsid w:val="00805F99"/>
    <w:pPr>
      <w:spacing w:after="100" w:line="259" w:lineRule="auto"/>
      <w:ind w:left="1320"/>
    </w:pPr>
    <w:rPr>
      <w:rFonts w:ascii="Calibri" w:eastAsia="MS Mincho" w:hAnsi="Calibri" w:cs="Arial"/>
      <w:sz w:val="22"/>
      <w:lang w:val="en-US"/>
    </w:rPr>
  </w:style>
  <w:style w:type="paragraph" w:styleId="TOC8">
    <w:name w:val="toc 8"/>
    <w:basedOn w:val="Normal"/>
    <w:next w:val="Normal"/>
    <w:autoRedefine/>
    <w:uiPriority w:val="39"/>
    <w:rsid w:val="00805F99"/>
    <w:pPr>
      <w:spacing w:after="100" w:line="259" w:lineRule="auto"/>
      <w:ind w:left="1540"/>
    </w:pPr>
    <w:rPr>
      <w:rFonts w:ascii="Calibri" w:eastAsia="MS Mincho" w:hAnsi="Calibri" w:cs="Arial"/>
      <w:sz w:val="22"/>
      <w:lang w:val="en-US"/>
    </w:rPr>
  </w:style>
  <w:style w:type="paragraph" w:styleId="TOC9">
    <w:name w:val="toc 9"/>
    <w:basedOn w:val="Normal"/>
    <w:next w:val="Normal"/>
    <w:autoRedefine/>
    <w:uiPriority w:val="39"/>
    <w:rsid w:val="00805F99"/>
    <w:pPr>
      <w:spacing w:after="100" w:line="259" w:lineRule="auto"/>
      <w:ind w:left="1760"/>
    </w:pPr>
    <w:rPr>
      <w:rFonts w:ascii="Calibri" w:eastAsia="MS Mincho" w:hAnsi="Calibri" w:cs="Arial"/>
      <w:sz w:val="22"/>
      <w:lang w:val="en-US"/>
    </w:rPr>
  </w:style>
  <w:style w:type="character" w:customStyle="1" w:styleId="UnresolvedMention1">
    <w:name w:val="Unresolved Mention1"/>
    <w:semiHidden/>
    <w:rsid w:val="00805F99"/>
    <w:rPr>
      <w:rFonts w:cs="Times New Roman"/>
      <w:color w:val="808080"/>
      <w:shd w:val="clear" w:color="auto" w:fill="E6E6E6"/>
    </w:rPr>
  </w:style>
  <w:style w:type="character" w:customStyle="1" w:styleId="f">
    <w:name w:val="f"/>
    <w:rsid w:val="000952A0"/>
    <w:rPr>
      <w:rFonts w:cs="Times New Roman"/>
    </w:rPr>
  </w:style>
  <w:style w:type="table" w:customStyle="1" w:styleId="TableGrid3">
    <w:name w:val="Table Grid3"/>
    <w:rsid w:val="00FE73A1"/>
    <w:rPr>
      <w:rFonts w:eastAsia="Times New Roman"/>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Table3-Accent121">
    <w:name w:val="List Table 3 - Accent 121"/>
    <w:rsid w:val="00CD6367"/>
    <w:rPr>
      <w:rFonts w:ascii="Calibri" w:eastAsia="Times New Roman" w:hAnsi="Calibri" w:cs="Times New Roman"/>
      <w:sz w:val="22"/>
      <w:szCs w:val="22"/>
      <w:lang w:val="bg-BG" w:eastAsia="bg-BG"/>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108" w:type="dxa"/>
        <w:bottom w:w="0" w:type="dxa"/>
        <w:right w:w="108" w:type="dxa"/>
      </w:tblCellMar>
    </w:tblPr>
  </w:style>
  <w:style w:type="character" w:customStyle="1" w:styleId="UnresolvedMention11">
    <w:name w:val="Unresolved Mention11"/>
    <w:semiHidden/>
    <w:rsid w:val="00CD6367"/>
    <w:rPr>
      <w:rFonts w:cs="Times New Roman"/>
      <w:color w:val="808080"/>
      <w:shd w:val="clear" w:color="auto" w:fill="E6E6E6"/>
    </w:rPr>
  </w:style>
  <w:style w:type="character" w:customStyle="1" w:styleId="Mention3">
    <w:name w:val="Mention3"/>
    <w:semiHidden/>
    <w:rsid w:val="00CD6367"/>
    <w:rPr>
      <w:rFonts w:cs="Times New Roman"/>
      <w:color w:val="2B579A"/>
      <w:shd w:val="clear" w:color="auto" w:fill="E6E6E6"/>
    </w:rPr>
  </w:style>
  <w:style w:type="character" w:customStyle="1" w:styleId="UnresolvedMention2">
    <w:name w:val="Unresolved Mention2"/>
    <w:semiHidden/>
    <w:rsid w:val="00CD6367"/>
    <w:rPr>
      <w:rFonts w:cs="Times New Roman"/>
      <w:color w:val="808080"/>
      <w:shd w:val="clear" w:color="auto" w:fill="E6E6E6"/>
    </w:rPr>
  </w:style>
  <w:style w:type="table" w:customStyle="1" w:styleId="ListTable3-Accent51">
    <w:name w:val="List Table 3 - Accent 51"/>
    <w:rsid w:val="00AE0176"/>
    <w:rPr>
      <w:rFonts w:ascii="Calibri" w:eastAsia="Times New Roman" w:hAnsi="Calibri" w:cs="Times New Roman"/>
      <w:sz w:val="22"/>
      <w:szCs w:val="22"/>
      <w:lang w:val="bg-BG" w:eastAsia="bg-BG"/>
    </w:rPr>
    <w:tblPr>
      <w:tblStyleRowBandSize w:val="1"/>
      <w:tblStyleColBandSize w:val="1"/>
      <w:tblInd w:w="0" w:type="dxa"/>
      <w:tblBorders>
        <w:top w:val="single" w:sz="4" w:space="0" w:color="4472C4"/>
        <w:left w:val="single" w:sz="4" w:space="0" w:color="4472C4"/>
        <w:bottom w:val="single" w:sz="4" w:space="0" w:color="4472C4"/>
        <w:right w:val="single" w:sz="4" w:space="0" w:color="4472C4"/>
      </w:tblBorders>
      <w:tblCellMar>
        <w:top w:w="0" w:type="dxa"/>
        <w:left w:w="108" w:type="dxa"/>
        <w:bottom w:w="0" w:type="dxa"/>
        <w:right w:w="108" w:type="dxa"/>
      </w:tblCellMar>
    </w:tblPr>
  </w:style>
  <w:style w:type="table" w:customStyle="1" w:styleId="TableGrid41">
    <w:name w:val="Table Grid41"/>
    <w:rsid w:val="00FF27EC"/>
    <w:rPr>
      <w:rFonts w:eastAsia="Times New Roman"/>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rsid w:val="00FF27EC"/>
    <w:rPr>
      <w:rFonts w:eastAsia="Times New Roman"/>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Table3-Accent112">
    <w:name w:val="List Table 3 - Accent 112"/>
    <w:rsid w:val="00FF27EC"/>
    <w:pPr>
      <w:spacing w:before="120"/>
      <w:jc w:val="both"/>
    </w:pPr>
    <w:rPr>
      <w:rFonts w:ascii="Times New Roman" w:eastAsia="Times New Roman" w:hAnsi="Times New Roman" w:cs="Times New Roman"/>
      <w:sz w:val="23"/>
      <w:szCs w:val="23"/>
      <w:lang w:eastAsia="bg-BG"/>
    </w:rPr>
    <w:tblPr>
      <w:tblStyleRowBandSize w:val="1"/>
      <w:tblStyleColBandSize w:val="1"/>
      <w:tblInd w:w="0" w:type="dxa"/>
      <w:tblBorders>
        <w:top w:val="single" w:sz="4" w:space="0" w:color="5B9BD5"/>
        <w:left w:val="single" w:sz="4" w:space="0" w:color="5B9BD5"/>
        <w:bottom w:val="single" w:sz="4" w:space="0" w:color="5B9BD5"/>
        <w:right w:val="single" w:sz="4" w:space="0" w:color="5B9BD5"/>
      </w:tblBorders>
      <w:tblCellMar>
        <w:top w:w="0" w:type="dxa"/>
        <w:left w:w="108" w:type="dxa"/>
        <w:bottom w:w="0" w:type="dxa"/>
        <w:right w:w="108" w:type="dxa"/>
      </w:tblCellMar>
    </w:tblPr>
  </w:style>
  <w:style w:type="table" w:customStyle="1" w:styleId="ListTable3-Accent122">
    <w:name w:val="List Table 3 - Accent 122"/>
    <w:rsid w:val="00FF27EC"/>
    <w:rPr>
      <w:rFonts w:eastAsia="Times New Roman"/>
      <w:lang w:val="bg-BG" w:eastAsia="bg-BG"/>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108" w:type="dxa"/>
        <w:bottom w:w="0" w:type="dxa"/>
        <w:right w:w="108" w:type="dxa"/>
      </w:tblCellMar>
    </w:tblPr>
  </w:style>
  <w:style w:type="table" w:customStyle="1" w:styleId="TableGrid12">
    <w:name w:val="Table Grid12"/>
    <w:rsid w:val="00FF27EC"/>
    <w:rPr>
      <w:rFonts w:ascii="Calibri" w:eastAsia="Times New Roman" w:hAnsi="Calibri" w:cs="Times New Roman"/>
      <w:sz w:val="22"/>
      <w:szCs w:val="22"/>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ibliography">
    <w:name w:val="Bibliography"/>
    <w:basedOn w:val="Normal"/>
    <w:next w:val="Normal"/>
    <w:rsid w:val="00FF27EC"/>
    <w:pPr>
      <w:spacing w:after="160" w:line="259" w:lineRule="auto"/>
    </w:pPr>
    <w:rPr>
      <w:rFonts w:ascii="Calibri" w:eastAsia="Arial Unicode MS" w:hAnsi="Calibri"/>
      <w:sz w:val="22"/>
      <w:lang w:val="en-US"/>
    </w:rPr>
  </w:style>
  <w:style w:type="table" w:customStyle="1" w:styleId="TableGridLight1">
    <w:name w:val="Table Grid Light1"/>
    <w:rsid w:val="00FF27EC"/>
    <w:rPr>
      <w:rFonts w:ascii="Calibri" w:eastAsia="Times New Roman" w:hAnsi="Calibri" w:cs="Arial"/>
      <w:sz w:val="22"/>
      <w:szCs w:val="22"/>
      <w:lang w:val="bg-BG" w:eastAsia="bg-BG"/>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customStyle="1" w:styleId="1">
    <w:name w:val="Списък на абзаци1"/>
    <w:basedOn w:val="Normal"/>
    <w:rsid w:val="00FF27EC"/>
    <w:pPr>
      <w:widowControl w:val="0"/>
      <w:autoSpaceDE w:val="0"/>
      <w:autoSpaceDN w:val="0"/>
      <w:adjustRightInd w:val="0"/>
      <w:spacing w:after="0"/>
    </w:pPr>
    <w:rPr>
      <w:rFonts w:ascii="Times New Roman" w:eastAsia="Arial Unicode MS" w:hAnsi="Times New Roman"/>
      <w:szCs w:val="24"/>
      <w:lang w:val="en-US"/>
    </w:rPr>
  </w:style>
  <w:style w:type="character" w:styleId="PlaceholderText">
    <w:name w:val="Placeholder Text"/>
    <w:semiHidden/>
    <w:rsid w:val="00FF27EC"/>
    <w:rPr>
      <w:rFonts w:cs="Times New Roman"/>
      <w:color w:val="808080"/>
    </w:rPr>
  </w:style>
  <w:style w:type="paragraph" w:customStyle="1" w:styleId="BulletsNew">
    <w:name w:val="Bullets New"/>
    <w:basedOn w:val="ListParagraph1"/>
    <w:link w:val="BulletsNewChar"/>
    <w:autoRedefine/>
    <w:rsid w:val="00FF27EC"/>
    <w:pPr>
      <w:numPr>
        <w:ilvl w:val="1"/>
        <w:numId w:val="49"/>
      </w:numPr>
      <w:spacing w:before="120"/>
      <w:ind w:left="1080"/>
      <w:contextualSpacing w:val="0"/>
      <w:jc w:val="both"/>
    </w:pPr>
    <w:rPr>
      <w:rFonts w:ascii="Times New Roman" w:hAnsi="Times New Roman"/>
      <w:sz w:val="20"/>
      <w:szCs w:val="22"/>
      <w:lang w:val="en-US"/>
    </w:rPr>
  </w:style>
  <w:style w:type="character" w:customStyle="1" w:styleId="BulletsNewChar">
    <w:name w:val="Bullets New Char"/>
    <w:link w:val="BulletsNew"/>
    <w:locked/>
    <w:rsid w:val="00FF27EC"/>
    <w:rPr>
      <w:rFonts w:ascii="Times New Roman" w:eastAsia="Times New Roman" w:hAnsi="Times New Roman" w:cs="Times New Roman"/>
      <w:szCs w:val="22"/>
      <w:lang w:eastAsia="x-none"/>
    </w:rPr>
  </w:style>
  <w:style w:type="paragraph" w:customStyle="1" w:styleId="ORObservation">
    <w:name w:val="OR Observation"/>
    <w:basedOn w:val="Normal"/>
    <w:rsid w:val="00FF27EC"/>
    <w:pPr>
      <w:numPr>
        <w:ilvl w:val="1"/>
        <w:numId w:val="50"/>
      </w:numPr>
      <w:spacing w:after="240"/>
    </w:pPr>
    <w:rPr>
      <w:rFonts w:ascii="Times New Roman" w:eastAsia="Arial Unicode MS" w:hAnsi="Times New Roman"/>
      <w:sz w:val="24"/>
      <w:szCs w:val="20"/>
      <w:lang w:val="en-GB"/>
    </w:rPr>
  </w:style>
  <w:style w:type="paragraph" w:styleId="ListNumber">
    <w:name w:val="List Number"/>
    <w:basedOn w:val="BodyText"/>
    <w:rsid w:val="00FF27EC"/>
    <w:pPr>
      <w:widowControl/>
      <w:numPr>
        <w:numId w:val="51"/>
      </w:numPr>
      <w:autoSpaceDE/>
      <w:autoSpaceDN/>
      <w:adjustRightInd/>
      <w:spacing w:after="270" w:line="270" w:lineRule="atLeast"/>
    </w:pPr>
    <w:rPr>
      <w:rFonts w:eastAsia="Arial Unicode MS"/>
      <w:sz w:val="23"/>
      <w:szCs w:val="20"/>
      <w:lang w:val="en-GB" w:eastAsia="da-DK"/>
    </w:rPr>
  </w:style>
  <w:style w:type="paragraph" w:styleId="ListNumber2">
    <w:name w:val="List Number 2"/>
    <w:basedOn w:val="ListNumber"/>
    <w:rsid w:val="00FF27EC"/>
    <w:pPr>
      <w:numPr>
        <w:ilvl w:val="1"/>
      </w:numPr>
    </w:pPr>
  </w:style>
  <w:style w:type="paragraph" w:customStyle="1" w:styleId="FrontPage1">
    <w:name w:val="FrontPage1"/>
    <w:basedOn w:val="Normal"/>
    <w:next w:val="BodyText"/>
    <w:rsid w:val="00FF27EC"/>
    <w:pPr>
      <w:suppressAutoHyphens/>
      <w:spacing w:after="160" w:line="320" w:lineRule="exact"/>
    </w:pPr>
    <w:rPr>
      <w:rFonts w:eastAsia="Arial Unicode MS" w:cs="Arial"/>
      <w:sz w:val="28"/>
      <w:szCs w:val="20"/>
      <w:lang w:val="en-GB" w:eastAsia="da-DK"/>
    </w:rPr>
  </w:style>
  <w:style w:type="paragraph" w:styleId="ListNumber3">
    <w:name w:val="List Number 3"/>
    <w:basedOn w:val="ListNumber2"/>
    <w:rsid w:val="00FF27EC"/>
    <w:pPr>
      <w:numPr>
        <w:ilvl w:val="2"/>
      </w:numPr>
      <w:tabs>
        <w:tab w:val="left" w:pos="1276"/>
      </w:tabs>
      <w:ind w:left="2160" w:firstLine="0"/>
    </w:pPr>
  </w:style>
  <w:style w:type="paragraph" w:customStyle="1" w:styleId="figure0">
    <w:name w:val="figure"/>
    <w:basedOn w:val="Normal"/>
    <w:autoRedefine/>
    <w:rsid w:val="00FF27EC"/>
    <w:pPr>
      <w:spacing w:after="60"/>
      <w:jc w:val="center"/>
    </w:pPr>
    <w:rPr>
      <w:noProof/>
      <w:lang w:val="en-US"/>
    </w:rPr>
  </w:style>
  <w:style w:type="table" w:customStyle="1" w:styleId="TableGridLight11">
    <w:name w:val="Table Grid Light11"/>
    <w:rsid w:val="00FF27EC"/>
    <w:rPr>
      <w:rFonts w:ascii="Calibri" w:eastAsia="Times New Roman" w:hAnsi="Calibri" w:cs="Times New Roman"/>
      <w:sz w:val="22"/>
      <w:szCs w:val="22"/>
      <w:lang w:val="bg-BG" w:eastAsia="bg-BG"/>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TableGrid21">
    <w:name w:val="Table Grid21"/>
    <w:rsid w:val="00FF27EC"/>
    <w:rPr>
      <w:rFonts w:ascii="Calibri" w:eastAsia="Times New Roman" w:hAnsi="Calibri" w:cs="Times New Roman"/>
      <w:sz w:val="22"/>
      <w:szCs w:val="22"/>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lt-edited">
    <w:name w:val="alt-edited"/>
    <w:rsid w:val="00FF27EC"/>
    <w:rPr>
      <w:rFonts w:cs="Times New Roman"/>
    </w:rPr>
  </w:style>
  <w:style w:type="table" w:customStyle="1" w:styleId="TableGrid31">
    <w:name w:val="Table Grid31"/>
    <w:rsid w:val="00FF27EC"/>
    <w:pPr>
      <w:spacing w:before="100"/>
    </w:pPr>
    <w:rPr>
      <w:rFonts w:ascii="Calibri" w:hAnsi="Calibri" w:cs="Arial"/>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7">
    <w:name w:val="A7"/>
    <w:rsid w:val="00FF27EC"/>
    <w:rPr>
      <w:color w:val="000000"/>
      <w:sz w:val="10"/>
    </w:rPr>
  </w:style>
  <w:style w:type="paragraph" w:customStyle="1" w:styleId="Pa9">
    <w:name w:val="Pa9"/>
    <w:basedOn w:val="Default"/>
    <w:next w:val="Default"/>
    <w:rsid w:val="00FF27EC"/>
    <w:pPr>
      <w:spacing w:line="181" w:lineRule="atLeast"/>
    </w:pPr>
    <w:rPr>
      <w:rFonts w:ascii="TradeGothic CondEighteen" w:hAnsi="TradeGothic CondEighteen" w:cs="Arial Unicode MS"/>
      <w:color w:val="auto"/>
      <w:lang w:val="en-US"/>
    </w:rPr>
  </w:style>
  <w:style w:type="paragraph" w:customStyle="1" w:styleId="Numpara">
    <w:name w:val="Num_para"/>
    <w:basedOn w:val="Normal"/>
    <w:rsid w:val="00FF27EC"/>
    <w:pPr>
      <w:numPr>
        <w:numId w:val="52"/>
      </w:numPr>
      <w:spacing w:before="60" w:after="60"/>
      <w:jc w:val="both"/>
    </w:pPr>
    <w:rPr>
      <w:rFonts w:ascii="Calibri" w:hAnsi="Calibri" w:cs="Arial"/>
      <w:sz w:val="22"/>
      <w:szCs w:val="24"/>
      <w:lang w:val="en-GB"/>
    </w:rPr>
  </w:style>
  <w:style w:type="paragraph" w:customStyle="1" w:styleId="SRCharCharCharCharCharZnakCharCharCharCharZnak">
    <w:name w:val="SR Char Char Char Char Char Znak Char Char Char Char Znak"/>
    <w:basedOn w:val="Normal"/>
    <w:next w:val="Heading1"/>
    <w:autoRedefine/>
    <w:rsid w:val="00FF27EC"/>
    <w:pPr>
      <w:spacing w:after="160" w:line="240" w:lineRule="exact"/>
    </w:pPr>
    <w:rPr>
      <w:rFonts w:ascii="Times New Roman" w:eastAsia="Arial Unicode MS" w:hAnsi="Times New Roman"/>
      <w:sz w:val="22"/>
      <w:szCs w:val="20"/>
      <w:lang w:val="en-US"/>
    </w:rPr>
  </w:style>
  <w:style w:type="table" w:customStyle="1" w:styleId="LightList-Accent51">
    <w:name w:val="Light List - Accent 51"/>
    <w:rsid w:val="00FF27EC"/>
    <w:rPr>
      <w:rFonts w:eastAsia="Times New Roman"/>
      <w:lang w:val="bg-BG" w:eastAsia="bg-BG"/>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style>
  <w:style w:type="table" w:customStyle="1" w:styleId="LightList-Accent11">
    <w:name w:val="Light List - Accent 11"/>
    <w:rsid w:val="00FF27EC"/>
    <w:rPr>
      <w:rFonts w:eastAsia="Times New Roman"/>
      <w:lang w:val="bg-BG" w:eastAsia="bg-BG"/>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customStyle="1" w:styleId="MediumShading1-Accent11">
    <w:name w:val="Medium Shading 1 - Accent 11"/>
    <w:rsid w:val="00FF27EC"/>
    <w:rPr>
      <w:rFonts w:eastAsia="Times New Roman"/>
      <w:lang w:val="bg-BG" w:eastAsia="bg-BG"/>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table" w:customStyle="1" w:styleId="LightShading-Accent11">
    <w:name w:val="Light Shading - Accent 11"/>
    <w:rsid w:val="00FF27EC"/>
    <w:rPr>
      <w:rFonts w:eastAsia="Times New Roman"/>
      <w:color w:val="365F91"/>
      <w:lang w:val="bg-BG" w:eastAsia="bg-BG"/>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paragraph" w:customStyle="1" w:styleId="CowiClient">
    <w:name w:val="CowiClient"/>
    <w:basedOn w:val="FrontPage1"/>
    <w:next w:val="BlockText"/>
    <w:rsid w:val="00FF27EC"/>
    <w:rPr>
      <w:szCs w:val="28"/>
    </w:rPr>
  </w:style>
  <w:style w:type="paragraph" w:customStyle="1" w:styleId="FrontPage3">
    <w:name w:val="FrontPage3"/>
    <w:basedOn w:val="FrontPage1"/>
    <w:next w:val="BlockText"/>
    <w:rsid w:val="00FF27EC"/>
    <w:pPr>
      <w:spacing w:before="160" w:after="0"/>
    </w:pPr>
    <w:rPr>
      <w:sz w:val="20"/>
    </w:rPr>
  </w:style>
  <w:style w:type="paragraph" w:customStyle="1" w:styleId="BlockText1">
    <w:name w:val="Block Text1"/>
    <w:basedOn w:val="Normal"/>
    <w:next w:val="BlockText"/>
    <w:semiHidden/>
    <w:rsid w:val="00FF27EC"/>
    <w:pPr>
      <w:pBdr>
        <w:top w:val="single" w:sz="2" w:space="10" w:color="4F81BD" w:shadow="1"/>
        <w:left w:val="single" w:sz="2" w:space="10" w:color="4F81BD" w:shadow="1"/>
        <w:bottom w:val="single" w:sz="2" w:space="10" w:color="4F81BD" w:shadow="1"/>
        <w:right w:val="single" w:sz="2" w:space="10" w:color="4F81BD" w:shadow="1"/>
      </w:pBdr>
      <w:spacing w:after="120"/>
      <w:ind w:left="1152" w:right="1152"/>
    </w:pPr>
    <w:rPr>
      <w:rFonts w:ascii="Calibri" w:eastAsia="Arial Unicode MS" w:hAnsi="Calibri" w:cs="Arial"/>
      <w:i/>
      <w:iCs/>
      <w:color w:val="4F81BD"/>
    </w:rPr>
  </w:style>
  <w:style w:type="table" w:customStyle="1" w:styleId="GridTable5Dark-Accent11">
    <w:name w:val="Grid Table 5 Dark - Accent 11"/>
    <w:rsid w:val="00FF27EC"/>
    <w:rPr>
      <w:rFonts w:eastAsia="Times New Roman"/>
      <w:lang w:val="bg-BG" w:eastAsia="bg-BG"/>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BE5F1"/>
    </w:tcPr>
  </w:style>
  <w:style w:type="table" w:customStyle="1" w:styleId="GridTable4-Accent11">
    <w:name w:val="Grid Table 4 - Accent 11"/>
    <w:rsid w:val="00FF27EC"/>
    <w:rPr>
      <w:rFonts w:eastAsia="Times New Roman"/>
      <w:lang w:val="bg-BG" w:eastAsia="bg-BG"/>
    </w:r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style>
  <w:style w:type="character" w:customStyle="1" w:styleId="apple-style-span">
    <w:name w:val="apple-style-span"/>
    <w:rsid w:val="00FF27EC"/>
    <w:rPr>
      <w:rFonts w:cs="Times New Roman"/>
    </w:rPr>
  </w:style>
  <w:style w:type="paragraph" w:customStyle="1" w:styleId="doc-ti">
    <w:name w:val="doc-ti"/>
    <w:basedOn w:val="Normal"/>
    <w:rsid w:val="00FF27EC"/>
    <w:pPr>
      <w:spacing w:before="100" w:beforeAutospacing="1" w:after="100" w:afterAutospacing="1"/>
    </w:pPr>
    <w:rPr>
      <w:rFonts w:ascii="Times New Roman" w:eastAsia="Arial Unicode MS" w:hAnsi="Times New Roman"/>
      <w:sz w:val="24"/>
      <w:szCs w:val="24"/>
      <w:lang w:eastAsia="bg-BG"/>
    </w:rPr>
  </w:style>
  <w:style w:type="paragraph" w:customStyle="1" w:styleId="EndNoteBibliographyTitle">
    <w:name w:val="EndNote Bibliography Title"/>
    <w:basedOn w:val="Normal"/>
    <w:link w:val="EndNoteBibliographyTitleChar"/>
    <w:rsid w:val="00FF27EC"/>
    <w:pPr>
      <w:framePr w:hSpace="180" w:wrap="around" w:vAnchor="page" w:hAnchor="margin" w:y="1621"/>
      <w:spacing w:after="0" w:line="259" w:lineRule="auto"/>
      <w:jc w:val="center"/>
    </w:pPr>
    <w:rPr>
      <w:rFonts w:ascii="Calibri" w:hAnsi="Calibri"/>
      <w:noProof/>
      <w:sz w:val="22"/>
      <w:lang w:val="en-US" w:eastAsia="x-none"/>
    </w:rPr>
  </w:style>
  <w:style w:type="character" w:customStyle="1" w:styleId="EndNoteBibliographyTitleChar">
    <w:name w:val="EndNote Bibliography Title Char"/>
    <w:link w:val="EndNoteBibliographyTitle"/>
    <w:locked/>
    <w:rsid w:val="00FF27EC"/>
    <w:rPr>
      <w:rFonts w:ascii="Calibri" w:eastAsia="Times New Roman" w:hAnsi="Calibri" w:cs="Arial"/>
      <w:noProof/>
      <w:sz w:val="22"/>
      <w:szCs w:val="22"/>
      <w:lang w:val="en-US"/>
    </w:rPr>
  </w:style>
  <w:style w:type="paragraph" w:customStyle="1" w:styleId="EndNoteBibliography">
    <w:name w:val="EndNote Bibliography"/>
    <w:basedOn w:val="Normal"/>
    <w:link w:val="EndNoteBibliographyChar"/>
    <w:rsid w:val="00FF27EC"/>
    <w:pPr>
      <w:framePr w:hSpace="180" w:wrap="around" w:vAnchor="page" w:hAnchor="margin" w:y="1621"/>
      <w:spacing w:after="160"/>
    </w:pPr>
    <w:rPr>
      <w:rFonts w:ascii="Calibri" w:hAnsi="Calibri"/>
      <w:noProof/>
      <w:sz w:val="22"/>
      <w:lang w:val="en-US" w:eastAsia="x-none"/>
    </w:rPr>
  </w:style>
  <w:style w:type="character" w:customStyle="1" w:styleId="EndNoteBibliographyChar">
    <w:name w:val="EndNote Bibliography Char"/>
    <w:link w:val="EndNoteBibliography"/>
    <w:locked/>
    <w:rsid w:val="00FF27EC"/>
    <w:rPr>
      <w:rFonts w:ascii="Calibri" w:eastAsia="Times New Roman" w:hAnsi="Calibri" w:cs="Arial"/>
      <w:noProof/>
      <w:sz w:val="22"/>
      <w:szCs w:val="22"/>
      <w:lang w:val="en-US"/>
    </w:rPr>
  </w:style>
  <w:style w:type="table" w:customStyle="1" w:styleId="GridTable5Dark-Accent12">
    <w:name w:val="Grid Table 5 Dark - Accent 12"/>
    <w:rsid w:val="00FF27EC"/>
    <w:rPr>
      <w:rFonts w:eastAsia="Times New Roman"/>
      <w:lang w:val="bg-BG" w:eastAsia="bg-BG"/>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BE5F1"/>
    </w:tcPr>
  </w:style>
  <w:style w:type="table" w:customStyle="1" w:styleId="ListTable4-Accent21">
    <w:name w:val="List Table 4 - Accent 21"/>
    <w:rsid w:val="00FF27EC"/>
    <w:rPr>
      <w:rFonts w:ascii="Calibri" w:eastAsia="Times New Roman" w:hAnsi="Calibri" w:cs="Arial"/>
      <w:sz w:val="22"/>
      <w:szCs w:val="22"/>
      <w:lang w:eastAsia="bg-BG"/>
    </w:rPr>
    <w:tblPr>
      <w:tblStyleRowBandSize w:val="1"/>
      <w:tblStyleColBandSize w:val="1"/>
      <w:tblInd w:w="0" w:type="dxa"/>
      <w:tblBorders>
        <w:top w:val="single" w:sz="4" w:space="0" w:color="D99594"/>
        <w:left w:val="single" w:sz="4" w:space="0" w:color="D99594"/>
        <w:bottom w:val="single" w:sz="4" w:space="0" w:color="D99594"/>
        <w:right w:val="single" w:sz="4" w:space="0" w:color="D99594"/>
        <w:insideH w:val="single" w:sz="4" w:space="0" w:color="D99594"/>
      </w:tblBorders>
      <w:tblCellMar>
        <w:top w:w="0" w:type="dxa"/>
        <w:left w:w="108" w:type="dxa"/>
        <w:bottom w:w="0" w:type="dxa"/>
        <w:right w:w="108" w:type="dxa"/>
      </w:tblCellMar>
    </w:tblPr>
  </w:style>
  <w:style w:type="table" w:customStyle="1" w:styleId="GridTable4-Accent21">
    <w:name w:val="Grid Table 4 - Accent 21"/>
    <w:rsid w:val="00FF27EC"/>
    <w:rPr>
      <w:rFonts w:ascii="Calibri" w:eastAsia="Times New Roman" w:hAnsi="Calibri" w:cs="Arial"/>
      <w:sz w:val="22"/>
      <w:szCs w:val="22"/>
      <w:lang w:eastAsia="bg-BG"/>
    </w:rPr>
    <w:tblPr>
      <w:tblStyleRowBandSize w:val="1"/>
      <w:tblStyleColBandSize w:val="1"/>
      <w:tblInd w:w="0" w:type="dxa"/>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CellMar>
        <w:top w:w="0" w:type="dxa"/>
        <w:left w:w="108" w:type="dxa"/>
        <w:bottom w:w="0" w:type="dxa"/>
        <w:right w:w="108" w:type="dxa"/>
      </w:tblCellMar>
    </w:tblPr>
  </w:style>
  <w:style w:type="table" w:customStyle="1" w:styleId="GridTable4-Accent12">
    <w:name w:val="Grid Table 4 - Accent 12"/>
    <w:rsid w:val="00FF27EC"/>
    <w:rPr>
      <w:rFonts w:eastAsia="Times New Roman"/>
      <w:lang w:val="bg-BG" w:eastAsia="bg-BG"/>
    </w:r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style>
  <w:style w:type="table" w:customStyle="1" w:styleId="TableGrid42">
    <w:name w:val="Table Grid42"/>
    <w:rsid w:val="00FF27EC"/>
    <w:rPr>
      <w:rFonts w:eastAsia="Times New Roman"/>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
    <w:name w:val="Table Grid411"/>
    <w:rsid w:val="00FF27EC"/>
    <w:rPr>
      <w:rFonts w:eastAsia="Times New Roman"/>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2">
    <w:name w:val="Table Grid412"/>
    <w:rsid w:val="00FF27EC"/>
    <w:rPr>
      <w:rFonts w:eastAsia="Times New Roman"/>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3">
    <w:name w:val="Unresolved Mention3"/>
    <w:semiHidden/>
    <w:rsid w:val="00FF27EC"/>
    <w:rPr>
      <w:rFonts w:cs="Times New Roman"/>
      <w:color w:val="808080"/>
      <w:shd w:val="clear" w:color="auto" w:fill="E6E6E6"/>
    </w:rPr>
  </w:style>
  <w:style w:type="table" w:customStyle="1" w:styleId="LightList-Accent52">
    <w:name w:val="Light List - Accent 52"/>
    <w:rsid w:val="00FF27EC"/>
    <w:rPr>
      <w:rFonts w:eastAsia="Times New Roman"/>
      <w:lang w:val="bg-BG" w:eastAsia="bg-BG"/>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style>
  <w:style w:type="paragraph" w:styleId="BlockText">
    <w:name w:val="Block Text"/>
    <w:basedOn w:val="Normal"/>
    <w:semiHidden/>
    <w:rsid w:val="00FF27EC"/>
    <w:pPr>
      <w:pBdr>
        <w:top w:val="single" w:sz="2" w:space="10" w:color="4F81BD"/>
        <w:left w:val="single" w:sz="2" w:space="10" w:color="4F81BD"/>
        <w:bottom w:val="single" w:sz="2" w:space="10" w:color="4F81BD"/>
        <w:right w:val="single" w:sz="2" w:space="10" w:color="4F81BD"/>
      </w:pBdr>
      <w:ind w:left="1152" w:right="1152"/>
    </w:pPr>
    <w:rPr>
      <w:rFonts w:ascii="Calibri" w:eastAsia="MS Mincho" w:hAnsi="Calibri" w:cs="Arial"/>
      <w:i/>
      <w:iCs/>
      <w:color w:val="4F81BD"/>
    </w:rPr>
  </w:style>
  <w:style w:type="character" w:customStyle="1" w:styleId="UnresolvedMention4">
    <w:name w:val="Unresolved Mention4"/>
    <w:semiHidden/>
    <w:rsid w:val="00045F19"/>
    <w:rPr>
      <w:rFonts w:cs="Times New Roman"/>
      <w:color w:val="808080"/>
      <w:shd w:val="clear" w:color="auto" w:fill="E6E6E6"/>
    </w:rPr>
  </w:style>
  <w:style w:type="character" w:customStyle="1" w:styleId="UnresolvedMention5">
    <w:name w:val="Unresolved Mention5"/>
    <w:semiHidden/>
    <w:rsid w:val="00586A53"/>
    <w:rPr>
      <w:rFonts w:cs="Times New Roman"/>
      <w:color w:val="808080"/>
      <w:shd w:val="clear" w:color="auto" w:fill="E6E6E6"/>
    </w:rPr>
  </w:style>
  <w:style w:type="numbering" w:customStyle="1" w:styleId="Style1">
    <w:name w:val="Style1"/>
    <w:rsid w:val="001B4895"/>
    <w:pPr>
      <w:numPr>
        <w:numId w:val="53"/>
      </w:numPr>
    </w:pPr>
  </w:style>
  <w:style w:type="character" w:customStyle="1" w:styleId="UnresolvedMention6">
    <w:name w:val="Unresolved Mention6"/>
    <w:basedOn w:val="DefaultParagraphFont"/>
    <w:uiPriority w:val="99"/>
    <w:semiHidden/>
    <w:unhideWhenUsed/>
    <w:rsid w:val="004E6834"/>
    <w:rPr>
      <w:color w:val="808080"/>
      <w:shd w:val="clear" w:color="auto" w:fill="E6E6E6"/>
    </w:rPr>
  </w:style>
  <w:style w:type="paragraph" w:styleId="ListParagraph">
    <w:name w:val="List Paragraph"/>
    <w:basedOn w:val="Normal"/>
    <w:uiPriority w:val="34"/>
    <w:qFormat/>
    <w:rsid w:val="00DD63A4"/>
    <w:pPr>
      <w:ind w:left="720"/>
      <w:contextualSpacing/>
    </w:pPr>
  </w:style>
  <w:style w:type="character" w:customStyle="1" w:styleId="UnresolvedMention">
    <w:name w:val="Unresolved Mention"/>
    <w:basedOn w:val="DefaultParagraphFont"/>
    <w:uiPriority w:val="99"/>
    <w:semiHidden/>
    <w:unhideWhenUsed/>
    <w:rsid w:val="000614A3"/>
    <w:rPr>
      <w:color w:val="808080"/>
      <w:shd w:val="clear" w:color="auto" w:fill="E6E6E6"/>
    </w:rPr>
  </w:style>
  <w:style w:type="paragraph" w:customStyle="1" w:styleId="FiguresTablesCaption">
    <w:name w:val="Figures &amp; Tables Caption"/>
    <w:basedOn w:val="Normal"/>
    <w:link w:val="FiguresTablesCaptionChar"/>
    <w:qFormat/>
    <w:rsid w:val="00DD29F3"/>
    <w:pPr>
      <w:keepNext/>
      <w:spacing w:before="200" w:after="120"/>
      <w:jc w:val="center"/>
    </w:pPr>
    <w:rPr>
      <w:rFonts w:ascii="Calibri" w:hAnsi="Calibri"/>
      <w:b/>
      <w:i/>
      <w:iCs/>
      <w:color w:val="44546A"/>
      <w:sz w:val="22"/>
      <w:szCs w:val="18"/>
      <w:lang w:eastAsia="bg-BG"/>
    </w:rPr>
  </w:style>
  <w:style w:type="character" w:customStyle="1" w:styleId="FiguresTablesCaptionChar">
    <w:name w:val="Figures &amp; Tables Caption Char"/>
    <w:basedOn w:val="DefaultParagraphFont"/>
    <w:link w:val="FiguresTablesCaption"/>
    <w:rsid w:val="00DD29F3"/>
    <w:rPr>
      <w:rFonts w:ascii="Calibri" w:eastAsia="Times New Roman" w:hAnsi="Calibri" w:cs="Times New Roman"/>
      <w:b/>
      <w:i/>
      <w:iCs/>
      <w:color w:val="44546A"/>
      <w:sz w:val="22"/>
      <w:szCs w:val="18"/>
      <w:lang w:val="bg-BG" w:eastAsia="bg-BG"/>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Unicode MS" w:eastAsia="Arial Unicode MS" w:hAnsi="Arial Unicode MS" w:cs="Arial Unicode MS"/>
        <w:lang w:val="en-US" w:eastAsia="en-US"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semiHidden="0" w:uiPriority="9" w:unhideWhenUsed="0" w:qFormat="1"/>
    <w:lsdException w:name="heading 5" w:locked="1" w:semiHidden="0" w:unhideWhenUsed="0" w:qFormat="1"/>
    <w:lsdException w:name="heading 6" w:locked="1" w:semiHidden="0" w:unhideWhenUsed="0" w:qFormat="1"/>
    <w:lsdException w:name="heading 7" w:locked="1" w:qFormat="1"/>
    <w:lsdException w:name="heading 8" w:locked="1" w:qFormat="1"/>
    <w:lsdException w:name="heading 9" w:locked="1" w:qFormat="1"/>
    <w:lsdException w:name="toc 1" w:locked="1" w:uiPriority="39" w:qFormat="1"/>
    <w:lsdException w:name="toc 2" w:locked="1" w:uiPriority="39" w:qFormat="1"/>
    <w:lsdException w:name="toc 3" w:locked="1" w:uiPriority="39" w:qFormat="1"/>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locked="1"/>
    <w:lsdException w:name="footnote text" w:locked="1" w:uiPriority="99" w:qFormat="1"/>
    <w:lsdException w:name="caption" w:locked="1" w:uiPriority="35" w:qFormat="1"/>
    <w:lsdException w:name="table of figures" w:locked="1" w:uiPriority="99" w:qFormat="1"/>
    <w:lsdException w:name="footnote reference" w:locked="1" w:uiPriority="99" w:qFormat="1"/>
    <w:lsdException w:name="List Number" w:locked="1" w:semiHidden="0" w:unhideWhenUsed="0"/>
    <w:lsdException w:name="List 4" w:semiHidden="0" w:unhideWhenUsed="0"/>
    <w:lsdException w:name="List 5" w:semiHidden="0" w:unhideWhenUsed="0"/>
    <w:lsdException w:name="List Number 2" w:locked="1"/>
    <w:lsdException w:name="List Number 3" w:locked="1"/>
    <w:lsdException w:name="Title" w:locked="1" w:semiHidden="0" w:unhideWhenUsed="0" w:qFormat="1"/>
    <w:lsdException w:name="Default Paragraph Font" w:locked="1"/>
    <w:lsdException w:name="Body Text" w:locked="1"/>
    <w:lsdException w:name="Subtitle" w:locked="1"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locked="1" w:semiHidden="0" w:unhideWhenUsed="0" w:qFormat="1"/>
    <w:lsdException w:name="Emphasis" w:locked="1" w:semiHidden="0" w:unhideWhenUsed="0" w:qFormat="1"/>
    <w:lsdException w:name="No List" w:uiPriority="99"/>
    <w:lsdException w:name="Table Grid" w:locked="1"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721CB"/>
    <w:pPr>
      <w:spacing w:after="180"/>
    </w:pPr>
    <w:rPr>
      <w:rFonts w:ascii="Arial" w:eastAsia="Times New Roman" w:hAnsi="Arial" w:cs="Times New Roman"/>
      <w:szCs w:val="22"/>
      <w:lang w:val="bg-BG"/>
    </w:rPr>
  </w:style>
  <w:style w:type="paragraph" w:styleId="Heading1">
    <w:name w:val="heading 1"/>
    <w:aliases w:val="Heading 1 WB"/>
    <w:basedOn w:val="Normal"/>
    <w:next w:val="Normal"/>
    <w:link w:val="Heading1Char"/>
    <w:qFormat/>
    <w:rsid w:val="006A2E9E"/>
    <w:pPr>
      <w:keepNext/>
      <w:keepLines/>
      <w:spacing w:before="200" w:after="200"/>
      <w:outlineLvl w:val="0"/>
    </w:pPr>
    <w:rPr>
      <w:rFonts w:ascii="Calibri" w:eastAsia="MS Gothic" w:hAnsi="Calibri"/>
      <w:b/>
      <w:bCs/>
      <w:color w:val="365F91"/>
      <w:sz w:val="28"/>
      <w:szCs w:val="28"/>
      <w:lang w:val="x-none" w:eastAsia="x-none"/>
    </w:rPr>
  </w:style>
  <w:style w:type="paragraph" w:styleId="Heading2">
    <w:name w:val="heading 2"/>
    <w:aliases w:val="Heading 2 WB"/>
    <w:basedOn w:val="Normal"/>
    <w:next w:val="Normal"/>
    <w:link w:val="Heading2Char"/>
    <w:qFormat/>
    <w:rsid w:val="006A2E9E"/>
    <w:pPr>
      <w:widowControl w:val="0"/>
      <w:numPr>
        <w:ilvl w:val="1"/>
        <w:numId w:val="1"/>
      </w:numPr>
      <w:spacing w:before="200" w:after="60" w:line="264" w:lineRule="auto"/>
      <w:jc w:val="both"/>
      <w:outlineLvl w:val="1"/>
    </w:pPr>
    <w:rPr>
      <w:rFonts w:ascii="Calibri" w:eastAsia="Arial Unicode MS" w:hAnsi="Calibri"/>
      <w:b/>
      <w:color w:val="365F91"/>
      <w:sz w:val="28"/>
      <w:szCs w:val="26"/>
      <w:lang w:val="x-none" w:eastAsia="x-none"/>
    </w:rPr>
  </w:style>
  <w:style w:type="paragraph" w:styleId="Heading3">
    <w:name w:val="heading 3"/>
    <w:basedOn w:val="Normal"/>
    <w:next w:val="Normal"/>
    <w:link w:val="Heading3Char"/>
    <w:qFormat/>
    <w:rsid w:val="00896942"/>
    <w:pPr>
      <w:keepNext/>
      <w:keepLines/>
      <w:numPr>
        <w:ilvl w:val="2"/>
        <w:numId w:val="1"/>
      </w:numPr>
      <w:autoSpaceDE w:val="0"/>
      <w:autoSpaceDN w:val="0"/>
      <w:adjustRightInd w:val="0"/>
      <w:spacing w:before="60" w:after="60"/>
      <w:jc w:val="both"/>
      <w:outlineLvl w:val="2"/>
    </w:pPr>
    <w:rPr>
      <w:rFonts w:ascii="Calibri" w:eastAsia="MS Gothic" w:hAnsi="Calibri"/>
      <w:b/>
      <w:bCs/>
      <w:i/>
      <w:color w:val="4F81BD"/>
      <w:sz w:val="26"/>
      <w:lang w:val="x-none"/>
    </w:rPr>
  </w:style>
  <w:style w:type="paragraph" w:styleId="Heading4">
    <w:name w:val="heading 4"/>
    <w:aliases w:val="Heading 4 WB"/>
    <w:basedOn w:val="Normal"/>
    <w:next w:val="Normal"/>
    <w:link w:val="Heading4Char"/>
    <w:uiPriority w:val="9"/>
    <w:qFormat/>
    <w:rsid w:val="00491557"/>
    <w:pPr>
      <w:keepNext/>
      <w:keepLines/>
      <w:autoSpaceDE w:val="0"/>
      <w:autoSpaceDN w:val="0"/>
      <w:adjustRightInd w:val="0"/>
      <w:spacing w:before="60" w:after="60"/>
      <w:jc w:val="both"/>
      <w:outlineLvl w:val="3"/>
    </w:pPr>
    <w:rPr>
      <w:rFonts w:ascii="Calibri" w:hAnsi="Calibri"/>
      <w:bCs/>
      <w:i/>
      <w:iCs/>
      <w:color w:val="2F5496"/>
      <w:sz w:val="24"/>
      <w:szCs w:val="24"/>
      <w:lang w:val="en-US"/>
    </w:rPr>
  </w:style>
  <w:style w:type="paragraph" w:styleId="Heading5">
    <w:name w:val="heading 5"/>
    <w:basedOn w:val="Normal"/>
    <w:next w:val="Normal"/>
    <w:link w:val="Heading5Char"/>
    <w:qFormat/>
    <w:rsid w:val="00896942"/>
    <w:pPr>
      <w:keepNext/>
      <w:keepLines/>
      <w:spacing w:before="40" w:after="0"/>
      <w:outlineLvl w:val="4"/>
    </w:pPr>
    <w:rPr>
      <w:rFonts w:ascii="Cambria" w:eastAsia="MS Gothic" w:hAnsi="Cambria"/>
      <w:color w:val="365F91"/>
      <w:sz w:val="22"/>
      <w:lang w:val="x-none" w:eastAsia="x-none"/>
    </w:rPr>
  </w:style>
  <w:style w:type="paragraph" w:styleId="Heading6">
    <w:name w:val="heading 6"/>
    <w:basedOn w:val="Normal"/>
    <w:next w:val="Normal"/>
    <w:link w:val="Heading6Char"/>
    <w:qFormat/>
    <w:rsid w:val="006442E5"/>
    <w:pPr>
      <w:keepNext/>
      <w:keepLines/>
      <w:spacing w:before="40" w:after="160" w:line="259" w:lineRule="auto"/>
      <w:ind w:left="1152" w:hanging="1152"/>
      <w:jc w:val="both"/>
      <w:outlineLvl w:val="5"/>
    </w:pPr>
    <w:rPr>
      <w:rFonts w:ascii="Calibri Light" w:eastAsia="Arial Unicode MS" w:hAnsi="Calibri Light"/>
      <w:color w:val="1F4D78"/>
      <w:sz w:val="22"/>
      <w:lang w:eastAsia="x-none"/>
    </w:rPr>
  </w:style>
  <w:style w:type="paragraph" w:styleId="Heading7">
    <w:name w:val="heading 7"/>
    <w:basedOn w:val="Normal"/>
    <w:next w:val="Normal"/>
    <w:link w:val="Heading7Char"/>
    <w:qFormat/>
    <w:rsid w:val="006442E5"/>
    <w:pPr>
      <w:keepNext/>
      <w:keepLines/>
      <w:spacing w:before="40" w:after="160" w:line="259" w:lineRule="auto"/>
      <w:ind w:left="1296" w:hanging="1296"/>
      <w:jc w:val="both"/>
      <w:outlineLvl w:val="6"/>
    </w:pPr>
    <w:rPr>
      <w:rFonts w:ascii="Calibri Light" w:eastAsia="Arial Unicode MS" w:hAnsi="Calibri Light"/>
      <w:i/>
      <w:iCs/>
      <w:color w:val="1F4D78"/>
      <w:sz w:val="22"/>
      <w:lang w:eastAsia="x-none"/>
    </w:rPr>
  </w:style>
  <w:style w:type="paragraph" w:styleId="Heading8">
    <w:name w:val="heading 8"/>
    <w:basedOn w:val="Normal"/>
    <w:next w:val="Normal"/>
    <w:link w:val="Heading8Char"/>
    <w:qFormat/>
    <w:rsid w:val="006442E5"/>
    <w:pPr>
      <w:keepNext/>
      <w:keepLines/>
      <w:spacing w:before="40" w:after="160" w:line="259" w:lineRule="auto"/>
      <w:ind w:left="1440" w:hanging="1440"/>
      <w:jc w:val="both"/>
      <w:outlineLvl w:val="7"/>
    </w:pPr>
    <w:rPr>
      <w:rFonts w:ascii="Calibri Light" w:eastAsia="Arial Unicode MS" w:hAnsi="Calibri Light"/>
      <w:color w:val="272727"/>
      <w:sz w:val="21"/>
      <w:szCs w:val="21"/>
      <w:lang w:eastAsia="x-none"/>
    </w:rPr>
  </w:style>
  <w:style w:type="paragraph" w:styleId="Heading9">
    <w:name w:val="heading 9"/>
    <w:basedOn w:val="Normal"/>
    <w:next w:val="Normal"/>
    <w:link w:val="Heading9Char"/>
    <w:qFormat/>
    <w:rsid w:val="006442E5"/>
    <w:pPr>
      <w:keepNext/>
      <w:keepLines/>
      <w:spacing w:before="40" w:after="160" w:line="259" w:lineRule="auto"/>
      <w:ind w:left="1584" w:hanging="1584"/>
      <w:jc w:val="both"/>
      <w:outlineLvl w:val="8"/>
    </w:pPr>
    <w:rPr>
      <w:rFonts w:ascii="Calibri Light" w:eastAsia="Arial Unicode MS" w:hAnsi="Calibri Light"/>
      <w:i/>
      <w:iCs/>
      <w:color w:val="272727"/>
      <w:sz w:val="21"/>
      <w:szCs w:val="21"/>
      <w:lang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rsid w:val="005F24EB"/>
    <w:rPr>
      <w:rFonts w:cs="Times New Roman"/>
      <w:sz w:val="16"/>
      <w:szCs w:val="16"/>
    </w:rPr>
  </w:style>
  <w:style w:type="paragraph" w:styleId="CommentText">
    <w:name w:val="annotation text"/>
    <w:basedOn w:val="Normal"/>
    <w:link w:val="CommentTextChar"/>
    <w:rsid w:val="005F24EB"/>
    <w:rPr>
      <w:szCs w:val="20"/>
      <w:lang w:val="x-none" w:eastAsia="x-none"/>
    </w:rPr>
  </w:style>
  <w:style w:type="character" w:customStyle="1" w:styleId="CommentTextChar">
    <w:name w:val="Comment Text Char"/>
    <w:link w:val="CommentText"/>
    <w:locked/>
    <w:rsid w:val="005F24EB"/>
    <w:rPr>
      <w:rFonts w:ascii="Arial" w:eastAsia="Times New Roman" w:hAnsi="Arial" w:cs="Times New Roman"/>
      <w:sz w:val="20"/>
      <w:szCs w:val="20"/>
    </w:rPr>
  </w:style>
  <w:style w:type="paragraph" w:styleId="BalloonText">
    <w:name w:val="Balloon Text"/>
    <w:basedOn w:val="Normal"/>
    <w:link w:val="BalloonTextChar"/>
    <w:semiHidden/>
    <w:rsid w:val="005F24EB"/>
    <w:pPr>
      <w:spacing w:after="0"/>
    </w:pPr>
    <w:rPr>
      <w:rFonts w:ascii="Segoe UI" w:hAnsi="Segoe UI"/>
      <w:sz w:val="18"/>
      <w:szCs w:val="18"/>
      <w:lang w:val="x-none" w:eastAsia="x-none"/>
    </w:rPr>
  </w:style>
  <w:style w:type="character" w:customStyle="1" w:styleId="BalloonTextChar">
    <w:name w:val="Balloon Text Char"/>
    <w:link w:val="BalloonText"/>
    <w:semiHidden/>
    <w:locked/>
    <w:rsid w:val="005F24EB"/>
    <w:rPr>
      <w:rFonts w:ascii="Segoe UI" w:eastAsia="Times New Roman" w:hAnsi="Segoe UI" w:cs="Segoe UI"/>
      <w:sz w:val="18"/>
      <w:szCs w:val="18"/>
    </w:rPr>
  </w:style>
  <w:style w:type="paragraph" w:styleId="CommentSubject">
    <w:name w:val="annotation subject"/>
    <w:basedOn w:val="CommentText"/>
    <w:next w:val="CommentText"/>
    <w:link w:val="CommentSubjectChar"/>
    <w:semiHidden/>
    <w:rsid w:val="005F24EB"/>
    <w:rPr>
      <w:b/>
      <w:bCs/>
    </w:rPr>
  </w:style>
  <w:style w:type="character" w:customStyle="1" w:styleId="CommentSubjectChar">
    <w:name w:val="Comment Subject Char"/>
    <w:link w:val="CommentSubject"/>
    <w:semiHidden/>
    <w:locked/>
    <w:rsid w:val="005F24EB"/>
    <w:rPr>
      <w:rFonts w:ascii="Arial" w:eastAsia="Times New Roman" w:hAnsi="Arial" w:cs="Times New Roman"/>
      <w:b/>
      <w:bCs/>
      <w:sz w:val="20"/>
      <w:szCs w:val="20"/>
    </w:rPr>
  </w:style>
  <w:style w:type="paragraph" w:styleId="FootnoteText">
    <w:name w:val="footnote text"/>
    <w:aliases w:val="Footnote Text Char Char Char Char Char Char,fn,single space,FOOTNOTES,Footnote Text Char Char,ft,Texto nota pie Car,Footnote Text Char1,Fußnotentext Char,Fußnotentext arial,ALTS FOOTNOTE,ADB,pod carou,Footnote text,Fußnotentextf"/>
    <w:basedOn w:val="Normal"/>
    <w:link w:val="FootnoteTextChar"/>
    <w:uiPriority w:val="99"/>
    <w:qFormat/>
    <w:rsid w:val="005F24EB"/>
    <w:pPr>
      <w:spacing w:after="0"/>
    </w:pPr>
    <w:rPr>
      <w:szCs w:val="20"/>
      <w:lang w:eastAsia="x-none"/>
    </w:rPr>
  </w:style>
  <w:style w:type="character" w:customStyle="1" w:styleId="FootnoteTextChar">
    <w:name w:val="Footnote Text Char"/>
    <w:aliases w:val="Footnote Text Char Char Char Char Char Char Char1,fn Char1,single space Char1,FOOTNOTES Char1,Footnote Text Char Char Char1,ft Char1,Texto nota pie Car Char1,Footnote Text Char1 Char1,Fußnotentext Char Char1,Fußnotentext arial Char"/>
    <w:link w:val="FootnoteText"/>
    <w:uiPriority w:val="99"/>
    <w:locked/>
    <w:rsid w:val="005F24EB"/>
    <w:rPr>
      <w:rFonts w:ascii="Arial" w:eastAsia="Times New Roman" w:hAnsi="Arial" w:cs="Times New Roman"/>
      <w:sz w:val="20"/>
      <w:szCs w:val="20"/>
      <w:lang w:val="bg-BG" w:eastAsia="x-none"/>
    </w:rPr>
  </w:style>
  <w:style w:type="character" w:styleId="FootnoteReference">
    <w:name w:val="footnote reference"/>
    <w:aliases w:val="ftref,Footnote Reference Number,Footnote Reference_LVL6,Footnote Reference_LVL61,Footnote Reference_LVL62,Footnote Reference_LVL63,Footnote Reference_LVL64,Знак сноски-FN,16 Point,Superscript 6 Point,fr,ftref Char1 Char"/>
    <w:link w:val="BVIfnrChar"/>
    <w:uiPriority w:val="99"/>
    <w:qFormat/>
    <w:locked/>
    <w:rsid w:val="005F24EB"/>
    <w:rPr>
      <w:vertAlign w:val="superscript"/>
    </w:rPr>
  </w:style>
  <w:style w:type="character" w:styleId="Hyperlink">
    <w:name w:val="Hyperlink"/>
    <w:uiPriority w:val="99"/>
    <w:rsid w:val="005F24EB"/>
    <w:rPr>
      <w:color w:val="0000FF"/>
      <w:u w:val="single"/>
    </w:rPr>
  </w:style>
  <w:style w:type="paragraph" w:customStyle="1" w:styleId="BVIfnrChar">
    <w:name w:val="BVI fnr Char"/>
    <w:aliases w:val="BVI fnr Car Car Char,BVI fnr Car Char,BVI fnr Car Car Car Car Char1,BVI fnr Car Car Car Car Char Car Char Char,Footnote Refernece Char,callout Char,ftref Char,Footnotes refss Char,Fussnota Char,Footnote symbol Char,Times 10 Point Char"/>
    <w:basedOn w:val="Normal"/>
    <w:link w:val="FootnoteReference"/>
    <w:uiPriority w:val="99"/>
    <w:rsid w:val="005F24EB"/>
    <w:pPr>
      <w:spacing w:after="160" w:line="240" w:lineRule="exact"/>
    </w:pPr>
    <w:rPr>
      <w:rFonts w:ascii="Arial Unicode MS" w:eastAsia="Arial Unicode MS" w:hAnsi="Arial Unicode MS"/>
      <w:szCs w:val="20"/>
      <w:vertAlign w:val="superscript"/>
      <w:lang w:val="x-none" w:eastAsia="x-none"/>
    </w:rPr>
  </w:style>
  <w:style w:type="paragraph" w:styleId="Revision">
    <w:name w:val="Revision"/>
    <w:hidden/>
    <w:semiHidden/>
    <w:rsid w:val="005F24EB"/>
    <w:rPr>
      <w:rFonts w:ascii="Arial" w:eastAsia="Times New Roman" w:hAnsi="Arial" w:cs="Times New Roman"/>
      <w:szCs w:val="22"/>
      <w:lang w:val="bg-BG"/>
    </w:rPr>
  </w:style>
  <w:style w:type="table" w:styleId="TableGrid">
    <w:name w:val="Table Grid"/>
    <w:basedOn w:val="TableNormal"/>
    <w:rsid w:val="00B6094F"/>
    <w:rPr>
      <w:rFonts w:eastAsia="Times New Roman"/>
      <w:lang w:val="bg-BG" w:eastAsia="bg-B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aliases w:val="Heading 2 WB Char"/>
    <w:link w:val="Heading2"/>
    <w:locked/>
    <w:rsid w:val="006A2E9E"/>
    <w:rPr>
      <w:rFonts w:ascii="Calibri" w:hAnsi="Calibri" w:cs="Times New Roman"/>
      <w:b/>
      <w:color w:val="365F91"/>
      <w:sz w:val="28"/>
      <w:szCs w:val="26"/>
      <w:lang w:val="x-none" w:eastAsia="x-none"/>
    </w:rPr>
  </w:style>
  <w:style w:type="paragraph" w:customStyle="1" w:styleId="western">
    <w:name w:val="western"/>
    <w:basedOn w:val="Normal"/>
    <w:rsid w:val="00AF3CA0"/>
    <w:pPr>
      <w:spacing w:before="100" w:beforeAutospacing="1" w:after="100" w:afterAutospacing="1"/>
    </w:pPr>
    <w:rPr>
      <w:rFonts w:ascii="Times New Roman" w:eastAsia="Arial Unicode MS" w:hAnsi="Times New Roman"/>
      <w:sz w:val="24"/>
      <w:szCs w:val="24"/>
      <w:lang w:eastAsia="bg-BG"/>
    </w:rPr>
  </w:style>
  <w:style w:type="character" w:styleId="Strong">
    <w:name w:val="Strong"/>
    <w:qFormat/>
    <w:rsid w:val="00AF3CA0"/>
    <w:rPr>
      <w:b/>
    </w:rPr>
  </w:style>
  <w:style w:type="paragraph" w:styleId="NormalWeb">
    <w:name w:val="Normal (Web)"/>
    <w:basedOn w:val="Normal"/>
    <w:rsid w:val="00AF3CA0"/>
    <w:pPr>
      <w:spacing w:before="100" w:beforeAutospacing="1" w:after="100" w:afterAutospacing="1"/>
    </w:pPr>
    <w:rPr>
      <w:rFonts w:ascii="Times New Roman" w:eastAsia="Arial Unicode MS" w:hAnsi="Times New Roman"/>
      <w:sz w:val="24"/>
      <w:szCs w:val="24"/>
      <w:lang w:eastAsia="bg-BG"/>
    </w:rPr>
  </w:style>
  <w:style w:type="character" w:customStyle="1" w:styleId="Heading3Char">
    <w:name w:val="Heading 3 Char"/>
    <w:link w:val="Heading3"/>
    <w:locked/>
    <w:rsid w:val="00896942"/>
    <w:rPr>
      <w:rFonts w:ascii="Calibri" w:eastAsia="MS Gothic" w:hAnsi="Calibri" w:cs="Times New Roman"/>
      <w:b/>
      <w:bCs/>
      <w:i/>
      <w:color w:val="4F81BD"/>
      <w:sz w:val="26"/>
      <w:szCs w:val="22"/>
      <w:lang w:val="x-none"/>
    </w:rPr>
  </w:style>
  <w:style w:type="paragraph" w:customStyle="1" w:styleId="ListParagraph1">
    <w:name w:val="List Paragraph1"/>
    <w:aliases w:val="List Paragraph (numbered (a)),Normal bullet 2,List_Paragraph,Multilevel para_II,List Paragraph 1,References,Numbered List Paragraph,Numbered Paragraph,Main numbered paragraph,Colorful List - Accent 11,Bullets,Liste 1"/>
    <w:basedOn w:val="Normal"/>
    <w:link w:val="ListParagraphChar"/>
    <w:rsid w:val="0050582F"/>
    <w:pPr>
      <w:spacing w:after="120" w:line="276" w:lineRule="auto"/>
      <w:contextualSpacing/>
    </w:pPr>
    <w:rPr>
      <w:sz w:val="22"/>
      <w:szCs w:val="20"/>
      <w:lang w:val="x-none" w:eastAsia="x-none"/>
    </w:rPr>
  </w:style>
  <w:style w:type="paragraph" w:customStyle="1" w:styleId="Default">
    <w:name w:val="Default"/>
    <w:rsid w:val="005379DF"/>
    <w:pPr>
      <w:autoSpaceDE w:val="0"/>
      <w:autoSpaceDN w:val="0"/>
      <w:adjustRightInd w:val="0"/>
    </w:pPr>
    <w:rPr>
      <w:rFonts w:ascii="Arial" w:eastAsia="Times New Roman" w:hAnsi="Arial" w:cs="Arial"/>
      <w:color w:val="000000"/>
      <w:sz w:val="24"/>
      <w:szCs w:val="24"/>
      <w:lang w:val="bg-BG"/>
    </w:rPr>
  </w:style>
  <w:style w:type="paragraph" w:customStyle="1" w:styleId="soerkeyblue">
    <w:name w:val="soerkeyblue"/>
    <w:basedOn w:val="Normal"/>
    <w:rsid w:val="00A4216C"/>
    <w:pPr>
      <w:spacing w:before="100" w:beforeAutospacing="1" w:after="100" w:afterAutospacing="1"/>
    </w:pPr>
    <w:rPr>
      <w:rFonts w:ascii="Times New Roman" w:eastAsia="Arial Unicode MS" w:hAnsi="Times New Roman"/>
      <w:sz w:val="24"/>
      <w:szCs w:val="24"/>
      <w:lang w:eastAsia="en-CA"/>
    </w:rPr>
  </w:style>
  <w:style w:type="character" w:customStyle="1" w:styleId="Heading1Char">
    <w:name w:val="Heading 1 Char"/>
    <w:aliases w:val="Heading 1 WB Char"/>
    <w:link w:val="Heading1"/>
    <w:locked/>
    <w:rsid w:val="006A2E9E"/>
    <w:rPr>
      <w:rFonts w:ascii="Calibri" w:eastAsia="MS Gothic" w:hAnsi="Calibri" w:cs="Times New Roman"/>
      <w:b/>
      <w:bCs/>
      <w:color w:val="365F91"/>
      <w:sz w:val="28"/>
      <w:szCs w:val="28"/>
    </w:rPr>
  </w:style>
  <w:style w:type="paragraph" w:styleId="Title">
    <w:name w:val="Title"/>
    <w:basedOn w:val="Normal"/>
    <w:next w:val="Normal"/>
    <w:link w:val="TitleChar"/>
    <w:qFormat/>
    <w:rsid w:val="005D1878"/>
    <w:pPr>
      <w:spacing w:after="480"/>
    </w:pPr>
    <w:rPr>
      <w:rFonts w:eastAsia="Arial Unicode MS"/>
      <w:spacing w:val="-10"/>
      <w:kern w:val="28"/>
      <w:sz w:val="56"/>
      <w:szCs w:val="56"/>
      <w:lang w:eastAsia="x-none"/>
    </w:rPr>
  </w:style>
  <w:style w:type="character" w:customStyle="1" w:styleId="TitleChar">
    <w:name w:val="Title Char"/>
    <w:link w:val="Title"/>
    <w:locked/>
    <w:rsid w:val="005D1878"/>
    <w:rPr>
      <w:rFonts w:ascii="Arial" w:hAnsi="Arial" w:cs="Times New Roman"/>
      <w:spacing w:val="-10"/>
      <w:kern w:val="28"/>
      <w:sz w:val="56"/>
      <w:szCs w:val="56"/>
      <w:lang w:val="bg-BG" w:eastAsia="x-none"/>
    </w:rPr>
  </w:style>
  <w:style w:type="paragraph" w:styleId="Footer">
    <w:name w:val="footer"/>
    <w:basedOn w:val="Normal"/>
    <w:link w:val="FooterChar"/>
    <w:rsid w:val="005D1878"/>
    <w:pPr>
      <w:tabs>
        <w:tab w:val="center" w:pos="4536"/>
        <w:tab w:val="right" w:pos="9072"/>
      </w:tabs>
      <w:spacing w:after="0"/>
    </w:pPr>
    <w:rPr>
      <w:sz w:val="22"/>
      <w:lang w:eastAsia="x-none"/>
    </w:rPr>
  </w:style>
  <w:style w:type="character" w:customStyle="1" w:styleId="FooterChar">
    <w:name w:val="Footer Char"/>
    <w:link w:val="Footer"/>
    <w:locked/>
    <w:rsid w:val="005D1878"/>
    <w:rPr>
      <w:rFonts w:ascii="Arial" w:eastAsia="Times New Roman" w:hAnsi="Arial" w:cs="Times New Roman"/>
      <w:sz w:val="22"/>
      <w:szCs w:val="22"/>
      <w:lang w:val="bg-BG" w:eastAsia="x-none"/>
    </w:rPr>
  </w:style>
  <w:style w:type="paragraph" w:styleId="TOC1">
    <w:name w:val="toc 1"/>
    <w:basedOn w:val="Normal"/>
    <w:next w:val="Normal"/>
    <w:uiPriority w:val="39"/>
    <w:qFormat/>
    <w:rsid w:val="00A147B2"/>
    <w:pPr>
      <w:tabs>
        <w:tab w:val="left" w:pos="440"/>
        <w:tab w:val="right" w:leader="dot" w:pos="9062"/>
      </w:tabs>
      <w:spacing w:after="100" w:line="276" w:lineRule="auto"/>
      <w:jc w:val="both"/>
    </w:pPr>
    <w:rPr>
      <w:rFonts w:ascii="Times New Roman" w:hAnsi="Times New Roman" w:cs="Arial"/>
      <w:noProof/>
      <w:sz w:val="22"/>
      <w:szCs w:val="20"/>
    </w:rPr>
  </w:style>
  <w:style w:type="paragraph" w:styleId="TOC2">
    <w:name w:val="toc 2"/>
    <w:basedOn w:val="Normal"/>
    <w:next w:val="Normal"/>
    <w:uiPriority w:val="39"/>
    <w:qFormat/>
    <w:rsid w:val="00A147B2"/>
    <w:pPr>
      <w:tabs>
        <w:tab w:val="left" w:pos="880"/>
        <w:tab w:val="right" w:leader="dot" w:pos="9062"/>
      </w:tabs>
      <w:spacing w:after="100" w:line="276" w:lineRule="auto"/>
      <w:ind w:left="202"/>
      <w:jc w:val="both"/>
    </w:pPr>
    <w:rPr>
      <w:rFonts w:ascii="Times New Roman" w:hAnsi="Times New Roman"/>
      <w:sz w:val="22"/>
    </w:rPr>
  </w:style>
  <w:style w:type="paragraph" w:customStyle="1" w:styleId="Footnote">
    <w:name w:val="Footnote"/>
    <w:basedOn w:val="FootnoteText"/>
    <w:link w:val="FootnoteChar"/>
    <w:rsid w:val="00EF0069"/>
    <w:pPr>
      <w:spacing w:after="120"/>
      <w:ind w:left="284" w:hanging="284"/>
    </w:pPr>
  </w:style>
  <w:style w:type="character" w:customStyle="1" w:styleId="FootnoteChar">
    <w:name w:val="Footnote Char"/>
    <w:aliases w:val="Footnote Text Char2,Footnote Text Char Char Char Char Char Char Char,fn Char,single space Char,FOOTNOTES Char,Footnote Text Char Char Char,ft Char,Texto nota pie Car Char,Footnote Text Char1 Char,Fußnotentext Char Char,ALTS FOOTNOTE Char"/>
    <w:link w:val="Footnote"/>
    <w:locked/>
    <w:rsid w:val="00EF0069"/>
    <w:rPr>
      <w:rFonts w:ascii="Arial" w:eastAsia="Times New Roman" w:hAnsi="Arial" w:cs="Arial"/>
      <w:sz w:val="20"/>
      <w:szCs w:val="20"/>
      <w:lang w:val="bg-BG" w:eastAsia="x-none"/>
    </w:rPr>
  </w:style>
  <w:style w:type="paragraph" w:styleId="NoSpacing">
    <w:name w:val="No Spacing"/>
    <w:link w:val="NoSpacingChar"/>
    <w:qFormat/>
    <w:rsid w:val="002C6783"/>
    <w:rPr>
      <w:rFonts w:ascii="Calibri" w:eastAsia="MS Mincho" w:hAnsi="Calibri" w:cs="Arial"/>
      <w:sz w:val="22"/>
      <w:szCs w:val="22"/>
      <w:lang w:val="bg-BG"/>
    </w:rPr>
  </w:style>
  <w:style w:type="character" w:customStyle="1" w:styleId="NoSpacingChar">
    <w:name w:val="No Spacing Char"/>
    <w:link w:val="NoSpacing"/>
    <w:locked/>
    <w:rsid w:val="002C6783"/>
    <w:rPr>
      <w:rFonts w:ascii="Calibri" w:eastAsia="MS Mincho" w:hAnsi="Calibri" w:cs="Arial"/>
      <w:sz w:val="22"/>
      <w:szCs w:val="22"/>
      <w:lang w:val="bg-BG" w:eastAsia="en-US" w:bidi="ar-SA"/>
    </w:rPr>
  </w:style>
  <w:style w:type="paragraph" w:styleId="Header">
    <w:name w:val="header"/>
    <w:basedOn w:val="Normal"/>
    <w:link w:val="HeaderChar"/>
    <w:rsid w:val="002C6783"/>
    <w:pPr>
      <w:tabs>
        <w:tab w:val="center" w:pos="4680"/>
        <w:tab w:val="right" w:pos="9360"/>
      </w:tabs>
      <w:spacing w:after="0"/>
    </w:pPr>
    <w:rPr>
      <w:sz w:val="22"/>
      <w:lang w:val="x-none" w:eastAsia="x-none"/>
    </w:rPr>
  </w:style>
  <w:style w:type="character" w:customStyle="1" w:styleId="HeaderChar">
    <w:name w:val="Header Char"/>
    <w:link w:val="Header"/>
    <w:locked/>
    <w:rsid w:val="002C6783"/>
    <w:rPr>
      <w:rFonts w:ascii="Arial" w:eastAsia="Times New Roman" w:hAnsi="Arial" w:cs="Times New Roman"/>
      <w:sz w:val="22"/>
      <w:szCs w:val="22"/>
    </w:rPr>
  </w:style>
  <w:style w:type="table" w:customStyle="1" w:styleId="ListTable3-Accent11">
    <w:name w:val="List Table 3 - Accent 11"/>
    <w:rsid w:val="00406909"/>
    <w:pPr>
      <w:spacing w:before="120"/>
      <w:jc w:val="both"/>
    </w:pPr>
    <w:rPr>
      <w:rFonts w:ascii="Times New Roman" w:eastAsia="Times New Roman" w:hAnsi="Times New Roman" w:cs="Times New Roman"/>
      <w:sz w:val="23"/>
      <w:szCs w:val="23"/>
      <w:lang w:val="bg-BG" w:eastAsia="bg-BG"/>
    </w:rPr>
    <w:tblPr>
      <w:tblStyleRowBandSize w:val="1"/>
      <w:tblStyleColBandSize w:val="1"/>
      <w:tblInd w:w="0" w:type="dxa"/>
      <w:tblBorders>
        <w:top w:val="single" w:sz="4" w:space="0" w:color="5B9BD5"/>
        <w:left w:val="single" w:sz="4" w:space="0" w:color="5B9BD5"/>
        <w:bottom w:val="single" w:sz="4" w:space="0" w:color="5B9BD5"/>
        <w:right w:val="single" w:sz="4" w:space="0" w:color="5B9BD5"/>
      </w:tblBorders>
      <w:tblCellMar>
        <w:top w:w="0" w:type="dxa"/>
        <w:left w:w="108" w:type="dxa"/>
        <w:bottom w:w="0" w:type="dxa"/>
        <w:right w:w="108" w:type="dxa"/>
      </w:tblCellMar>
    </w:tblPr>
  </w:style>
  <w:style w:type="table" w:customStyle="1" w:styleId="ListTable3-Accent12">
    <w:name w:val="List Table 3 - Accent 12"/>
    <w:rsid w:val="00406909"/>
    <w:rPr>
      <w:rFonts w:eastAsia="Times New Roman"/>
      <w:lang w:val="bg-BG" w:eastAsia="bg-BG"/>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108" w:type="dxa"/>
        <w:bottom w:w="0" w:type="dxa"/>
        <w:right w:w="108" w:type="dxa"/>
      </w:tblCellMar>
    </w:tblPr>
  </w:style>
  <w:style w:type="paragraph" w:styleId="TOCHeading">
    <w:name w:val="TOC Heading"/>
    <w:basedOn w:val="Heading1"/>
    <w:next w:val="Normal"/>
    <w:qFormat/>
    <w:rsid w:val="00020CB3"/>
    <w:pPr>
      <w:spacing w:before="240" w:line="259" w:lineRule="auto"/>
      <w:outlineLvl w:val="9"/>
    </w:pPr>
    <w:rPr>
      <w:b w:val="0"/>
      <w:bCs w:val="0"/>
      <w:szCs w:val="32"/>
    </w:rPr>
  </w:style>
  <w:style w:type="character" w:customStyle="1" w:styleId="Heading4Char">
    <w:name w:val="Heading 4 Char"/>
    <w:aliases w:val="Heading 4 WB Char"/>
    <w:link w:val="Heading4"/>
    <w:uiPriority w:val="9"/>
    <w:locked/>
    <w:rsid w:val="00491557"/>
    <w:rPr>
      <w:rFonts w:ascii="Calibri" w:eastAsia="Times New Roman" w:hAnsi="Calibri" w:cs="Times New Roman"/>
      <w:bCs/>
      <w:i/>
      <w:iCs/>
      <w:color w:val="2F5496"/>
      <w:sz w:val="24"/>
      <w:szCs w:val="24"/>
    </w:rPr>
  </w:style>
  <w:style w:type="paragraph" w:styleId="TOC3">
    <w:name w:val="toc 3"/>
    <w:basedOn w:val="Normal"/>
    <w:next w:val="Normal"/>
    <w:uiPriority w:val="39"/>
    <w:qFormat/>
    <w:rsid w:val="00A147B2"/>
    <w:pPr>
      <w:tabs>
        <w:tab w:val="left" w:pos="1320"/>
        <w:tab w:val="right" w:leader="dot" w:pos="9062"/>
      </w:tabs>
      <w:spacing w:after="100" w:line="276" w:lineRule="auto"/>
      <w:ind w:left="403"/>
      <w:jc w:val="both"/>
    </w:pPr>
    <w:rPr>
      <w:rFonts w:ascii="Times New Roman" w:hAnsi="Times New Roman"/>
      <w:sz w:val="22"/>
    </w:rPr>
  </w:style>
  <w:style w:type="character" w:customStyle="1" w:styleId="Heading5Char">
    <w:name w:val="Heading 5 Char"/>
    <w:link w:val="Heading5"/>
    <w:locked/>
    <w:rsid w:val="00896942"/>
    <w:rPr>
      <w:rFonts w:ascii="Cambria" w:eastAsia="MS Gothic" w:hAnsi="Cambria" w:cs="Times New Roman"/>
      <w:color w:val="365F91"/>
      <w:sz w:val="22"/>
      <w:szCs w:val="22"/>
    </w:rPr>
  </w:style>
  <w:style w:type="paragraph" w:customStyle="1" w:styleId="Source">
    <w:name w:val="Source"/>
    <w:basedOn w:val="Normal"/>
    <w:rsid w:val="00595501"/>
    <w:pPr>
      <w:spacing w:before="60" w:after="200"/>
    </w:pPr>
    <w:rPr>
      <w:rFonts w:ascii="Calibri" w:hAnsi="Calibri" w:cs="Calibri"/>
      <w:i/>
      <w:szCs w:val="20"/>
    </w:rPr>
  </w:style>
  <w:style w:type="paragraph" w:customStyle="1" w:styleId="TableHeading">
    <w:name w:val="Table Heading"/>
    <w:basedOn w:val="Normal"/>
    <w:rsid w:val="00595501"/>
    <w:pPr>
      <w:spacing w:before="120" w:after="60"/>
      <w:jc w:val="center"/>
    </w:pPr>
    <w:rPr>
      <w:rFonts w:ascii="Calibri" w:hAnsi="Calibri" w:cs="Arial"/>
      <w:b/>
      <w:sz w:val="22"/>
    </w:rPr>
  </w:style>
  <w:style w:type="paragraph" w:styleId="BodyText">
    <w:name w:val="Body Text"/>
    <w:basedOn w:val="Normal"/>
    <w:link w:val="BodyTextChar"/>
    <w:rsid w:val="009136D2"/>
    <w:pPr>
      <w:widowControl w:val="0"/>
      <w:numPr>
        <w:numId w:val="8"/>
      </w:numPr>
      <w:autoSpaceDE w:val="0"/>
      <w:autoSpaceDN w:val="0"/>
      <w:adjustRightInd w:val="0"/>
      <w:spacing w:after="120" w:line="276" w:lineRule="auto"/>
      <w:jc w:val="both"/>
    </w:pPr>
    <w:rPr>
      <w:rFonts w:ascii="Times New Roman" w:eastAsia="MS Mincho" w:hAnsi="Times New Roman"/>
      <w:sz w:val="24"/>
      <w:szCs w:val="24"/>
      <w:lang w:val="x-none" w:eastAsia="x-none"/>
    </w:rPr>
  </w:style>
  <w:style w:type="character" w:customStyle="1" w:styleId="BodyTextChar">
    <w:name w:val="Body Text Char"/>
    <w:link w:val="BodyText"/>
    <w:locked/>
    <w:rsid w:val="009136D2"/>
    <w:rPr>
      <w:rFonts w:ascii="Times New Roman" w:eastAsia="MS Mincho" w:hAnsi="Times New Roman" w:cs="Times New Roman"/>
      <w:sz w:val="24"/>
      <w:szCs w:val="24"/>
      <w:lang w:val="x-none" w:eastAsia="x-none"/>
    </w:rPr>
  </w:style>
  <w:style w:type="character" w:styleId="FollowedHyperlink">
    <w:name w:val="FollowedHyperlink"/>
    <w:semiHidden/>
    <w:rsid w:val="00AD438E"/>
    <w:rPr>
      <w:rFonts w:cs="Times New Roman"/>
      <w:color w:val="954F72"/>
      <w:u w:val="single"/>
    </w:rPr>
  </w:style>
  <w:style w:type="paragraph" w:customStyle="1" w:styleId="xl65">
    <w:name w:val="xl65"/>
    <w:basedOn w:val="Normal"/>
    <w:rsid w:val="00AD438E"/>
    <w:pPr>
      <w:spacing w:before="100" w:beforeAutospacing="1" w:after="100" w:afterAutospacing="1"/>
      <w:jc w:val="center"/>
      <w:textAlignment w:val="center"/>
    </w:pPr>
    <w:rPr>
      <w:rFonts w:ascii="Times New Roman" w:eastAsia="Arial Unicode MS" w:hAnsi="Times New Roman"/>
      <w:sz w:val="24"/>
      <w:szCs w:val="24"/>
      <w:lang w:eastAsia="bg-BG"/>
    </w:rPr>
  </w:style>
  <w:style w:type="paragraph" w:customStyle="1" w:styleId="xl66">
    <w:name w:val="xl66"/>
    <w:basedOn w:val="Normal"/>
    <w:rsid w:val="00AD438E"/>
    <w:pPr>
      <w:spacing w:before="100" w:beforeAutospacing="1" w:after="100" w:afterAutospacing="1"/>
      <w:jc w:val="center"/>
    </w:pPr>
    <w:rPr>
      <w:rFonts w:ascii="Times New Roman" w:eastAsia="Arial Unicode MS" w:hAnsi="Times New Roman"/>
      <w:sz w:val="24"/>
      <w:szCs w:val="24"/>
      <w:lang w:eastAsia="bg-BG"/>
    </w:rPr>
  </w:style>
  <w:style w:type="paragraph" w:customStyle="1" w:styleId="xl67">
    <w:name w:val="xl67"/>
    <w:basedOn w:val="Normal"/>
    <w:rsid w:val="00AD438E"/>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Arial Unicode MS" w:hAnsi="Times New Roman"/>
      <w:sz w:val="24"/>
      <w:szCs w:val="24"/>
      <w:lang w:eastAsia="bg-BG"/>
    </w:rPr>
  </w:style>
  <w:style w:type="paragraph" w:customStyle="1" w:styleId="xl68">
    <w:name w:val="xl68"/>
    <w:basedOn w:val="Normal"/>
    <w:rsid w:val="00AD438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Arial Unicode MS" w:hAnsi="Times New Roman"/>
      <w:sz w:val="24"/>
      <w:szCs w:val="24"/>
      <w:lang w:eastAsia="bg-BG"/>
    </w:rPr>
  </w:style>
  <w:style w:type="paragraph" w:customStyle="1" w:styleId="xl69">
    <w:name w:val="xl69"/>
    <w:basedOn w:val="Normal"/>
    <w:rsid w:val="00AD438E"/>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Arial Unicode MS" w:hAnsi="Times New Roman"/>
      <w:sz w:val="24"/>
      <w:szCs w:val="24"/>
      <w:lang w:eastAsia="bg-BG"/>
    </w:rPr>
  </w:style>
  <w:style w:type="paragraph" w:customStyle="1" w:styleId="xl70">
    <w:name w:val="xl70"/>
    <w:basedOn w:val="Normal"/>
    <w:rsid w:val="00AD438E"/>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Arial Unicode MS" w:hAnsi="Times New Roman"/>
      <w:sz w:val="24"/>
      <w:szCs w:val="24"/>
      <w:lang w:eastAsia="bg-BG"/>
    </w:rPr>
  </w:style>
  <w:style w:type="paragraph" w:customStyle="1" w:styleId="xl71">
    <w:name w:val="xl71"/>
    <w:basedOn w:val="Normal"/>
    <w:rsid w:val="00AD438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Times New Roman" w:eastAsia="Arial Unicode MS" w:hAnsi="Times New Roman"/>
      <w:sz w:val="24"/>
      <w:szCs w:val="24"/>
      <w:lang w:eastAsia="bg-BG"/>
    </w:rPr>
  </w:style>
  <w:style w:type="paragraph" w:customStyle="1" w:styleId="xl72">
    <w:name w:val="xl72"/>
    <w:basedOn w:val="Normal"/>
    <w:rsid w:val="00AD438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Times New Roman" w:eastAsia="Arial Unicode MS" w:hAnsi="Times New Roman"/>
      <w:sz w:val="24"/>
      <w:szCs w:val="24"/>
      <w:lang w:eastAsia="bg-BG"/>
    </w:rPr>
  </w:style>
  <w:style w:type="paragraph" w:customStyle="1" w:styleId="xl73">
    <w:name w:val="xl73"/>
    <w:basedOn w:val="Normal"/>
    <w:rsid w:val="00AD438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Times New Roman" w:eastAsia="Arial Unicode MS" w:hAnsi="Times New Roman"/>
      <w:sz w:val="24"/>
      <w:szCs w:val="24"/>
      <w:lang w:eastAsia="bg-BG"/>
    </w:rPr>
  </w:style>
  <w:style w:type="table" w:customStyle="1" w:styleId="TableGrid1">
    <w:name w:val="Table Grid1"/>
    <w:rsid w:val="00AD438E"/>
    <w:rPr>
      <w:rFonts w:ascii="Calibri" w:eastAsia="Times New Roman" w:hAnsi="Calibri" w:cs="Times New Roman"/>
      <w:sz w:val="22"/>
      <w:szCs w:val="22"/>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4CharChar">
    <w:name w:val="Char Char4 Знак Знак Char Char Знак Знак"/>
    <w:basedOn w:val="Normal"/>
    <w:rsid w:val="00AD438E"/>
    <w:pPr>
      <w:tabs>
        <w:tab w:val="left" w:pos="709"/>
      </w:tabs>
      <w:spacing w:before="120" w:after="0"/>
      <w:ind w:firstLine="709"/>
      <w:jc w:val="both"/>
    </w:pPr>
    <w:rPr>
      <w:rFonts w:ascii="Tahoma" w:eastAsia="Arial Unicode MS" w:hAnsi="Tahoma"/>
      <w:sz w:val="24"/>
      <w:szCs w:val="24"/>
      <w:lang w:eastAsia="pl-PL"/>
    </w:rPr>
  </w:style>
  <w:style w:type="paragraph" w:styleId="Caption">
    <w:name w:val="caption"/>
    <w:aliases w:val="Legende,Car16,Car Car Car Car,Car Car Car Car Car Car Car,Car Car Car Car Car,Car Car Car Car Car Car Car Car Car Car Car Car,Car3,Car,légende,Car5,Caption Char2,Caption Char Char1,Caption Char1 Char Char,Caption Char Char Char Char,òàáëèöà Cha"/>
    <w:basedOn w:val="Normal"/>
    <w:next w:val="Normal"/>
    <w:link w:val="CaptionChar"/>
    <w:uiPriority w:val="35"/>
    <w:qFormat/>
    <w:rsid w:val="00AD438E"/>
    <w:pPr>
      <w:spacing w:before="120" w:after="120"/>
    </w:pPr>
    <w:rPr>
      <w:rFonts w:ascii="Times New Roman" w:eastAsia="Arial Unicode MS" w:hAnsi="Times New Roman"/>
      <w:b/>
      <w:szCs w:val="20"/>
      <w:lang w:eastAsia="bg-BG"/>
    </w:rPr>
  </w:style>
  <w:style w:type="character" w:customStyle="1" w:styleId="shorttext">
    <w:name w:val="short_text"/>
    <w:rsid w:val="00AD438E"/>
    <w:rPr>
      <w:rFonts w:cs="Times New Roman"/>
    </w:rPr>
  </w:style>
  <w:style w:type="character" w:customStyle="1" w:styleId="apple-converted-space">
    <w:name w:val="apple-converted-space"/>
    <w:rsid w:val="00AD438E"/>
  </w:style>
  <w:style w:type="character" w:customStyle="1" w:styleId="ListParagraphChar">
    <w:name w:val="List Paragraph Char"/>
    <w:aliases w:val="List Paragraph (numbered (a)) Char,List Paragraph1 Char,Normal bullet 2 Char,List_Paragraph Char,Multilevel para_II Char,List Paragraph 1 Char,References Char,Numbered List Paragraph Char,Numbered Paragraph Char,Bullets Char"/>
    <w:link w:val="ListParagraph1"/>
    <w:locked/>
    <w:rsid w:val="0050582F"/>
    <w:rPr>
      <w:rFonts w:ascii="Arial" w:eastAsia="Times New Roman" w:hAnsi="Arial"/>
      <w:sz w:val="22"/>
    </w:rPr>
  </w:style>
  <w:style w:type="character" w:customStyle="1" w:styleId="Mention1">
    <w:name w:val="Mention1"/>
    <w:semiHidden/>
    <w:rsid w:val="00AD438E"/>
    <w:rPr>
      <w:color w:val="2B579A"/>
      <w:shd w:val="clear" w:color="auto" w:fill="E6E6E6"/>
    </w:rPr>
  </w:style>
  <w:style w:type="character" w:customStyle="1" w:styleId="Heading6Char">
    <w:name w:val="Heading 6 Char"/>
    <w:link w:val="Heading6"/>
    <w:locked/>
    <w:rsid w:val="006442E5"/>
    <w:rPr>
      <w:rFonts w:ascii="Calibri Light" w:hAnsi="Calibri Light" w:cs="Times New Roman"/>
      <w:color w:val="1F4D78"/>
      <w:sz w:val="22"/>
      <w:szCs w:val="22"/>
      <w:lang w:val="bg-BG" w:eastAsia="x-none"/>
    </w:rPr>
  </w:style>
  <w:style w:type="character" w:customStyle="1" w:styleId="Heading7Char">
    <w:name w:val="Heading 7 Char"/>
    <w:link w:val="Heading7"/>
    <w:locked/>
    <w:rsid w:val="006442E5"/>
    <w:rPr>
      <w:rFonts w:ascii="Calibri Light" w:hAnsi="Calibri Light" w:cs="Times New Roman"/>
      <w:i/>
      <w:iCs/>
      <w:color w:val="1F4D78"/>
      <w:sz w:val="22"/>
      <w:szCs w:val="22"/>
      <w:lang w:val="bg-BG" w:eastAsia="x-none"/>
    </w:rPr>
  </w:style>
  <w:style w:type="character" w:customStyle="1" w:styleId="Heading8Char">
    <w:name w:val="Heading 8 Char"/>
    <w:link w:val="Heading8"/>
    <w:locked/>
    <w:rsid w:val="006442E5"/>
    <w:rPr>
      <w:rFonts w:ascii="Calibri Light" w:hAnsi="Calibri Light" w:cs="Times New Roman"/>
      <w:color w:val="272727"/>
      <w:sz w:val="21"/>
      <w:szCs w:val="21"/>
      <w:lang w:val="bg-BG" w:eastAsia="x-none"/>
    </w:rPr>
  </w:style>
  <w:style w:type="character" w:customStyle="1" w:styleId="Heading9Char">
    <w:name w:val="Heading 9 Char"/>
    <w:link w:val="Heading9"/>
    <w:locked/>
    <w:rsid w:val="006442E5"/>
    <w:rPr>
      <w:rFonts w:ascii="Calibri Light" w:hAnsi="Calibri Light" w:cs="Times New Roman"/>
      <w:i/>
      <w:iCs/>
      <w:color w:val="272727"/>
      <w:sz w:val="21"/>
      <w:szCs w:val="21"/>
      <w:lang w:val="bg-BG" w:eastAsia="x-none"/>
    </w:rPr>
  </w:style>
  <w:style w:type="paragraph" w:styleId="NormalIndent">
    <w:name w:val="Normal Indent"/>
    <w:basedOn w:val="Normal"/>
    <w:link w:val="NormalIndentChar"/>
    <w:rsid w:val="006442E5"/>
    <w:pPr>
      <w:widowControl w:val="0"/>
      <w:autoSpaceDE w:val="0"/>
      <w:autoSpaceDN w:val="0"/>
      <w:spacing w:after="0"/>
      <w:ind w:firstLine="680"/>
      <w:jc w:val="both"/>
    </w:pPr>
    <w:rPr>
      <w:rFonts w:ascii="Times New Roman" w:eastAsia="Arial Unicode MS" w:hAnsi="Times New Roman"/>
      <w:szCs w:val="20"/>
      <w:lang w:eastAsia="bg-BG"/>
    </w:rPr>
  </w:style>
  <w:style w:type="character" w:customStyle="1" w:styleId="NormalIndentChar">
    <w:name w:val="Normal Indent Char"/>
    <w:link w:val="NormalIndent"/>
    <w:locked/>
    <w:rsid w:val="006442E5"/>
    <w:rPr>
      <w:rFonts w:ascii="Times New Roman" w:hAnsi="Times New Roman" w:cs="Times New Roman"/>
      <w:lang w:val="bg-BG" w:eastAsia="bg-BG"/>
    </w:rPr>
  </w:style>
  <w:style w:type="paragraph" w:customStyle="1" w:styleId="volissue">
    <w:name w:val="volissue"/>
    <w:basedOn w:val="Normal"/>
    <w:rsid w:val="006442E5"/>
    <w:pPr>
      <w:spacing w:before="100" w:beforeAutospacing="1" w:after="100" w:afterAutospacing="1"/>
      <w:jc w:val="both"/>
    </w:pPr>
    <w:rPr>
      <w:rFonts w:ascii="Times New Roman" w:eastAsia="Arial Unicode MS" w:hAnsi="Times New Roman"/>
      <w:sz w:val="24"/>
      <w:szCs w:val="24"/>
      <w:lang w:eastAsia="bg-BG"/>
    </w:rPr>
  </w:style>
  <w:style w:type="paragraph" w:customStyle="1" w:styleId="TableParagraph">
    <w:name w:val="Table Paragraph"/>
    <w:basedOn w:val="Normal"/>
    <w:rsid w:val="006442E5"/>
    <w:pPr>
      <w:widowControl w:val="0"/>
      <w:autoSpaceDE w:val="0"/>
      <w:autoSpaceDN w:val="0"/>
      <w:adjustRightInd w:val="0"/>
      <w:spacing w:after="0"/>
      <w:jc w:val="both"/>
    </w:pPr>
    <w:rPr>
      <w:rFonts w:ascii="Times New Roman" w:eastAsia="Arial Unicode MS" w:hAnsi="Times New Roman"/>
      <w:sz w:val="24"/>
      <w:szCs w:val="24"/>
      <w:lang w:eastAsia="bg-BG"/>
    </w:rPr>
  </w:style>
  <w:style w:type="table" w:customStyle="1" w:styleId="LightShading1">
    <w:name w:val="Light Shading1"/>
    <w:rsid w:val="006442E5"/>
    <w:rPr>
      <w:rFonts w:ascii="Calibri" w:eastAsia="Times New Roman" w:hAnsi="Calibri" w:cs="Times New Roman"/>
      <w:color w:val="000000"/>
      <w:sz w:val="22"/>
      <w:szCs w:val="22"/>
      <w:lang w:val="bg-BG" w:eastAsia="bg-BG"/>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TableGrid2">
    <w:name w:val="Table Grid2"/>
    <w:rsid w:val="006442E5"/>
    <w:rPr>
      <w:rFonts w:ascii="Calibri" w:eastAsia="Times New Roman" w:hAnsi="Calibri" w:cs="Times New Roman"/>
      <w:sz w:val="22"/>
      <w:szCs w:val="22"/>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TMLCite">
    <w:name w:val="HTML Cite"/>
    <w:semiHidden/>
    <w:rsid w:val="006442E5"/>
    <w:rPr>
      <w:rFonts w:cs="Times New Roman"/>
      <w:i/>
      <w:iCs/>
    </w:rPr>
  </w:style>
  <w:style w:type="paragraph" w:styleId="DocumentMap">
    <w:name w:val="Document Map"/>
    <w:basedOn w:val="Normal"/>
    <w:link w:val="DocumentMapChar"/>
    <w:semiHidden/>
    <w:rsid w:val="006442E5"/>
    <w:pPr>
      <w:spacing w:after="0"/>
      <w:jc w:val="both"/>
    </w:pPr>
    <w:rPr>
      <w:rFonts w:ascii="Lucida Grande" w:hAnsi="Lucida Grande"/>
      <w:szCs w:val="20"/>
      <w:lang w:eastAsia="x-none"/>
    </w:rPr>
  </w:style>
  <w:style w:type="character" w:customStyle="1" w:styleId="DocumentMapChar">
    <w:name w:val="Document Map Char"/>
    <w:link w:val="DocumentMap"/>
    <w:semiHidden/>
    <w:locked/>
    <w:rsid w:val="006442E5"/>
    <w:rPr>
      <w:rFonts w:ascii="Lucida Grande" w:eastAsia="Times New Roman" w:hAnsi="Lucida Grande" w:cs="Lucida Grande"/>
      <w:lang w:val="bg-BG" w:eastAsia="x-none"/>
    </w:rPr>
  </w:style>
  <w:style w:type="table" w:customStyle="1" w:styleId="ListTable3-Accent111">
    <w:name w:val="List Table 3 - Accent 111"/>
    <w:rsid w:val="006442E5"/>
    <w:pPr>
      <w:spacing w:before="120"/>
      <w:jc w:val="both"/>
    </w:pPr>
    <w:rPr>
      <w:rFonts w:ascii="Times New Roman" w:eastAsia="Times New Roman" w:hAnsi="Times New Roman" w:cs="Times New Roman"/>
      <w:sz w:val="23"/>
      <w:szCs w:val="23"/>
      <w:lang w:val="bg-BG" w:eastAsia="bg-BG"/>
    </w:rPr>
    <w:tblPr>
      <w:tblStyleRowBandSize w:val="1"/>
      <w:tblStyleColBandSize w:val="1"/>
      <w:tblInd w:w="0" w:type="dxa"/>
      <w:tblBorders>
        <w:top w:val="single" w:sz="4" w:space="0" w:color="5B9BD5"/>
        <w:left w:val="single" w:sz="4" w:space="0" w:color="5B9BD5"/>
        <w:bottom w:val="single" w:sz="4" w:space="0" w:color="5B9BD5"/>
        <w:right w:val="single" w:sz="4" w:space="0" w:color="5B9BD5"/>
      </w:tblBorders>
      <w:tblCellMar>
        <w:top w:w="0" w:type="dxa"/>
        <w:left w:w="108" w:type="dxa"/>
        <w:bottom w:w="0" w:type="dxa"/>
        <w:right w:w="108" w:type="dxa"/>
      </w:tblCellMar>
    </w:tblPr>
  </w:style>
  <w:style w:type="table" w:customStyle="1" w:styleId="ListTable3-Accent123">
    <w:name w:val="List Table 3 - Accent 123"/>
    <w:rsid w:val="006442E5"/>
    <w:rPr>
      <w:rFonts w:ascii="Calibri" w:eastAsia="Times New Roman" w:hAnsi="Calibri" w:cs="Times New Roman"/>
      <w:sz w:val="22"/>
      <w:szCs w:val="22"/>
      <w:lang w:val="bg-BG" w:eastAsia="bg-BG"/>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108" w:type="dxa"/>
        <w:bottom w:w="0" w:type="dxa"/>
        <w:right w:w="108" w:type="dxa"/>
      </w:tblCellMar>
    </w:tblPr>
  </w:style>
  <w:style w:type="paragraph" w:styleId="TOC4">
    <w:name w:val="toc 4"/>
    <w:basedOn w:val="Normal"/>
    <w:next w:val="Normal"/>
    <w:autoRedefine/>
    <w:uiPriority w:val="39"/>
    <w:rsid w:val="006442E5"/>
    <w:pPr>
      <w:spacing w:after="100" w:line="264" w:lineRule="auto"/>
      <w:ind w:left="720"/>
      <w:jc w:val="both"/>
    </w:pPr>
    <w:rPr>
      <w:rFonts w:ascii="Times New Roman" w:hAnsi="Times New Roman"/>
      <w:sz w:val="24"/>
    </w:rPr>
  </w:style>
  <w:style w:type="paragraph" w:customStyle="1" w:styleId="LightGrid-Accent31">
    <w:name w:val="Light Grid - Accent 31"/>
    <w:basedOn w:val="Normal"/>
    <w:rsid w:val="006442E5"/>
    <w:pPr>
      <w:spacing w:after="60" w:line="264" w:lineRule="auto"/>
      <w:ind w:left="720"/>
      <w:contextualSpacing/>
      <w:jc w:val="both"/>
    </w:pPr>
    <w:rPr>
      <w:rFonts w:ascii="Times New Roman" w:hAnsi="Times New Roman"/>
      <w:sz w:val="24"/>
    </w:rPr>
  </w:style>
  <w:style w:type="paragraph" w:styleId="EndnoteText">
    <w:name w:val="endnote text"/>
    <w:basedOn w:val="Normal"/>
    <w:link w:val="EndnoteTextChar"/>
    <w:rsid w:val="006442E5"/>
    <w:pPr>
      <w:spacing w:after="0"/>
      <w:jc w:val="both"/>
    </w:pPr>
    <w:rPr>
      <w:rFonts w:ascii="Times New Roman" w:hAnsi="Times New Roman"/>
      <w:szCs w:val="20"/>
      <w:lang w:eastAsia="x-none"/>
    </w:rPr>
  </w:style>
  <w:style w:type="character" w:customStyle="1" w:styleId="EndnoteTextChar">
    <w:name w:val="Endnote Text Char"/>
    <w:link w:val="EndnoteText"/>
    <w:locked/>
    <w:rsid w:val="006442E5"/>
    <w:rPr>
      <w:rFonts w:ascii="Times New Roman" w:eastAsia="Times New Roman" w:hAnsi="Times New Roman" w:cs="Times New Roman"/>
      <w:sz w:val="20"/>
      <w:szCs w:val="20"/>
      <w:lang w:val="bg-BG" w:eastAsia="x-none"/>
    </w:rPr>
  </w:style>
  <w:style w:type="character" w:styleId="EndnoteReference">
    <w:name w:val="endnote reference"/>
    <w:rsid w:val="006442E5"/>
    <w:rPr>
      <w:vertAlign w:val="superscript"/>
    </w:rPr>
  </w:style>
  <w:style w:type="character" w:styleId="Emphasis">
    <w:name w:val="Emphasis"/>
    <w:qFormat/>
    <w:rsid w:val="006442E5"/>
    <w:rPr>
      <w:i/>
    </w:rPr>
  </w:style>
  <w:style w:type="paragraph" w:customStyle="1" w:styleId="body">
    <w:name w:val="body"/>
    <w:basedOn w:val="Normal"/>
    <w:rsid w:val="006442E5"/>
    <w:pPr>
      <w:spacing w:before="100" w:beforeAutospacing="1" w:after="100" w:afterAutospacing="1"/>
      <w:jc w:val="both"/>
    </w:pPr>
    <w:rPr>
      <w:rFonts w:ascii="Times New Roman" w:eastAsia="Arial Unicode MS" w:hAnsi="Times New Roman"/>
      <w:sz w:val="24"/>
      <w:szCs w:val="24"/>
      <w:lang w:eastAsia="bg-BG"/>
    </w:rPr>
  </w:style>
  <w:style w:type="character" w:customStyle="1" w:styleId="tgc">
    <w:name w:val="_tgc"/>
    <w:rsid w:val="006442E5"/>
    <w:rPr>
      <w:rFonts w:cs="Times New Roman"/>
    </w:rPr>
  </w:style>
  <w:style w:type="paragraph" w:customStyle="1" w:styleId="LightList-Accent31">
    <w:name w:val="Light List - Accent 31"/>
    <w:hidden/>
    <w:semiHidden/>
    <w:rsid w:val="006442E5"/>
    <w:rPr>
      <w:rFonts w:ascii="Calibri" w:eastAsia="Times New Roman" w:hAnsi="Calibri" w:cs="Times New Roman"/>
      <w:sz w:val="22"/>
      <w:szCs w:val="22"/>
      <w:lang w:val="bg-BG"/>
    </w:rPr>
  </w:style>
  <w:style w:type="paragraph" w:customStyle="1" w:styleId="Pa15">
    <w:name w:val="Pa15"/>
    <w:basedOn w:val="Default"/>
    <w:next w:val="Default"/>
    <w:rsid w:val="006442E5"/>
    <w:pPr>
      <w:spacing w:line="201" w:lineRule="atLeast"/>
    </w:pPr>
    <w:rPr>
      <w:rFonts w:ascii="Palatino Linotype" w:hAnsi="Palatino Linotype" w:cs="Times New Roman"/>
      <w:color w:val="auto"/>
    </w:rPr>
  </w:style>
  <w:style w:type="paragraph" w:customStyle="1" w:styleId="Pa26">
    <w:name w:val="Pa26"/>
    <w:basedOn w:val="Default"/>
    <w:next w:val="Default"/>
    <w:rsid w:val="006442E5"/>
    <w:pPr>
      <w:spacing w:line="181" w:lineRule="atLeast"/>
    </w:pPr>
    <w:rPr>
      <w:rFonts w:ascii="Palatino Linotype" w:hAnsi="Palatino Linotype" w:cs="Times New Roman"/>
      <w:color w:val="auto"/>
    </w:rPr>
  </w:style>
  <w:style w:type="paragraph" w:customStyle="1" w:styleId="Pa34">
    <w:name w:val="Pa34"/>
    <w:basedOn w:val="Default"/>
    <w:next w:val="Default"/>
    <w:rsid w:val="006442E5"/>
    <w:pPr>
      <w:spacing w:line="141" w:lineRule="atLeast"/>
    </w:pPr>
    <w:rPr>
      <w:rFonts w:ascii="Palatino Linotype" w:hAnsi="Palatino Linotype" w:cs="Times New Roman"/>
      <w:color w:val="auto"/>
    </w:rPr>
  </w:style>
  <w:style w:type="paragraph" w:customStyle="1" w:styleId="Pa1">
    <w:name w:val="Pa1"/>
    <w:basedOn w:val="Default"/>
    <w:next w:val="Default"/>
    <w:rsid w:val="006442E5"/>
    <w:pPr>
      <w:spacing w:line="361" w:lineRule="atLeast"/>
    </w:pPr>
    <w:rPr>
      <w:rFonts w:ascii="Verdana" w:hAnsi="Verdana" w:cs="Times New Roman"/>
      <w:color w:val="auto"/>
    </w:rPr>
  </w:style>
  <w:style w:type="character" w:customStyle="1" w:styleId="st">
    <w:name w:val="st"/>
    <w:rsid w:val="006442E5"/>
    <w:rPr>
      <w:rFonts w:cs="Times New Roman"/>
    </w:rPr>
  </w:style>
  <w:style w:type="character" w:customStyle="1" w:styleId="a">
    <w:name w:val="a"/>
    <w:rsid w:val="006442E5"/>
    <w:rPr>
      <w:rFonts w:cs="Times New Roman"/>
    </w:rPr>
  </w:style>
  <w:style w:type="character" w:customStyle="1" w:styleId="l6">
    <w:name w:val="l6"/>
    <w:rsid w:val="006442E5"/>
    <w:rPr>
      <w:rFonts w:cs="Times New Roman"/>
    </w:rPr>
  </w:style>
  <w:style w:type="character" w:customStyle="1" w:styleId="l7">
    <w:name w:val="l7"/>
    <w:rsid w:val="006442E5"/>
    <w:rPr>
      <w:rFonts w:cs="Times New Roman"/>
    </w:rPr>
  </w:style>
  <w:style w:type="character" w:customStyle="1" w:styleId="l8">
    <w:name w:val="l8"/>
    <w:rsid w:val="006442E5"/>
    <w:rPr>
      <w:rFonts w:cs="Times New Roman"/>
    </w:rPr>
  </w:style>
  <w:style w:type="character" w:customStyle="1" w:styleId="l10">
    <w:name w:val="l10"/>
    <w:rsid w:val="006442E5"/>
    <w:rPr>
      <w:rFonts w:cs="Times New Roman"/>
    </w:rPr>
  </w:style>
  <w:style w:type="character" w:customStyle="1" w:styleId="l9">
    <w:name w:val="l9"/>
    <w:rsid w:val="006442E5"/>
    <w:rPr>
      <w:rFonts w:cs="Times New Roman"/>
    </w:rPr>
  </w:style>
  <w:style w:type="character" w:customStyle="1" w:styleId="l">
    <w:name w:val="l"/>
    <w:rsid w:val="006442E5"/>
    <w:rPr>
      <w:rFonts w:cs="Times New Roman"/>
    </w:rPr>
  </w:style>
  <w:style w:type="character" w:customStyle="1" w:styleId="l12">
    <w:name w:val="l12"/>
    <w:rsid w:val="006442E5"/>
    <w:rPr>
      <w:rFonts w:cs="Times New Roman"/>
    </w:rPr>
  </w:style>
  <w:style w:type="character" w:customStyle="1" w:styleId="l11">
    <w:name w:val="l11"/>
    <w:rsid w:val="006442E5"/>
    <w:rPr>
      <w:rFonts w:cs="Times New Roman"/>
    </w:rPr>
  </w:style>
  <w:style w:type="paragraph" w:customStyle="1" w:styleId="WBNormalNumbered">
    <w:name w:val="WB Normal Numbered"/>
    <w:basedOn w:val="Normal"/>
    <w:link w:val="WBNormalNumberedChar"/>
    <w:autoRedefine/>
    <w:rsid w:val="006442E5"/>
    <w:pPr>
      <w:numPr>
        <w:numId w:val="29"/>
      </w:numPr>
      <w:tabs>
        <w:tab w:val="left" w:pos="709"/>
      </w:tabs>
      <w:spacing w:before="120" w:after="60" w:line="264" w:lineRule="auto"/>
      <w:ind w:left="0" w:firstLine="0"/>
      <w:jc w:val="both"/>
    </w:pPr>
    <w:rPr>
      <w:rFonts w:ascii="Times New Roman" w:hAnsi="Times New Roman"/>
      <w:sz w:val="24"/>
      <w:lang w:val="x-none"/>
    </w:rPr>
  </w:style>
  <w:style w:type="character" w:customStyle="1" w:styleId="WBNormalNumberedChar">
    <w:name w:val="WB Normal Numbered Char"/>
    <w:link w:val="WBNormalNumbered"/>
    <w:locked/>
    <w:rsid w:val="006442E5"/>
    <w:rPr>
      <w:rFonts w:ascii="Times New Roman" w:eastAsia="Times New Roman" w:hAnsi="Times New Roman" w:cs="Times New Roman"/>
      <w:sz w:val="24"/>
      <w:szCs w:val="22"/>
      <w:lang w:val="x-none"/>
    </w:rPr>
  </w:style>
  <w:style w:type="table" w:customStyle="1" w:styleId="TableGrid11">
    <w:name w:val="Table Grid11"/>
    <w:rsid w:val="006442E5"/>
    <w:rPr>
      <w:rFonts w:ascii="Calibri" w:eastAsia="Times New Roman" w:hAnsi="Calibri" w:cs="Times New Roman"/>
      <w:sz w:val="22"/>
      <w:szCs w:val="22"/>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51">
    <w:name w:val="TOC 51"/>
    <w:basedOn w:val="Normal"/>
    <w:next w:val="Normal"/>
    <w:autoRedefine/>
    <w:rsid w:val="006442E5"/>
    <w:pPr>
      <w:spacing w:after="100" w:line="259" w:lineRule="auto"/>
      <w:ind w:left="880"/>
    </w:pPr>
    <w:rPr>
      <w:rFonts w:ascii="Calibri" w:eastAsia="Arial Unicode MS" w:hAnsi="Calibri"/>
      <w:sz w:val="22"/>
    </w:rPr>
  </w:style>
  <w:style w:type="paragraph" w:customStyle="1" w:styleId="TOC61">
    <w:name w:val="TOC 61"/>
    <w:basedOn w:val="Normal"/>
    <w:next w:val="Normal"/>
    <w:autoRedefine/>
    <w:rsid w:val="006442E5"/>
    <w:pPr>
      <w:spacing w:after="100" w:line="259" w:lineRule="auto"/>
      <w:ind w:left="1100"/>
    </w:pPr>
    <w:rPr>
      <w:rFonts w:ascii="Calibri" w:eastAsia="Arial Unicode MS" w:hAnsi="Calibri"/>
      <w:sz w:val="22"/>
    </w:rPr>
  </w:style>
  <w:style w:type="paragraph" w:customStyle="1" w:styleId="TOC71">
    <w:name w:val="TOC 71"/>
    <w:basedOn w:val="Normal"/>
    <w:next w:val="Normal"/>
    <w:autoRedefine/>
    <w:rsid w:val="006442E5"/>
    <w:pPr>
      <w:spacing w:after="100" w:line="259" w:lineRule="auto"/>
      <w:ind w:left="1320"/>
    </w:pPr>
    <w:rPr>
      <w:rFonts w:ascii="Calibri" w:eastAsia="Arial Unicode MS" w:hAnsi="Calibri"/>
      <w:sz w:val="22"/>
    </w:rPr>
  </w:style>
  <w:style w:type="paragraph" w:customStyle="1" w:styleId="TOC81">
    <w:name w:val="TOC 81"/>
    <w:basedOn w:val="Normal"/>
    <w:next w:val="Normal"/>
    <w:autoRedefine/>
    <w:rsid w:val="006442E5"/>
    <w:pPr>
      <w:spacing w:after="100" w:line="259" w:lineRule="auto"/>
      <w:ind w:left="1540"/>
    </w:pPr>
    <w:rPr>
      <w:rFonts w:ascii="Calibri" w:eastAsia="Arial Unicode MS" w:hAnsi="Calibri"/>
      <w:sz w:val="22"/>
    </w:rPr>
  </w:style>
  <w:style w:type="paragraph" w:customStyle="1" w:styleId="TOC91">
    <w:name w:val="TOC 91"/>
    <w:basedOn w:val="Normal"/>
    <w:next w:val="Normal"/>
    <w:autoRedefine/>
    <w:rsid w:val="006442E5"/>
    <w:pPr>
      <w:spacing w:after="100" w:line="259" w:lineRule="auto"/>
      <w:ind w:left="1760"/>
    </w:pPr>
    <w:rPr>
      <w:rFonts w:ascii="Calibri" w:eastAsia="Arial Unicode MS" w:hAnsi="Calibri"/>
      <w:sz w:val="22"/>
    </w:rPr>
  </w:style>
  <w:style w:type="paragraph" w:customStyle="1" w:styleId="BulletNormal">
    <w:name w:val="Bullet Normal"/>
    <w:basedOn w:val="ListParagraph1"/>
    <w:link w:val="BulletNormalChar"/>
    <w:rsid w:val="006442E5"/>
    <w:pPr>
      <w:numPr>
        <w:numId w:val="30"/>
      </w:numPr>
      <w:contextualSpacing w:val="0"/>
    </w:pPr>
    <w:rPr>
      <w:rFonts w:ascii="Times New Roman" w:hAnsi="Times New Roman"/>
      <w:sz w:val="24"/>
      <w:szCs w:val="22"/>
    </w:rPr>
  </w:style>
  <w:style w:type="character" w:customStyle="1" w:styleId="BulletNormalChar">
    <w:name w:val="Bullet Normal Char"/>
    <w:link w:val="BulletNormal"/>
    <w:locked/>
    <w:rsid w:val="006442E5"/>
    <w:rPr>
      <w:rFonts w:ascii="Times New Roman" w:eastAsia="Times New Roman" w:hAnsi="Times New Roman" w:cs="Times New Roman"/>
      <w:sz w:val="24"/>
      <w:szCs w:val="22"/>
      <w:lang w:val="x-none" w:eastAsia="x-none"/>
    </w:rPr>
  </w:style>
  <w:style w:type="paragraph" w:customStyle="1" w:styleId="NormalunderBullet">
    <w:name w:val="Normal (under Bullet)"/>
    <w:basedOn w:val="Normal"/>
    <w:link w:val="NormalunderBulletChar"/>
    <w:rsid w:val="006442E5"/>
    <w:pPr>
      <w:ind w:left="709"/>
    </w:pPr>
    <w:rPr>
      <w:sz w:val="22"/>
      <w:lang w:eastAsia="x-none"/>
    </w:rPr>
  </w:style>
  <w:style w:type="character" w:customStyle="1" w:styleId="NormalunderBulletChar">
    <w:name w:val="Normal (under Bullet) Char"/>
    <w:link w:val="NormalunderBullet"/>
    <w:locked/>
    <w:rsid w:val="006442E5"/>
    <w:rPr>
      <w:rFonts w:ascii="Arial" w:eastAsia="Times New Roman" w:hAnsi="Arial" w:cs="Times New Roman"/>
      <w:sz w:val="22"/>
      <w:szCs w:val="22"/>
      <w:lang w:val="bg-BG" w:eastAsia="x-none"/>
    </w:rPr>
  </w:style>
  <w:style w:type="paragraph" w:customStyle="1" w:styleId="Table">
    <w:name w:val="Table"/>
    <w:basedOn w:val="Normal"/>
    <w:link w:val="TableChar"/>
    <w:rsid w:val="006442E5"/>
    <w:pPr>
      <w:keepNext/>
      <w:spacing w:before="180" w:after="120"/>
    </w:pPr>
    <w:rPr>
      <w:b/>
      <w:sz w:val="22"/>
      <w:lang w:eastAsia="x-none"/>
    </w:rPr>
  </w:style>
  <w:style w:type="character" w:customStyle="1" w:styleId="TableChar">
    <w:name w:val="Table Char"/>
    <w:link w:val="Table"/>
    <w:locked/>
    <w:rsid w:val="006442E5"/>
    <w:rPr>
      <w:rFonts w:ascii="Arial" w:eastAsia="Times New Roman" w:hAnsi="Arial" w:cs="Times New Roman"/>
      <w:b/>
      <w:sz w:val="22"/>
      <w:szCs w:val="22"/>
      <w:lang w:val="bg-BG" w:eastAsia="x-none"/>
    </w:rPr>
  </w:style>
  <w:style w:type="character" w:customStyle="1" w:styleId="Mention2">
    <w:name w:val="Mention2"/>
    <w:semiHidden/>
    <w:rsid w:val="006442E5"/>
    <w:rPr>
      <w:rFonts w:cs="Times New Roman"/>
      <w:color w:val="2B579A"/>
      <w:shd w:val="clear" w:color="auto" w:fill="E6E6E6"/>
    </w:rPr>
  </w:style>
  <w:style w:type="paragraph" w:customStyle="1" w:styleId="Figure">
    <w:name w:val="Figure"/>
    <w:basedOn w:val="Table"/>
    <w:link w:val="FigureChar"/>
    <w:rsid w:val="006442E5"/>
  </w:style>
  <w:style w:type="character" w:customStyle="1" w:styleId="FigureChar">
    <w:name w:val="Figure Char"/>
    <w:basedOn w:val="TableChar"/>
    <w:link w:val="Figure"/>
    <w:locked/>
    <w:rsid w:val="006442E5"/>
    <w:rPr>
      <w:rFonts w:ascii="Arial" w:eastAsia="Times New Roman" w:hAnsi="Arial" w:cs="Times New Roman"/>
      <w:b/>
      <w:sz w:val="22"/>
      <w:szCs w:val="22"/>
      <w:lang w:val="bg-BG" w:eastAsia="x-none"/>
    </w:rPr>
  </w:style>
  <w:style w:type="paragraph" w:customStyle="1" w:styleId="Box">
    <w:name w:val="Box"/>
    <w:basedOn w:val="Normal"/>
    <w:rsid w:val="006442E5"/>
    <w:pPr>
      <w:pBdr>
        <w:top w:val="single" w:sz="4" w:space="1" w:color="auto"/>
        <w:left w:val="single" w:sz="4" w:space="4" w:color="auto"/>
        <w:bottom w:val="single" w:sz="4" w:space="1" w:color="auto"/>
        <w:right w:val="single" w:sz="4" w:space="4" w:color="auto"/>
      </w:pBdr>
      <w:shd w:val="clear" w:color="auto" w:fill="DAEEF3"/>
      <w:spacing w:before="180"/>
      <w:ind w:left="426" w:right="567"/>
    </w:pPr>
  </w:style>
  <w:style w:type="paragraph" w:customStyle="1" w:styleId="TableTitle">
    <w:name w:val="TableTitle"/>
    <w:basedOn w:val="Normal"/>
    <w:rsid w:val="006442E5"/>
    <w:pPr>
      <w:numPr>
        <w:numId w:val="31"/>
      </w:numPr>
      <w:spacing w:before="240" w:after="120"/>
      <w:ind w:left="2486"/>
    </w:pPr>
    <w:rPr>
      <w:b/>
      <w:color w:val="1F497D"/>
    </w:rPr>
  </w:style>
  <w:style w:type="paragraph" w:customStyle="1" w:styleId="Bodytable">
    <w:name w:val="Body table"/>
    <w:rsid w:val="006442E5"/>
    <w:pPr>
      <w:spacing w:before="40" w:after="40"/>
    </w:pPr>
    <w:rPr>
      <w:rFonts w:ascii="Calibri" w:eastAsia="Batang" w:hAnsi="Calibri" w:cs="Arial"/>
      <w:color w:val="394A58"/>
      <w:lang w:val="bg-BG" w:eastAsia="ko-KR"/>
    </w:rPr>
  </w:style>
  <w:style w:type="character" w:customStyle="1" w:styleId="font551">
    <w:name w:val="font551"/>
    <w:rsid w:val="006442E5"/>
    <w:rPr>
      <w:rFonts w:ascii="Arial Narrow" w:hAnsi="Arial Narrow" w:cs="Times New Roman"/>
      <w:i/>
      <w:iCs/>
      <w:color w:val="000000"/>
      <w:sz w:val="20"/>
      <w:szCs w:val="20"/>
      <w:u w:val="none"/>
      <w:effect w:val="none"/>
    </w:rPr>
  </w:style>
  <w:style w:type="character" w:customStyle="1" w:styleId="font291">
    <w:name w:val="font291"/>
    <w:rsid w:val="006442E5"/>
    <w:rPr>
      <w:rFonts w:ascii="Arial Narrow" w:hAnsi="Arial Narrow" w:cs="Times New Roman"/>
      <w:color w:val="000000"/>
      <w:sz w:val="20"/>
      <w:szCs w:val="20"/>
      <w:u w:val="none"/>
      <w:effect w:val="none"/>
    </w:rPr>
  </w:style>
  <w:style w:type="paragraph" w:customStyle="1" w:styleId="FalseHeading">
    <w:name w:val="False Heading"/>
    <w:basedOn w:val="Normal"/>
    <w:next w:val="Normal"/>
    <w:link w:val="FalseHeadingChar"/>
    <w:rsid w:val="006442E5"/>
    <w:pPr>
      <w:spacing w:before="640"/>
      <w:ind w:left="1985" w:hanging="1985"/>
      <w:outlineLvl w:val="2"/>
    </w:pPr>
    <w:rPr>
      <w:color w:val="365F91"/>
      <w:sz w:val="32"/>
      <w:szCs w:val="32"/>
      <w:lang w:eastAsia="x-none"/>
    </w:rPr>
  </w:style>
  <w:style w:type="character" w:customStyle="1" w:styleId="FalseHeadingChar">
    <w:name w:val="False Heading Char"/>
    <w:link w:val="FalseHeading"/>
    <w:locked/>
    <w:rsid w:val="006442E5"/>
    <w:rPr>
      <w:rFonts w:ascii="Arial" w:eastAsia="Times New Roman" w:hAnsi="Arial" w:cs="Times New Roman"/>
      <w:color w:val="365F91"/>
      <w:sz w:val="32"/>
      <w:szCs w:val="32"/>
      <w:lang w:val="bg-BG" w:eastAsia="x-none"/>
    </w:rPr>
  </w:style>
  <w:style w:type="paragraph" w:styleId="TableofFigures">
    <w:name w:val="table of figures"/>
    <w:basedOn w:val="Normal"/>
    <w:next w:val="Normal"/>
    <w:uiPriority w:val="99"/>
    <w:qFormat/>
    <w:rsid w:val="00D325A0"/>
    <w:pPr>
      <w:spacing w:after="100" w:line="276" w:lineRule="auto"/>
      <w:jc w:val="both"/>
    </w:pPr>
    <w:rPr>
      <w:rFonts w:ascii="Times New Roman" w:hAnsi="Times New Roman"/>
      <w:sz w:val="22"/>
    </w:rPr>
  </w:style>
  <w:style w:type="paragraph" w:customStyle="1" w:styleId="TablesFigures">
    <w:name w:val="Tables &amp; Figures"/>
    <w:basedOn w:val="Table"/>
    <w:link w:val="TablesFiguresChar"/>
    <w:autoRedefine/>
    <w:rsid w:val="006442E5"/>
    <w:pPr>
      <w:keepNext w:val="0"/>
      <w:spacing w:before="0"/>
      <w:jc w:val="center"/>
    </w:pPr>
    <w:rPr>
      <w:rFonts w:ascii="Calibri" w:hAnsi="Calibri"/>
    </w:rPr>
  </w:style>
  <w:style w:type="character" w:customStyle="1" w:styleId="TablesFiguresChar">
    <w:name w:val="Tables &amp; Figures Char"/>
    <w:link w:val="TablesFigures"/>
    <w:locked/>
    <w:rsid w:val="006442E5"/>
    <w:rPr>
      <w:rFonts w:ascii="Calibri" w:eastAsia="Times New Roman" w:hAnsi="Calibri" w:cs="Times New Roman"/>
      <w:b/>
      <w:sz w:val="22"/>
      <w:szCs w:val="22"/>
      <w:lang w:val="bg-BG" w:eastAsia="x-none"/>
    </w:rPr>
  </w:style>
  <w:style w:type="paragraph" w:customStyle="1" w:styleId="Sourceline">
    <w:name w:val="Source line"/>
    <w:basedOn w:val="Normal"/>
    <w:link w:val="SourcelineChar"/>
    <w:autoRedefine/>
    <w:rsid w:val="006442E5"/>
    <w:pPr>
      <w:spacing w:after="240"/>
    </w:pPr>
    <w:rPr>
      <w:rFonts w:ascii="Calibri" w:hAnsi="Calibri"/>
      <w:i/>
      <w:sz w:val="18"/>
      <w:szCs w:val="18"/>
      <w:lang w:eastAsia="x-none"/>
    </w:rPr>
  </w:style>
  <w:style w:type="character" w:customStyle="1" w:styleId="SourcelineChar">
    <w:name w:val="Source line Char"/>
    <w:link w:val="Sourceline"/>
    <w:locked/>
    <w:rsid w:val="006442E5"/>
    <w:rPr>
      <w:rFonts w:ascii="Calibri" w:eastAsia="Times New Roman" w:hAnsi="Calibri" w:cs="Arial"/>
      <w:i/>
      <w:sz w:val="18"/>
      <w:szCs w:val="18"/>
      <w:lang w:val="bg-BG" w:eastAsia="x-none"/>
    </w:rPr>
  </w:style>
  <w:style w:type="paragraph" w:customStyle="1" w:styleId="Bullet">
    <w:name w:val="Bullet"/>
    <w:basedOn w:val="BulletNormal"/>
    <w:autoRedefine/>
    <w:rsid w:val="006442E5"/>
    <w:pPr>
      <w:spacing w:before="120" w:after="60" w:line="264" w:lineRule="auto"/>
      <w:jc w:val="both"/>
    </w:pPr>
  </w:style>
  <w:style w:type="paragraph" w:customStyle="1" w:styleId="NormalIndent1">
    <w:name w:val="Normal Indent1"/>
    <w:basedOn w:val="Footnote"/>
    <w:link w:val="NormalindentChar0"/>
    <w:autoRedefine/>
    <w:rsid w:val="006442E5"/>
    <w:pPr>
      <w:pBdr>
        <w:top w:val="single" w:sz="4" w:space="1" w:color="auto"/>
        <w:left w:val="single" w:sz="4" w:space="4" w:color="auto"/>
        <w:bottom w:val="single" w:sz="4" w:space="1" w:color="auto"/>
        <w:right w:val="single" w:sz="4" w:space="4" w:color="auto"/>
      </w:pBdr>
      <w:shd w:val="clear" w:color="auto" w:fill="B8CCE4"/>
      <w:spacing w:before="120" w:line="264" w:lineRule="auto"/>
      <w:ind w:left="397" w:right="397" w:firstLine="0"/>
      <w:jc w:val="both"/>
    </w:pPr>
    <w:rPr>
      <w:rFonts w:ascii="Times New Roman" w:hAnsi="Times New Roman"/>
      <w:sz w:val="16"/>
      <w:szCs w:val="16"/>
    </w:rPr>
  </w:style>
  <w:style w:type="character" w:customStyle="1" w:styleId="NormalindentChar0">
    <w:name w:val="Normal indent Char"/>
    <w:link w:val="NormalIndent1"/>
    <w:locked/>
    <w:rsid w:val="006442E5"/>
    <w:rPr>
      <w:rFonts w:ascii="Times New Roman" w:eastAsia="Times New Roman" w:hAnsi="Times New Roman" w:cs="Arial"/>
      <w:sz w:val="16"/>
      <w:szCs w:val="16"/>
      <w:shd w:val="clear" w:color="auto" w:fill="B8CCE4"/>
      <w:lang w:val="bg-BG" w:eastAsia="x-none"/>
    </w:rPr>
  </w:style>
  <w:style w:type="character" w:customStyle="1" w:styleId="CaptionChar">
    <w:name w:val="Caption Char"/>
    <w:aliases w:val="Legende Char,Car16 Char,Car Car Car Car Char,Car Car Car Car Car Car Car Char,Car Car Car Car Car Char,Car Car Car Car Car Car Car Car Car Car Car Car Char,Car3 Char,Car Char,légende Char,Car5 Char,Caption Char2 Char,Caption Char Char1 Char"/>
    <w:link w:val="Caption"/>
    <w:uiPriority w:val="35"/>
    <w:locked/>
    <w:rsid w:val="006442E5"/>
    <w:rPr>
      <w:rFonts w:ascii="Times New Roman" w:hAnsi="Times New Roman"/>
      <w:b/>
      <w:sz w:val="20"/>
      <w:lang w:val="bg-BG" w:eastAsia="bg-BG"/>
    </w:rPr>
  </w:style>
  <w:style w:type="paragraph" w:customStyle="1" w:styleId="Chapter">
    <w:name w:val="Chapter"/>
    <w:basedOn w:val="Heading1"/>
    <w:next w:val="Heading1"/>
    <w:rsid w:val="006442E5"/>
    <w:pPr>
      <w:keepNext w:val="0"/>
      <w:keepLines w:val="0"/>
      <w:spacing w:before="0" w:line="264" w:lineRule="auto"/>
      <w:ind w:left="1418" w:hanging="1418"/>
      <w:jc w:val="both"/>
    </w:pPr>
    <w:rPr>
      <w:rFonts w:eastAsia="Arial Unicode MS"/>
      <w:kern w:val="36"/>
      <w:szCs w:val="18"/>
      <w:lang w:eastAsia="bg-BG"/>
    </w:rPr>
  </w:style>
  <w:style w:type="paragraph" w:customStyle="1" w:styleId="Tabletxt">
    <w:name w:val="Table txt"/>
    <w:basedOn w:val="Normal"/>
    <w:link w:val="TabletxtChar"/>
    <w:rsid w:val="006442E5"/>
    <w:pPr>
      <w:autoSpaceDE w:val="0"/>
      <w:autoSpaceDN w:val="0"/>
      <w:adjustRightInd w:val="0"/>
      <w:spacing w:before="60" w:after="60" w:line="264" w:lineRule="auto"/>
    </w:pPr>
    <w:rPr>
      <w:rFonts w:ascii="Calibri" w:hAnsi="Calibri"/>
      <w:szCs w:val="20"/>
      <w:lang w:eastAsia="x-none"/>
    </w:rPr>
  </w:style>
  <w:style w:type="character" w:customStyle="1" w:styleId="TabletxtChar">
    <w:name w:val="Table txt Char"/>
    <w:link w:val="Tabletxt"/>
    <w:locked/>
    <w:rsid w:val="006442E5"/>
    <w:rPr>
      <w:rFonts w:ascii="Calibri" w:eastAsia="Times New Roman" w:hAnsi="Calibri" w:cs="Times New Roman"/>
      <w:sz w:val="20"/>
      <w:szCs w:val="20"/>
      <w:lang w:val="bg-BG" w:eastAsia="x-none"/>
    </w:rPr>
  </w:style>
  <w:style w:type="character" w:customStyle="1" w:styleId="notranslate">
    <w:name w:val="notranslate"/>
    <w:rsid w:val="006442E5"/>
    <w:rPr>
      <w:rFonts w:cs="Times New Roman"/>
    </w:rPr>
  </w:style>
  <w:style w:type="paragraph" w:customStyle="1" w:styleId="CM1">
    <w:name w:val="CM1"/>
    <w:basedOn w:val="Normal"/>
    <w:next w:val="Normal"/>
    <w:rsid w:val="006442E5"/>
    <w:pPr>
      <w:autoSpaceDE w:val="0"/>
      <w:autoSpaceDN w:val="0"/>
      <w:adjustRightInd w:val="0"/>
      <w:spacing w:after="0"/>
    </w:pPr>
    <w:rPr>
      <w:rFonts w:ascii="EUAlbertina" w:hAnsi="EUAlbertina"/>
      <w:sz w:val="24"/>
      <w:szCs w:val="24"/>
    </w:rPr>
  </w:style>
  <w:style w:type="character" w:customStyle="1" w:styleId="rpf1">
    <w:name w:val="_rp_f1"/>
    <w:rsid w:val="006442E5"/>
    <w:rPr>
      <w:rFonts w:cs="Times New Roman"/>
    </w:rPr>
  </w:style>
  <w:style w:type="character" w:customStyle="1" w:styleId="pel">
    <w:name w:val="_pe_l"/>
    <w:rsid w:val="006442E5"/>
    <w:rPr>
      <w:rFonts w:cs="Times New Roman"/>
    </w:rPr>
  </w:style>
  <w:style w:type="character" w:customStyle="1" w:styleId="bidi">
    <w:name w:val="bidi"/>
    <w:rsid w:val="006442E5"/>
    <w:rPr>
      <w:rFonts w:cs="Times New Roman"/>
    </w:rPr>
  </w:style>
  <w:style w:type="character" w:customStyle="1" w:styleId="rpp1">
    <w:name w:val="_rp_p1"/>
    <w:rsid w:val="006442E5"/>
    <w:rPr>
      <w:rFonts w:cs="Times New Roman"/>
    </w:rPr>
  </w:style>
  <w:style w:type="character" w:customStyle="1" w:styleId="allowtextselection">
    <w:name w:val="allowtextselection"/>
    <w:rsid w:val="006442E5"/>
    <w:rPr>
      <w:rFonts w:cs="Times New Roman"/>
    </w:rPr>
  </w:style>
  <w:style w:type="character" w:customStyle="1" w:styleId="dbz">
    <w:name w:val="_db_z"/>
    <w:rsid w:val="006442E5"/>
    <w:rPr>
      <w:rFonts w:cs="Times New Roman"/>
    </w:rPr>
  </w:style>
  <w:style w:type="paragraph" w:customStyle="1" w:styleId="a0">
    <w:name w:val="Абзац списка"/>
    <w:basedOn w:val="Normal"/>
    <w:rsid w:val="006442E5"/>
    <w:pPr>
      <w:spacing w:after="0"/>
      <w:ind w:left="720"/>
    </w:pPr>
    <w:rPr>
      <w:rFonts w:ascii="Verdana" w:eastAsia="Arial Unicode MS" w:hAnsi="Verdana" w:cs="Verdana"/>
      <w:color w:val="6A6A6A"/>
      <w:sz w:val="24"/>
      <w:szCs w:val="24"/>
    </w:rPr>
  </w:style>
  <w:style w:type="character" w:styleId="SubtleEmphasis">
    <w:name w:val="Subtle Emphasis"/>
    <w:qFormat/>
    <w:rsid w:val="006442E5"/>
    <w:rPr>
      <w:i/>
      <w:color w:val="808080"/>
    </w:rPr>
  </w:style>
  <w:style w:type="paragraph" w:customStyle="1" w:styleId="ftrefChar1">
    <w:name w:val="ftref Char1"/>
    <w:aliases w:val="Footnote Reference Number Char,Footnote Reference_LVL6 Char,Footnote Reference_LVL61 Char,Footnote Reference_LVL62 Char,Footnote Reference_LVL63 Char,Footnote Reference_LVL64 Char,Знак сноски-FN Char,16 Point Char"/>
    <w:basedOn w:val="Normal"/>
    <w:rsid w:val="000A1AFB"/>
    <w:pPr>
      <w:spacing w:after="160" w:line="240" w:lineRule="exact"/>
    </w:pPr>
    <w:rPr>
      <w:rFonts w:ascii="Arial Unicode MS" w:eastAsia="Arial Unicode MS" w:hAnsi="Arial Unicode MS"/>
      <w:szCs w:val="20"/>
      <w:vertAlign w:val="superscript"/>
      <w:lang w:eastAsia="bg-BG"/>
    </w:rPr>
  </w:style>
  <w:style w:type="table" w:customStyle="1" w:styleId="ListTable3-Accent13">
    <w:name w:val="List Table 3 - Accent 13"/>
    <w:rsid w:val="000A1AFB"/>
    <w:rPr>
      <w:lang w:val="bg-BG" w:eastAsia="bg-BG"/>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108" w:type="dxa"/>
        <w:bottom w:w="0" w:type="dxa"/>
        <w:right w:w="108" w:type="dxa"/>
      </w:tblCellMar>
    </w:tblPr>
  </w:style>
  <w:style w:type="table" w:customStyle="1" w:styleId="TableGrid4">
    <w:name w:val="Table Grid4"/>
    <w:rsid w:val="00C057FB"/>
    <w:rPr>
      <w:rFonts w:ascii="Calibri" w:eastAsia="Times New Roman" w:hAnsi="Calibri" w:cs="Arial"/>
      <w:sz w:val="22"/>
      <w:szCs w:val="22"/>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5">
    <w:name w:val="toc 5"/>
    <w:basedOn w:val="Normal"/>
    <w:next w:val="Normal"/>
    <w:autoRedefine/>
    <w:uiPriority w:val="39"/>
    <w:rsid w:val="00805F99"/>
    <w:pPr>
      <w:spacing w:after="100" w:line="259" w:lineRule="auto"/>
      <w:ind w:left="880"/>
    </w:pPr>
    <w:rPr>
      <w:rFonts w:ascii="Calibri" w:eastAsia="MS Mincho" w:hAnsi="Calibri" w:cs="Arial"/>
      <w:sz w:val="22"/>
      <w:lang w:val="en-US"/>
    </w:rPr>
  </w:style>
  <w:style w:type="paragraph" w:styleId="TOC6">
    <w:name w:val="toc 6"/>
    <w:basedOn w:val="Normal"/>
    <w:next w:val="Normal"/>
    <w:autoRedefine/>
    <w:uiPriority w:val="39"/>
    <w:rsid w:val="00805F99"/>
    <w:pPr>
      <w:spacing w:after="100" w:line="259" w:lineRule="auto"/>
      <w:ind w:left="1100"/>
    </w:pPr>
    <w:rPr>
      <w:rFonts w:ascii="Calibri" w:eastAsia="MS Mincho" w:hAnsi="Calibri" w:cs="Arial"/>
      <w:sz w:val="22"/>
      <w:lang w:val="en-US"/>
    </w:rPr>
  </w:style>
  <w:style w:type="paragraph" w:styleId="TOC7">
    <w:name w:val="toc 7"/>
    <w:basedOn w:val="Normal"/>
    <w:next w:val="Normal"/>
    <w:autoRedefine/>
    <w:uiPriority w:val="39"/>
    <w:rsid w:val="00805F99"/>
    <w:pPr>
      <w:spacing w:after="100" w:line="259" w:lineRule="auto"/>
      <w:ind w:left="1320"/>
    </w:pPr>
    <w:rPr>
      <w:rFonts w:ascii="Calibri" w:eastAsia="MS Mincho" w:hAnsi="Calibri" w:cs="Arial"/>
      <w:sz w:val="22"/>
      <w:lang w:val="en-US"/>
    </w:rPr>
  </w:style>
  <w:style w:type="paragraph" w:styleId="TOC8">
    <w:name w:val="toc 8"/>
    <w:basedOn w:val="Normal"/>
    <w:next w:val="Normal"/>
    <w:autoRedefine/>
    <w:uiPriority w:val="39"/>
    <w:rsid w:val="00805F99"/>
    <w:pPr>
      <w:spacing w:after="100" w:line="259" w:lineRule="auto"/>
      <w:ind w:left="1540"/>
    </w:pPr>
    <w:rPr>
      <w:rFonts w:ascii="Calibri" w:eastAsia="MS Mincho" w:hAnsi="Calibri" w:cs="Arial"/>
      <w:sz w:val="22"/>
      <w:lang w:val="en-US"/>
    </w:rPr>
  </w:style>
  <w:style w:type="paragraph" w:styleId="TOC9">
    <w:name w:val="toc 9"/>
    <w:basedOn w:val="Normal"/>
    <w:next w:val="Normal"/>
    <w:autoRedefine/>
    <w:uiPriority w:val="39"/>
    <w:rsid w:val="00805F99"/>
    <w:pPr>
      <w:spacing w:after="100" w:line="259" w:lineRule="auto"/>
      <w:ind w:left="1760"/>
    </w:pPr>
    <w:rPr>
      <w:rFonts w:ascii="Calibri" w:eastAsia="MS Mincho" w:hAnsi="Calibri" w:cs="Arial"/>
      <w:sz w:val="22"/>
      <w:lang w:val="en-US"/>
    </w:rPr>
  </w:style>
  <w:style w:type="character" w:customStyle="1" w:styleId="UnresolvedMention1">
    <w:name w:val="Unresolved Mention1"/>
    <w:semiHidden/>
    <w:rsid w:val="00805F99"/>
    <w:rPr>
      <w:rFonts w:cs="Times New Roman"/>
      <w:color w:val="808080"/>
      <w:shd w:val="clear" w:color="auto" w:fill="E6E6E6"/>
    </w:rPr>
  </w:style>
  <w:style w:type="character" w:customStyle="1" w:styleId="f">
    <w:name w:val="f"/>
    <w:rsid w:val="000952A0"/>
    <w:rPr>
      <w:rFonts w:cs="Times New Roman"/>
    </w:rPr>
  </w:style>
  <w:style w:type="table" w:customStyle="1" w:styleId="TableGrid3">
    <w:name w:val="Table Grid3"/>
    <w:rsid w:val="00FE73A1"/>
    <w:rPr>
      <w:rFonts w:eastAsia="Times New Roman"/>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Table3-Accent121">
    <w:name w:val="List Table 3 - Accent 121"/>
    <w:rsid w:val="00CD6367"/>
    <w:rPr>
      <w:rFonts w:ascii="Calibri" w:eastAsia="Times New Roman" w:hAnsi="Calibri" w:cs="Times New Roman"/>
      <w:sz w:val="22"/>
      <w:szCs w:val="22"/>
      <w:lang w:val="bg-BG" w:eastAsia="bg-BG"/>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108" w:type="dxa"/>
        <w:bottom w:w="0" w:type="dxa"/>
        <w:right w:w="108" w:type="dxa"/>
      </w:tblCellMar>
    </w:tblPr>
  </w:style>
  <w:style w:type="character" w:customStyle="1" w:styleId="UnresolvedMention11">
    <w:name w:val="Unresolved Mention11"/>
    <w:semiHidden/>
    <w:rsid w:val="00CD6367"/>
    <w:rPr>
      <w:rFonts w:cs="Times New Roman"/>
      <w:color w:val="808080"/>
      <w:shd w:val="clear" w:color="auto" w:fill="E6E6E6"/>
    </w:rPr>
  </w:style>
  <w:style w:type="character" w:customStyle="1" w:styleId="Mention3">
    <w:name w:val="Mention3"/>
    <w:semiHidden/>
    <w:rsid w:val="00CD6367"/>
    <w:rPr>
      <w:rFonts w:cs="Times New Roman"/>
      <w:color w:val="2B579A"/>
      <w:shd w:val="clear" w:color="auto" w:fill="E6E6E6"/>
    </w:rPr>
  </w:style>
  <w:style w:type="character" w:customStyle="1" w:styleId="UnresolvedMention2">
    <w:name w:val="Unresolved Mention2"/>
    <w:semiHidden/>
    <w:rsid w:val="00CD6367"/>
    <w:rPr>
      <w:rFonts w:cs="Times New Roman"/>
      <w:color w:val="808080"/>
      <w:shd w:val="clear" w:color="auto" w:fill="E6E6E6"/>
    </w:rPr>
  </w:style>
  <w:style w:type="table" w:customStyle="1" w:styleId="ListTable3-Accent51">
    <w:name w:val="List Table 3 - Accent 51"/>
    <w:rsid w:val="00AE0176"/>
    <w:rPr>
      <w:rFonts w:ascii="Calibri" w:eastAsia="Times New Roman" w:hAnsi="Calibri" w:cs="Times New Roman"/>
      <w:sz w:val="22"/>
      <w:szCs w:val="22"/>
      <w:lang w:val="bg-BG" w:eastAsia="bg-BG"/>
    </w:rPr>
    <w:tblPr>
      <w:tblStyleRowBandSize w:val="1"/>
      <w:tblStyleColBandSize w:val="1"/>
      <w:tblInd w:w="0" w:type="dxa"/>
      <w:tblBorders>
        <w:top w:val="single" w:sz="4" w:space="0" w:color="4472C4"/>
        <w:left w:val="single" w:sz="4" w:space="0" w:color="4472C4"/>
        <w:bottom w:val="single" w:sz="4" w:space="0" w:color="4472C4"/>
        <w:right w:val="single" w:sz="4" w:space="0" w:color="4472C4"/>
      </w:tblBorders>
      <w:tblCellMar>
        <w:top w:w="0" w:type="dxa"/>
        <w:left w:w="108" w:type="dxa"/>
        <w:bottom w:w="0" w:type="dxa"/>
        <w:right w:w="108" w:type="dxa"/>
      </w:tblCellMar>
    </w:tblPr>
  </w:style>
  <w:style w:type="table" w:customStyle="1" w:styleId="TableGrid41">
    <w:name w:val="Table Grid41"/>
    <w:rsid w:val="00FF27EC"/>
    <w:rPr>
      <w:rFonts w:eastAsia="Times New Roman"/>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rsid w:val="00FF27EC"/>
    <w:rPr>
      <w:rFonts w:eastAsia="Times New Roman"/>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Table3-Accent112">
    <w:name w:val="List Table 3 - Accent 112"/>
    <w:rsid w:val="00FF27EC"/>
    <w:pPr>
      <w:spacing w:before="120"/>
      <w:jc w:val="both"/>
    </w:pPr>
    <w:rPr>
      <w:rFonts w:ascii="Times New Roman" w:eastAsia="Times New Roman" w:hAnsi="Times New Roman" w:cs="Times New Roman"/>
      <w:sz w:val="23"/>
      <w:szCs w:val="23"/>
      <w:lang w:eastAsia="bg-BG"/>
    </w:rPr>
    <w:tblPr>
      <w:tblStyleRowBandSize w:val="1"/>
      <w:tblStyleColBandSize w:val="1"/>
      <w:tblInd w:w="0" w:type="dxa"/>
      <w:tblBorders>
        <w:top w:val="single" w:sz="4" w:space="0" w:color="5B9BD5"/>
        <w:left w:val="single" w:sz="4" w:space="0" w:color="5B9BD5"/>
        <w:bottom w:val="single" w:sz="4" w:space="0" w:color="5B9BD5"/>
        <w:right w:val="single" w:sz="4" w:space="0" w:color="5B9BD5"/>
      </w:tblBorders>
      <w:tblCellMar>
        <w:top w:w="0" w:type="dxa"/>
        <w:left w:w="108" w:type="dxa"/>
        <w:bottom w:w="0" w:type="dxa"/>
        <w:right w:w="108" w:type="dxa"/>
      </w:tblCellMar>
    </w:tblPr>
  </w:style>
  <w:style w:type="table" w:customStyle="1" w:styleId="ListTable3-Accent122">
    <w:name w:val="List Table 3 - Accent 122"/>
    <w:rsid w:val="00FF27EC"/>
    <w:rPr>
      <w:rFonts w:eastAsia="Times New Roman"/>
      <w:lang w:val="bg-BG" w:eastAsia="bg-BG"/>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108" w:type="dxa"/>
        <w:bottom w:w="0" w:type="dxa"/>
        <w:right w:w="108" w:type="dxa"/>
      </w:tblCellMar>
    </w:tblPr>
  </w:style>
  <w:style w:type="table" w:customStyle="1" w:styleId="TableGrid12">
    <w:name w:val="Table Grid12"/>
    <w:rsid w:val="00FF27EC"/>
    <w:rPr>
      <w:rFonts w:ascii="Calibri" w:eastAsia="Times New Roman" w:hAnsi="Calibri" w:cs="Times New Roman"/>
      <w:sz w:val="22"/>
      <w:szCs w:val="22"/>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ibliography">
    <w:name w:val="Bibliography"/>
    <w:basedOn w:val="Normal"/>
    <w:next w:val="Normal"/>
    <w:rsid w:val="00FF27EC"/>
    <w:pPr>
      <w:spacing w:after="160" w:line="259" w:lineRule="auto"/>
    </w:pPr>
    <w:rPr>
      <w:rFonts w:ascii="Calibri" w:eastAsia="Arial Unicode MS" w:hAnsi="Calibri"/>
      <w:sz w:val="22"/>
      <w:lang w:val="en-US"/>
    </w:rPr>
  </w:style>
  <w:style w:type="table" w:customStyle="1" w:styleId="TableGridLight1">
    <w:name w:val="Table Grid Light1"/>
    <w:rsid w:val="00FF27EC"/>
    <w:rPr>
      <w:rFonts w:ascii="Calibri" w:eastAsia="Times New Roman" w:hAnsi="Calibri" w:cs="Arial"/>
      <w:sz w:val="22"/>
      <w:szCs w:val="22"/>
      <w:lang w:val="bg-BG" w:eastAsia="bg-BG"/>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customStyle="1" w:styleId="1">
    <w:name w:val="Списък на абзаци1"/>
    <w:basedOn w:val="Normal"/>
    <w:rsid w:val="00FF27EC"/>
    <w:pPr>
      <w:widowControl w:val="0"/>
      <w:autoSpaceDE w:val="0"/>
      <w:autoSpaceDN w:val="0"/>
      <w:adjustRightInd w:val="0"/>
      <w:spacing w:after="0"/>
    </w:pPr>
    <w:rPr>
      <w:rFonts w:ascii="Times New Roman" w:eastAsia="Arial Unicode MS" w:hAnsi="Times New Roman"/>
      <w:szCs w:val="24"/>
      <w:lang w:val="en-US"/>
    </w:rPr>
  </w:style>
  <w:style w:type="character" w:styleId="PlaceholderText">
    <w:name w:val="Placeholder Text"/>
    <w:semiHidden/>
    <w:rsid w:val="00FF27EC"/>
    <w:rPr>
      <w:rFonts w:cs="Times New Roman"/>
      <w:color w:val="808080"/>
    </w:rPr>
  </w:style>
  <w:style w:type="paragraph" w:customStyle="1" w:styleId="BulletsNew">
    <w:name w:val="Bullets New"/>
    <w:basedOn w:val="ListParagraph1"/>
    <w:link w:val="BulletsNewChar"/>
    <w:autoRedefine/>
    <w:rsid w:val="00FF27EC"/>
    <w:pPr>
      <w:numPr>
        <w:ilvl w:val="1"/>
        <w:numId w:val="49"/>
      </w:numPr>
      <w:spacing w:before="120"/>
      <w:ind w:left="1080"/>
      <w:contextualSpacing w:val="0"/>
      <w:jc w:val="both"/>
    </w:pPr>
    <w:rPr>
      <w:rFonts w:ascii="Times New Roman" w:hAnsi="Times New Roman"/>
      <w:sz w:val="20"/>
      <w:szCs w:val="22"/>
      <w:lang w:val="en-US"/>
    </w:rPr>
  </w:style>
  <w:style w:type="character" w:customStyle="1" w:styleId="BulletsNewChar">
    <w:name w:val="Bullets New Char"/>
    <w:link w:val="BulletsNew"/>
    <w:locked/>
    <w:rsid w:val="00FF27EC"/>
    <w:rPr>
      <w:rFonts w:ascii="Times New Roman" w:eastAsia="Times New Roman" w:hAnsi="Times New Roman" w:cs="Times New Roman"/>
      <w:szCs w:val="22"/>
      <w:lang w:eastAsia="x-none"/>
    </w:rPr>
  </w:style>
  <w:style w:type="paragraph" w:customStyle="1" w:styleId="ORObservation">
    <w:name w:val="OR Observation"/>
    <w:basedOn w:val="Normal"/>
    <w:rsid w:val="00FF27EC"/>
    <w:pPr>
      <w:numPr>
        <w:ilvl w:val="1"/>
        <w:numId w:val="50"/>
      </w:numPr>
      <w:spacing w:after="240"/>
    </w:pPr>
    <w:rPr>
      <w:rFonts w:ascii="Times New Roman" w:eastAsia="Arial Unicode MS" w:hAnsi="Times New Roman"/>
      <w:sz w:val="24"/>
      <w:szCs w:val="20"/>
      <w:lang w:val="en-GB"/>
    </w:rPr>
  </w:style>
  <w:style w:type="paragraph" w:styleId="ListNumber">
    <w:name w:val="List Number"/>
    <w:basedOn w:val="BodyText"/>
    <w:rsid w:val="00FF27EC"/>
    <w:pPr>
      <w:widowControl/>
      <w:numPr>
        <w:numId w:val="51"/>
      </w:numPr>
      <w:autoSpaceDE/>
      <w:autoSpaceDN/>
      <w:adjustRightInd/>
      <w:spacing w:after="270" w:line="270" w:lineRule="atLeast"/>
    </w:pPr>
    <w:rPr>
      <w:rFonts w:eastAsia="Arial Unicode MS"/>
      <w:sz w:val="23"/>
      <w:szCs w:val="20"/>
      <w:lang w:val="en-GB" w:eastAsia="da-DK"/>
    </w:rPr>
  </w:style>
  <w:style w:type="paragraph" w:styleId="ListNumber2">
    <w:name w:val="List Number 2"/>
    <w:basedOn w:val="ListNumber"/>
    <w:rsid w:val="00FF27EC"/>
    <w:pPr>
      <w:numPr>
        <w:ilvl w:val="1"/>
      </w:numPr>
    </w:pPr>
  </w:style>
  <w:style w:type="paragraph" w:customStyle="1" w:styleId="FrontPage1">
    <w:name w:val="FrontPage1"/>
    <w:basedOn w:val="Normal"/>
    <w:next w:val="BodyText"/>
    <w:rsid w:val="00FF27EC"/>
    <w:pPr>
      <w:suppressAutoHyphens/>
      <w:spacing w:after="160" w:line="320" w:lineRule="exact"/>
    </w:pPr>
    <w:rPr>
      <w:rFonts w:eastAsia="Arial Unicode MS" w:cs="Arial"/>
      <w:sz w:val="28"/>
      <w:szCs w:val="20"/>
      <w:lang w:val="en-GB" w:eastAsia="da-DK"/>
    </w:rPr>
  </w:style>
  <w:style w:type="paragraph" w:styleId="ListNumber3">
    <w:name w:val="List Number 3"/>
    <w:basedOn w:val="ListNumber2"/>
    <w:rsid w:val="00FF27EC"/>
    <w:pPr>
      <w:numPr>
        <w:ilvl w:val="2"/>
      </w:numPr>
      <w:tabs>
        <w:tab w:val="left" w:pos="1276"/>
      </w:tabs>
      <w:ind w:left="2160" w:firstLine="0"/>
    </w:pPr>
  </w:style>
  <w:style w:type="paragraph" w:customStyle="1" w:styleId="figure0">
    <w:name w:val="figure"/>
    <w:basedOn w:val="Normal"/>
    <w:autoRedefine/>
    <w:rsid w:val="00FF27EC"/>
    <w:pPr>
      <w:spacing w:after="60"/>
      <w:jc w:val="center"/>
    </w:pPr>
    <w:rPr>
      <w:noProof/>
      <w:lang w:val="en-US"/>
    </w:rPr>
  </w:style>
  <w:style w:type="table" w:customStyle="1" w:styleId="TableGridLight11">
    <w:name w:val="Table Grid Light11"/>
    <w:rsid w:val="00FF27EC"/>
    <w:rPr>
      <w:rFonts w:ascii="Calibri" w:eastAsia="Times New Roman" w:hAnsi="Calibri" w:cs="Times New Roman"/>
      <w:sz w:val="22"/>
      <w:szCs w:val="22"/>
      <w:lang w:val="bg-BG" w:eastAsia="bg-BG"/>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TableGrid21">
    <w:name w:val="Table Grid21"/>
    <w:rsid w:val="00FF27EC"/>
    <w:rPr>
      <w:rFonts w:ascii="Calibri" w:eastAsia="Times New Roman" w:hAnsi="Calibri" w:cs="Times New Roman"/>
      <w:sz w:val="22"/>
      <w:szCs w:val="22"/>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lt-edited">
    <w:name w:val="alt-edited"/>
    <w:rsid w:val="00FF27EC"/>
    <w:rPr>
      <w:rFonts w:cs="Times New Roman"/>
    </w:rPr>
  </w:style>
  <w:style w:type="table" w:customStyle="1" w:styleId="TableGrid31">
    <w:name w:val="Table Grid31"/>
    <w:rsid w:val="00FF27EC"/>
    <w:pPr>
      <w:spacing w:before="100"/>
    </w:pPr>
    <w:rPr>
      <w:rFonts w:ascii="Calibri" w:hAnsi="Calibri" w:cs="Arial"/>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7">
    <w:name w:val="A7"/>
    <w:rsid w:val="00FF27EC"/>
    <w:rPr>
      <w:color w:val="000000"/>
      <w:sz w:val="10"/>
    </w:rPr>
  </w:style>
  <w:style w:type="paragraph" w:customStyle="1" w:styleId="Pa9">
    <w:name w:val="Pa9"/>
    <w:basedOn w:val="Default"/>
    <w:next w:val="Default"/>
    <w:rsid w:val="00FF27EC"/>
    <w:pPr>
      <w:spacing w:line="181" w:lineRule="atLeast"/>
    </w:pPr>
    <w:rPr>
      <w:rFonts w:ascii="TradeGothic CondEighteen" w:hAnsi="TradeGothic CondEighteen" w:cs="Arial Unicode MS"/>
      <w:color w:val="auto"/>
      <w:lang w:val="en-US"/>
    </w:rPr>
  </w:style>
  <w:style w:type="paragraph" w:customStyle="1" w:styleId="Numpara">
    <w:name w:val="Num_para"/>
    <w:basedOn w:val="Normal"/>
    <w:rsid w:val="00FF27EC"/>
    <w:pPr>
      <w:numPr>
        <w:numId w:val="52"/>
      </w:numPr>
      <w:spacing w:before="60" w:after="60"/>
      <w:jc w:val="both"/>
    </w:pPr>
    <w:rPr>
      <w:rFonts w:ascii="Calibri" w:hAnsi="Calibri" w:cs="Arial"/>
      <w:sz w:val="22"/>
      <w:szCs w:val="24"/>
      <w:lang w:val="en-GB"/>
    </w:rPr>
  </w:style>
  <w:style w:type="paragraph" w:customStyle="1" w:styleId="SRCharCharCharCharCharZnakCharCharCharCharZnak">
    <w:name w:val="SR Char Char Char Char Char Znak Char Char Char Char Znak"/>
    <w:basedOn w:val="Normal"/>
    <w:next w:val="Heading1"/>
    <w:autoRedefine/>
    <w:rsid w:val="00FF27EC"/>
    <w:pPr>
      <w:spacing w:after="160" w:line="240" w:lineRule="exact"/>
    </w:pPr>
    <w:rPr>
      <w:rFonts w:ascii="Times New Roman" w:eastAsia="Arial Unicode MS" w:hAnsi="Times New Roman"/>
      <w:sz w:val="22"/>
      <w:szCs w:val="20"/>
      <w:lang w:val="en-US"/>
    </w:rPr>
  </w:style>
  <w:style w:type="table" w:customStyle="1" w:styleId="LightList-Accent51">
    <w:name w:val="Light List - Accent 51"/>
    <w:rsid w:val="00FF27EC"/>
    <w:rPr>
      <w:rFonts w:eastAsia="Times New Roman"/>
      <w:lang w:val="bg-BG" w:eastAsia="bg-BG"/>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style>
  <w:style w:type="table" w:customStyle="1" w:styleId="LightList-Accent11">
    <w:name w:val="Light List - Accent 11"/>
    <w:rsid w:val="00FF27EC"/>
    <w:rPr>
      <w:rFonts w:eastAsia="Times New Roman"/>
      <w:lang w:val="bg-BG" w:eastAsia="bg-BG"/>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customStyle="1" w:styleId="MediumShading1-Accent11">
    <w:name w:val="Medium Shading 1 - Accent 11"/>
    <w:rsid w:val="00FF27EC"/>
    <w:rPr>
      <w:rFonts w:eastAsia="Times New Roman"/>
      <w:lang w:val="bg-BG" w:eastAsia="bg-BG"/>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table" w:customStyle="1" w:styleId="LightShading-Accent11">
    <w:name w:val="Light Shading - Accent 11"/>
    <w:rsid w:val="00FF27EC"/>
    <w:rPr>
      <w:rFonts w:eastAsia="Times New Roman"/>
      <w:color w:val="365F91"/>
      <w:lang w:val="bg-BG" w:eastAsia="bg-BG"/>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paragraph" w:customStyle="1" w:styleId="CowiClient">
    <w:name w:val="CowiClient"/>
    <w:basedOn w:val="FrontPage1"/>
    <w:next w:val="BlockText"/>
    <w:rsid w:val="00FF27EC"/>
    <w:rPr>
      <w:szCs w:val="28"/>
    </w:rPr>
  </w:style>
  <w:style w:type="paragraph" w:customStyle="1" w:styleId="FrontPage3">
    <w:name w:val="FrontPage3"/>
    <w:basedOn w:val="FrontPage1"/>
    <w:next w:val="BlockText"/>
    <w:rsid w:val="00FF27EC"/>
    <w:pPr>
      <w:spacing w:before="160" w:after="0"/>
    </w:pPr>
    <w:rPr>
      <w:sz w:val="20"/>
    </w:rPr>
  </w:style>
  <w:style w:type="paragraph" w:customStyle="1" w:styleId="BlockText1">
    <w:name w:val="Block Text1"/>
    <w:basedOn w:val="Normal"/>
    <w:next w:val="BlockText"/>
    <w:semiHidden/>
    <w:rsid w:val="00FF27EC"/>
    <w:pPr>
      <w:pBdr>
        <w:top w:val="single" w:sz="2" w:space="10" w:color="4F81BD" w:shadow="1"/>
        <w:left w:val="single" w:sz="2" w:space="10" w:color="4F81BD" w:shadow="1"/>
        <w:bottom w:val="single" w:sz="2" w:space="10" w:color="4F81BD" w:shadow="1"/>
        <w:right w:val="single" w:sz="2" w:space="10" w:color="4F81BD" w:shadow="1"/>
      </w:pBdr>
      <w:spacing w:after="120"/>
      <w:ind w:left="1152" w:right="1152"/>
    </w:pPr>
    <w:rPr>
      <w:rFonts w:ascii="Calibri" w:eastAsia="Arial Unicode MS" w:hAnsi="Calibri" w:cs="Arial"/>
      <w:i/>
      <w:iCs/>
      <w:color w:val="4F81BD"/>
    </w:rPr>
  </w:style>
  <w:style w:type="table" w:customStyle="1" w:styleId="GridTable5Dark-Accent11">
    <w:name w:val="Grid Table 5 Dark - Accent 11"/>
    <w:rsid w:val="00FF27EC"/>
    <w:rPr>
      <w:rFonts w:eastAsia="Times New Roman"/>
      <w:lang w:val="bg-BG" w:eastAsia="bg-BG"/>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BE5F1"/>
    </w:tcPr>
  </w:style>
  <w:style w:type="table" w:customStyle="1" w:styleId="GridTable4-Accent11">
    <w:name w:val="Grid Table 4 - Accent 11"/>
    <w:rsid w:val="00FF27EC"/>
    <w:rPr>
      <w:rFonts w:eastAsia="Times New Roman"/>
      <w:lang w:val="bg-BG" w:eastAsia="bg-BG"/>
    </w:r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style>
  <w:style w:type="character" w:customStyle="1" w:styleId="apple-style-span">
    <w:name w:val="apple-style-span"/>
    <w:rsid w:val="00FF27EC"/>
    <w:rPr>
      <w:rFonts w:cs="Times New Roman"/>
    </w:rPr>
  </w:style>
  <w:style w:type="paragraph" w:customStyle="1" w:styleId="doc-ti">
    <w:name w:val="doc-ti"/>
    <w:basedOn w:val="Normal"/>
    <w:rsid w:val="00FF27EC"/>
    <w:pPr>
      <w:spacing w:before="100" w:beforeAutospacing="1" w:after="100" w:afterAutospacing="1"/>
    </w:pPr>
    <w:rPr>
      <w:rFonts w:ascii="Times New Roman" w:eastAsia="Arial Unicode MS" w:hAnsi="Times New Roman"/>
      <w:sz w:val="24"/>
      <w:szCs w:val="24"/>
      <w:lang w:eastAsia="bg-BG"/>
    </w:rPr>
  </w:style>
  <w:style w:type="paragraph" w:customStyle="1" w:styleId="EndNoteBibliographyTitle">
    <w:name w:val="EndNote Bibliography Title"/>
    <w:basedOn w:val="Normal"/>
    <w:link w:val="EndNoteBibliographyTitleChar"/>
    <w:rsid w:val="00FF27EC"/>
    <w:pPr>
      <w:framePr w:hSpace="180" w:wrap="around" w:vAnchor="page" w:hAnchor="margin" w:y="1621"/>
      <w:spacing w:after="0" w:line="259" w:lineRule="auto"/>
      <w:jc w:val="center"/>
    </w:pPr>
    <w:rPr>
      <w:rFonts w:ascii="Calibri" w:hAnsi="Calibri"/>
      <w:noProof/>
      <w:sz w:val="22"/>
      <w:lang w:val="en-US" w:eastAsia="x-none"/>
    </w:rPr>
  </w:style>
  <w:style w:type="character" w:customStyle="1" w:styleId="EndNoteBibliographyTitleChar">
    <w:name w:val="EndNote Bibliography Title Char"/>
    <w:link w:val="EndNoteBibliographyTitle"/>
    <w:locked/>
    <w:rsid w:val="00FF27EC"/>
    <w:rPr>
      <w:rFonts w:ascii="Calibri" w:eastAsia="Times New Roman" w:hAnsi="Calibri" w:cs="Arial"/>
      <w:noProof/>
      <w:sz w:val="22"/>
      <w:szCs w:val="22"/>
      <w:lang w:val="en-US"/>
    </w:rPr>
  </w:style>
  <w:style w:type="paragraph" w:customStyle="1" w:styleId="EndNoteBibliography">
    <w:name w:val="EndNote Bibliography"/>
    <w:basedOn w:val="Normal"/>
    <w:link w:val="EndNoteBibliographyChar"/>
    <w:rsid w:val="00FF27EC"/>
    <w:pPr>
      <w:framePr w:hSpace="180" w:wrap="around" w:vAnchor="page" w:hAnchor="margin" w:y="1621"/>
      <w:spacing w:after="160"/>
    </w:pPr>
    <w:rPr>
      <w:rFonts w:ascii="Calibri" w:hAnsi="Calibri"/>
      <w:noProof/>
      <w:sz w:val="22"/>
      <w:lang w:val="en-US" w:eastAsia="x-none"/>
    </w:rPr>
  </w:style>
  <w:style w:type="character" w:customStyle="1" w:styleId="EndNoteBibliographyChar">
    <w:name w:val="EndNote Bibliography Char"/>
    <w:link w:val="EndNoteBibliography"/>
    <w:locked/>
    <w:rsid w:val="00FF27EC"/>
    <w:rPr>
      <w:rFonts w:ascii="Calibri" w:eastAsia="Times New Roman" w:hAnsi="Calibri" w:cs="Arial"/>
      <w:noProof/>
      <w:sz w:val="22"/>
      <w:szCs w:val="22"/>
      <w:lang w:val="en-US"/>
    </w:rPr>
  </w:style>
  <w:style w:type="table" w:customStyle="1" w:styleId="GridTable5Dark-Accent12">
    <w:name w:val="Grid Table 5 Dark - Accent 12"/>
    <w:rsid w:val="00FF27EC"/>
    <w:rPr>
      <w:rFonts w:eastAsia="Times New Roman"/>
      <w:lang w:val="bg-BG" w:eastAsia="bg-BG"/>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BE5F1"/>
    </w:tcPr>
  </w:style>
  <w:style w:type="table" w:customStyle="1" w:styleId="ListTable4-Accent21">
    <w:name w:val="List Table 4 - Accent 21"/>
    <w:rsid w:val="00FF27EC"/>
    <w:rPr>
      <w:rFonts w:ascii="Calibri" w:eastAsia="Times New Roman" w:hAnsi="Calibri" w:cs="Arial"/>
      <w:sz w:val="22"/>
      <w:szCs w:val="22"/>
      <w:lang w:eastAsia="bg-BG"/>
    </w:rPr>
    <w:tblPr>
      <w:tblStyleRowBandSize w:val="1"/>
      <w:tblStyleColBandSize w:val="1"/>
      <w:tblInd w:w="0" w:type="dxa"/>
      <w:tblBorders>
        <w:top w:val="single" w:sz="4" w:space="0" w:color="D99594"/>
        <w:left w:val="single" w:sz="4" w:space="0" w:color="D99594"/>
        <w:bottom w:val="single" w:sz="4" w:space="0" w:color="D99594"/>
        <w:right w:val="single" w:sz="4" w:space="0" w:color="D99594"/>
        <w:insideH w:val="single" w:sz="4" w:space="0" w:color="D99594"/>
      </w:tblBorders>
      <w:tblCellMar>
        <w:top w:w="0" w:type="dxa"/>
        <w:left w:w="108" w:type="dxa"/>
        <w:bottom w:w="0" w:type="dxa"/>
        <w:right w:w="108" w:type="dxa"/>
      </w:tblCellMar>
    </w:tblPr>
  </w:style>
  <w:style w:type="table" w:customStyle="1" w:styleId="GridTable4-Accent21">
    <w:name w:val="Grid Table 4 - Accent 21"/>
    <w:rsid w:val="00FF27EC"/>
    <w:rPr>
      <w:rFonts w:ascii="Calibri" w:eastAsia="Times New Roman" w:hAnsi="Calibri" w:cs="Arial"/>
      <w:sz w:val="22"/>
      <w:szCs w:val="22"/>
      <w:lang w:eastAsia="bg-BG"/>
    </w:rPr>
    <w:tblPr>
      <w:tblStyleRowBandSize w:val="1"/>
      <w:tblStyleColBandSize w:val="1"/>
      <w:tblInd w:w="0" w:type="dxa"/>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CellMar>
        <w:top w:w="0" w:type="dxa"/>
        <w:left w:w="108" w:type="dxa"/>
        <w:bottom w:w="0" w:type="dxa"/>
        <w:right w:w="108" w:type="dxa"/>
      </w:tblCellMar>
    </w:tblPr>
  </w:style>
  <w:style w:type="table" w:customStyle="1" w:styleId="GridTable4-Accent12">
    <w:name w:val="Grid Table 4 - Accent 12"/>
    <w:rsid w:val="00FF27EC"/>
    <w:rPr>
      <w:rFonts w:eastAsia="Times New Roman"/>
      <w:lang w:val="bg-BG" w:eastAsia="bg-BG"/>
    </w:r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style>
  <w:style w:type="table" w:customStyle="1" w:styleId="TableGrid42">
    <w:name w:val="Table Grid42"/>
    <w:rsid w:val="00FF27EC"/>
    <w:rPr>
      <w:rFonts w:eastAsia="Times New Roman"/>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
    <w:name w:val="Table Grid411"/>
    <w:rsid w:val="00FF27EC"/>
    <w:rPr>
      <w:rFonts w:eastAsia="Times New Roman"/>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2">
    <w:name w:val="Table Grid412"/>
    <w:rsid w:val="00FF27EC"/>
    <w:rPr>
      <w:rFonts w:eastAsia="Times New Roman"/>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3">
    <w:name w:val="Unresolved Mention3"/>
    <w:semiHidden/>
    <w:rsid w:val="00FF27EC"/>
    <w:rPr>
      <w:rFonts w:cs="Times New Roman"/>
      <w:color w:val="808080"/>
      <w:shd w:val="clear" w:color="auto" w:fill="E6E6E6"/>
    </w:rPr>
  </w:style>
  <w:style w:type="table" w:customStyle="1" w:styleId="LightList-Accent52">
    <w:name w:val="Light List - Accent 52"/>
    <w:rsid w:val="00FF27EC"/>
    <w:rPr>
      <w:rFonts w:eastAsia="Times New Roman"/>
      <w:lang w:val="bg-BG" w:eastAsia="bg-BG"/>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style>
  <w:style w:type="paragraph" w:styleId="BlockText">
    <w:name w:val="Block Text"/>
    <w:basedOn w:val="Normal"/>
    <w:semiHidden/>
    <w:rsid w:val="00FF27EC"/>
    <w:pPr>
      <w:pBdr>
        <w:top w:val="single" w:sz="2" w:space="10" w:color="4F81BD"/>
        <w:left w:val="single" w:sz="2" w:space="10" w:color="4F81BD"/>
        <w:bottom w:val="single" w:sz="2" w:space="10" w:color="4F81BD"/>
        <w:right w:val="single" w:sz="2" w:space="10" w:color="4F81BD"/>
      </w:pBdr>
      <w:ind w:left="1152" w:right="1152"/>
    </w:pPr>
    <w:rPr>
      <w:rFonts w:ascii="Calibri" w:eastAsia="MS Mincho" w:hAnsi="Calibri" w:cs="Arial"/>
      <w:i/>
      <w:iCs/>
      <w:color w:val="4F81BD"/>
    </w:rPr>
  </w:style>
  <w:style w:type="character" w:customStyle="1" w:styleId="UnresolvedMention4">
    <w:name w:val="Unresolved Mention4"/>
    <w:semiHidden/>
    <w:rsid w:val="00045F19"/>
    <w:rPr>
      <w:rFonts w:cs="Times New Roman"/>
      <w:color w:val="808080"/>
      <w:shd w:val="clear" w:color="auto" w:fill="E6E6E6"/>
    </w:rPr>
  </w:style>
  <w:style w:type="character" w:customStyle="1" w:styleId="UnresolvedMention5">
    <w:name w:val="Unresolved Mention5"/>
    <w:semiHidden/>
    <w:rsid w:val="00586A53"/>
    <w:rPr>
      <w:rFonts w:cs="Times New Roman"/>
      <w:color w:val="808080"/>
      <w:shd w:val="clear" w:color="auto" w:fill="E6E6E6"/>
    </w:rPr>
  </w:style>
  <w:style w:type="numbering" w:customStyle="1" w:styleId="Style1">
    <w:name w:val="Style1"/>
    <w:rsid w:val="001B4895"/>
    <w:pPr>
      <w:numPr>
        <w:numId w:val="53"/>
      </w:numPr>
    </w:pPr>
  </w:style>
  <w:style w:type="character" w:customStyle="1" w:styleId="UnresolvedMention6">
    <w:name w:val="Unresolved Mention6"/>
    <w:basedOn w:val="DefaultParagraphFont"/>
    <w:uiPriority w:val="99"/>
    <w:semiHidden/>
    <w:unhideWhenUsed/>
    <w:rsid w:val="004E6834"/>
    <w:rPr>
      <w:color w:val="808080"/>
      <w:shd w:val="clear" w:color="auto" w:fill="E6E6E6"/>
    </w:rPr>
  </w:style>
  <w:style w:type="paragraph" w:styleId="ListParagraph">
    <w:name w:val="List Paragraph"/>
    <w:basedOn w:val="Normal"/>
    <w:uiPriority w:val="34"/>
    <w:qFormat/>
    <w:rsid w:val="00DD63A4"/>
    <w:pPr>
      <w:ind w:left="720"/>
      <w:contextualSpacing/>
    </w:pPr>
  </w:style>
  <w:style w:type="character" w:customStyle="1" w:styleId="UnresolvedMention">
    <w:name w:val="Unresolved Mention"/>
    <w:basedOn w:val="DefaultParagraphFont"/>
    <w:uiPriority w:val="99"/>
    <w:semiHidden/>
    <w:unhideWhenUsed/>
    <w:rsid w:val="000614A3"/>
    <w:rPr>
      <w:color w:val="808080"/>
      <w:shd w:val="clear" w:color="auto" w:fill="E6E6E6"/>
    </w:rPr>
  </w:style>
  <w:style w:type="paragraph" w:customStyle="1" w:styleId="FiguresTablesCaption">
    <w:name w:val="Figures &amp; Tables Caption"/>
    <w:basedOn w:val="Normal"/>
    <w:link w:val="FiguresTablesCaptionChar"/>
    <w:qFormat/>
    <w:rsid w:val="00DD29F3"/>
    <w:pPr>
      <w:keepNext/>
      <w:spacing w:before="200" w:after="120"/>
      <w:jc w:val="center"/>
    </w:pPr>
    <w:rPr>
      <w:rFonts w:ascii="Calibri" w:hAnsi="Calibri"/>
      <w:b/>
      <w:i/>
      <w:iCs/>
      <w:color w:val="44546A"/>
      <w:sz w:val="22"/>
      <w:szCs w:val="18"/>
      <w:lang w:eastAsia="bg-BG"/>
    </w:rPr>
  </w:style>
  <w:style w:type="character" w:customStyle="1" w:styleId="FiguresTablesCaptionChar">
    <w:name w:val="Figures &amp; Tables Caption Char"/>
    <w:basedOn w:val="DefaultParagraphFont"/>
    <w:link w:val="FiguresTablesCaption"/>
    <w:rsid w:val="00DD29F3"/>
    <w:rPr>
      <w:rFonts w:ascii="Calibri" w:eastAsia="Times New Roman" w:hAnsi="Calibri" w:cs="Times New Roman"/>
      <w:b/>
      <w:i/>
      <w:iCs/>
      <w:color w:val="44546A"/>
      <w:sz w:val="22"/>
      <w:szCs w:val="18"/>
      <w:lang w:val="bg-BG" w:eastAsia="bg-B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sChild>
        <w:div w:id="19">
          <w:marLeft w:val="547"/>
          <w:marRight w:val="0"/>
          <w:marTop w:val="106"/>
          <w:marBottom w:val="0"/>
          <w:divBdr>
            <w:top w:val="none" w:sz="0" w:space="0" w:color="auto"/>
            <w:left w:val="none" w:sz="0" w:space="0" w:color="auto"/>
            <w:bottom w:val="none" w:sz="0" w:space="0" w:color="auto"/>
            <w:right w:val="none" w:sz="0" w:space="0" w:color="auto"/>
          </w:divBdr>
        </w:div>
        <w:div w:id="21">
          <w:marLeft w:val="547"/>
          <w:marRight w:val="0"/>
          <w:marTop w:val="106"/>
          <w:marBottom w:val="0"/>
          <w:divBdr>
            <w:top w:val="none" w:sz="0" w:space="0" w:color="auto"/>
            <w:left w:val="none" w:sz="0" w:space="0" w:color="auto"/>
            <w:bottom w:val="none" w:sz="0" w:space="0" w:color="auto"/>
            <w:right w:val="none" w:sz="0" w:space="0" w:color="auto"/>
          </w:divBdr>
        </w:div>
      </w:divsChild>
    </w:div>
    <w:div w:id="15">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
    <w:div w:id="17">
      <w:marLeft w:val="0"/>
      <w:marRight w:val="0"/>
      <w:marTop w:val="0"/>
      <w:marBottom w:val="0"/>
      <w:divBdr>
        <w:top w:val="none" w:sz="0" w:space="0" w:color="auto"/>
        <w:left w:val="none" w:sz="0" w:space="0" w:color="auto"/>
        <w:bottom w:val="none" w:sz="0" w:space="0" w:color="auto"/>
        <w:right w:val="none" w:sz="0" w:space="0" w:color="auto"/>
      </w:divBdr>
    </w:div>
    <w:div w:id="18">
      <w:marLeft w:val="0"/>
      <w:marRight w:val="0"/>
      <w:marTop w:val="0"/>
      <w:marBottom w:val="0"/>
      <w:divBdr>
        <w:top w:val="none" w:sz="0" w:space="0" w:color="auto"/>
        <w:left w:val="none" w:sz="0" w:space="0" w:color="auto"/>
        <w:bottom w:val="none" w:sz="0" w:space="0" w:color="auto"/>
        <w:right w:val="none" w:sz="0" w:space="0" w:color="auto"/>
      </w:divBdr>
    </w:div>
    <w:div w:id="20">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citylab.com/design/2015/05/in-paris-plans-for-a-river-seine-reinvention/392639/" TargetMode="External"/><Relationship Id="rId21" Type="http://schemas.openxmlformats.org/officeDocument/2006/relationships/image" Target="media/image8.emf"/><Relationship Id="rId42" Type="http://schemas.openxmlformats.org/officeDocument/2006/relationships/image" Target="media/image21.png"/><Relationship Id="rId63" Type="http://schemas.openxmlformats.org/officeDocument/2006/relationships/hyperlink" Target="http://dx.doi.org/10.1080/15693430600688831" TargetMode="External"/><Relationship Id="rId84" Type="http://schemas.openxmlformats.org/officeDocument/2006/relationships/hyperlink" Target="http://www.iied.org/pubs/display.php?o=10549IIED" TargetMode="External"/><Relationship Id="rId138" Type="http://schemas.openxmlformats.org/officeDocument/2006/relationships/image" Target="media/image33.png"/><Relationship Id="rId159" Type="http://schemas.openxmlformats.org/officeDocument/2006/relationships/hyperlink" Target="http://www.ipacbc-bgrs.eu/" TargetMode="External"/><Relationship Id="rId170" Type="http://schemas.microsoft.com/office/2011/relationships/people" Target="people.xml"/><Relationship Id="rId107" Type="http://schemas.openxmlformats.org/officeDocument/2006/relationships/hyperlink" Target="http://ec.europa.eu/regional_policy/en/funding/solidarity-fund/" TargetMode="External"/><Relationship Id="rId11" Type="http://schemas.openxmlformats.org/officeDocument/2006/relationships/footer" Target="footer1.xml"/><Relationship Id="rId32" Type="http://schemas.openxmlformats.org/officeDocument/2006/relationships/image" Target="media/image12.jpeg"/><Relationship Id="rId53" Type="http://schemas.openxmlformats.org/officeDocument/2006/relationships/hyperlink" Target="http://ec.europa.eu/growth/sectors/construction/observatory_en" TargetMode="External"/><Relationship Id="rId74" Type="http://schemas.openxmlformats.org/officeDocument/2006/relationships/hyperlink" Target="http://www.nsi.bg/sites/default/files/files/data/timeseries/Crisis1.1.xls" TargetMode="External"/><Relationship Id="rId128" Type="http://schemas.openxmlformats.org/officeDocument/2006/relationships/image" Target="media/image28.png"/><Relationship Id="rId149" Type="http://schemas.openxmlformats.org/officeDocument/2006/relationships/hyperlink" Target="http://www.eea.europa.eu/publications/urban-adaptation-to-climate-change" TargetMode="External"/><Relationship Id="rId5" Type="http://schemas.openxmlformats.org/officeDocument/2006/relationships/settings" Target="settings.xml"/><Relationship Id="rId95" Type="http://schemas.openxmlformats.org/officeDocument/2006/relationships/hyperlink" Target="http://unfccc.int/resource/docs/publications/pub_nwp_costs_benefits_adaptation.pdf" TargetMode="External"/><Relationship Id="rId160" Type="http://schemas.openxmlformats.org/officeDocument/2006/relationships/hyperlink" Target="http://www.ipa-cbc-007.eu/" TargetMode="External"/><Relationship Id="rId22" Type="http://schemas.openxmlformats.org/officeDocument/2006/relationships/image" Target="media/image9.emf"/><Relationship Id="rId43" Type="http://schemas.openxmlformats.org/officeDocument/2006/relationships/image" Target="media/image22.png"/><Relationship Id="rId64" Type="http://schemas.openxmlformats.org/officeDocument/2006/relationships/hyperlink" Target="https://books.google.bg/books?id=H78uqYbtXSoC&amp;pg=PA113&amp;lpg=PA113&amp;dq=Current+institutionalisation+of+the+Climate+Change+adaptation+in+the+UK&amp;source=bl&amp;ots=UKPlJ4rMIH&amp;sig=cmnJEtOKytWkblUNRMO24kBTxcI&amp;hl=bg&amp;sa=X&amp;ved=0ahUKEwj0vv3qtbrTAhWDFCwKHSuaDrgQ6AEIOTAB" TargetMode="External"/><Relationship Id="rId118" Type="http://schemas.openxmlformats.org/officeDocument/2006/relationships/hyperlink" Target="http://climate-adapt.eea.europa.eu/metadata/adaptation-options/awareness-campaigns-for-behavioural-change" TargetMode="External"/><Relationship Id="rId139" Type="http://schemas.openxmlformats.org/officeDocument/2006/relationships/image" Target="media/image34.png"/><Relationship Id="rId85" Type="http://schemas.openxmlformats.org/officeDocument/2006/relationships/hyperlink" Target="http://www.iied.org/pubs/display.php?o=10549IIED" TargetMode="External"/><Relationship Id="rId150" Type="http://schemas.openxmlformats.org/officeDocument/2006/relationships/hyperlink" Target="http://www.eea.europa.eu/publications/urban-adaptation-2016" TargetMode="External"/><Relationship Id="rId12" Type="http://schemas.openxmlformats.org/officeDocument/2006/relationships/image" Target="media/image1.jpeg"/><Relationship Id="rId33" Type="http://schemas.openxmlformats.org/officeDocument/2006/relationships/image" Target="media/image13.jpeg"/><Relationship Id="rId38" Type="http://schemas.openxmlformats.org/officeDocument/2006/relationships/image" Target="media/image18.emf"/><Relationship Id="rId59" Type="http://schemas.openxmlformats.org/officeDocument/2006/relationships/hyperlink" Target="https://www.gov.uk/government/uploads/system/uploads/attachment_data/file/209866/pb13942-nap-20130701.pdf" TargetMode="External"/><Relationship Id="rId103" Type="http://schemas.openxmlformats.org/officeDocument/2006/relationships/hyperlink" Target="http://eur-lex.europa.eu/legal-content/BG/TXT/?uri=celex:32013R1303" TargetMode="External"/><Relationship Id="rId108" Type="http://schemas.openxmlformats.org/officeDocument/2006/relationships/hyperlink" Target="http://ec.europa.eu/social/main.jsp?catId=1089&amp;langId=en" TargetMode="External"/><Relationship Id="rId124" Type="http://schemas.openxmlformats.org/officeDocument/2006/relationships/hyperlink" Target="http://www.eufunds.bg/index.php/bg/operativni-programi/regionalno-razvitie/komunikatzionen-plan-na-oprr" TargetMode="External"/><Relationship Id="rId129" Type="http://schemas.openxmlformats.org/officeDocument/2006/relationships/image" Target="media/image29.png"/><Relationship Id="rId54" Type="http://schemas.openxmlformats.org/officeDocument/2006/relationships/hyperlink" Target="https://www.eea.europa.eu/publications/adaptation-in-europe" TargetMode="External"/><Relationship Id="rId70" Type="http://schemas.openxmlformats.org/officeDocument/2006/relationships/hyperlink" Target="http://www.isocarp.net/Data/case_studies/1596.pdf" TargetMode="External"/><Relationship Id="rId75" Type="http://schemas.openxmlformats.org/officeDocument/2006/relationships/hyperlink" Target="http://www.nsi.bg/sites/default/files/files/publications/StatBook2016.pdf" TargetMode="External"/><Relationship Id="rId91" Type="http://schemas.openxmlformats.org/officeDocument/2006/relationships/hyperlink" Target="http://www.peer.eu/fileadmin/user_upload/publications/PEER_Report1.pdf%20Last%20accessed%2025.04.2017" TargetMode="External"/><Relationship Id="rId96" Type="http://schemas.openxmlformats.org/officeDocument/2006/relationships/hyperlink" Target="https://arizona.pure.elsevier.com/en/publications/group-decision-support-system-impact-multi-methodological-explora" TargetMode="External"/><Relationship Id="rId140" Type="http://schemas.openxmlformats.org/officeDocument/2006/relationships/image" Target="media/image35.png"/><Relationship Id="rId145" Type="http://schemas.openxmlformats.org/officeDocument/2006/relationships/image" Target="media/image40.png"/><Relationship Id="rId161" Type="http://schemas.openxmlformats.org/officeDocument/2006/relationships/hyperlink" Target="https://www.ipacbc-bgtr.eu/" TargetMode="External"/><Relationship Id="rId166" Type="http://schemas.openxmlformats.org/officeDocument/2006/relationships/hyperlink" Target="http://www.nspbzn.mvr.bg/NR/rdonlyres/317033AA-E99D-4C51-AC8E-DB37272F2866/0/NPZB_20142018.pdf"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5.emf"/><Relationship Id="rId28" Type="http://schemas.openxmlformats.org/officeDocument/2006/relationships/image" Target="media/image8.png"/><Relationship Id="rId49" Type="http://schemas.openxmlformats.org/officeDocument/2006/relationships/hyperlink" Target="https://www.weadapt.org/knowledge-base/economics-of-adaptation/adapting-to-climate-change-in-the-netherlands" TargetMode="External"/><Relationship Id="rId114" Type="http://schemas.openxmlformats.org/officeDocument/2006/relationships/hyperlink" Target="http://www.100resilientcities.org/resources/" TargetMode="External"/><Relationship Id="rId119" Type="http://schemas.openxmlformats.org/officeDocument/2006/relationships/hyperlink" Target="http://web.unep.org/coastal-eba/capacity-building-mainstreaming" TargetMode="External"/><Relationship Id="rId44" Type="http://schemas.openxmlformats.org/officeDocument/2006/relationships/image" Target="media/image23.png"/><Relationship Id="rId60" Type="http://schemas.openxmlformats.org/officeDocument/2006/relationships/hyperlink" Target="https://archive.org/stream/climatelondon00howagoog" TargetMode="External"/><Relationship Id="rId65" Type="http://schemas.openxmlformats.org/officeDocument/2006/relationships/hyperlink" Target="https://www.ipcc.ch/pdf/assessment-report/ar4/wg1/ar4-wg1-chapter1.pdf" TargetMode="External"/><Relationship Id="rId81" Type="http://schemas.openxmlformats.org/officeDocument/2006/relationships/hyperlink" Target="http://uccrn.org/files/2015/01/ARC3-Frontmatter-Final.pdf" TargetMode="External"/><Relationship Id="rId86" Type="http://schemas.openxmlformats.org/officeDocument/2006/relationships/hyperlink" Target="http://www.justiceandenvironment.org/_files/file/2011%20CC%20AT(1).pdf" TargetMode="External"/><Relationship Id="rId130" Type="http://schemas.openxmlformats.org/officeDocument/2006/relationships/image" Target="media/image30.png"/><Relationship Id="rId135" Type="http://schemas.openxmlformats.org/officeDocument/2006/relationships/chart" Target="charts/chart3.xml"/><Relationship Id="rId151" Type="http://schemas.openxmlformats.org/officeDocument/2006/relationships/hyperlink" Target="http://urbact.eu/resilient-europe" TargetMode="External"/><Relationship Id="rId156" Type="http://schemas.openxmlformats.org/officeDocument/2006/relationships/hyperlink" Target="http://www.greendigitalcharter.eu/" TargetMode="External"/><Relationship Id="rId13" Type="http://schemas.openxmlformats.org/officeDocument/2006/relationships/image" Target="media/image2.emf"/><Relationship Id="rId39" Type="http://schemas.openxmlformats.org/officeDocument/2006/relationships/image" Target="media/image19.png"/><Relationship Id="rId109" Type="http://schemas.openxmlformats.org/officeDocument/2006/relationships/hyperlink" Target="https://reliefweb.int/report/world/unbreakable-building-resilience-poor-face-natural-disasters" TargetMode="External"/><Relationship Id="rId34" Type="http://schemas.openxmlformats.org/officeDocument/2006/relationships/image" Target="media/image14.png"/><Relationship Id="rId50" Type="http://schemas.openxmlformats.org/officeDocument/2006/relationships/hyperlink" Target="http://www.isocarp.net/Data/case_studies/1928.pdf" TargetMode="External"/><Relationship Id="rId55" Type="http://schemas.openxmlformats.org/officeDocument/2006/relationships/hyperlink" Target="http://climate-adapt.eea.europa.eu/countries/bulgaria" TargetMode="External"/><Relationship Id="rId76" Type="http://schemas.openxmlformats.org/officeDocument/2006/relationships/hyperlink" Target="http://dx.doi.org/10.1787/9789264235410-en" TargetMode="External"/><Relationship Id="rId97" Type="http://schemas.openxmlformats.org/officeDocument/2006/relationships/hyperlink" Target="http://www.un-documents.net/wced-ocf.htm" TargetMode="External"/><Relationship Id="rId104" Type="http://schemas.openxmlformats.org/officeDocument/2006/relationships/hyperlink" Target="http://ec.europa.eu/social/main.jsp?catId=1089&amp;langId=en" TargetMode="External"/><Relationship Id="rId120" Type="http://schemas.openxmlformats.org/officeDocument/2006/relationships/hyperlink" Target="http://climate-adapt.eea.europa.eu/" TargetMode="External"/><Relationship Id="rId125" Type="http://schemas.openxmlformats.org/officeDocument/2006/relationships/image" Target="media/image25.png"/><Relationship Id="rId141" Type="http://schemas.openxmlformats.org/officeDocument/2006/relationships/image" Target="media/image36.png"/><Relationship Id="rId146" Type="http://schemas.openxmlformats.org/officeDocument/2006/relationships/image" Target="media/image41.png"/><Relationship Id="rId167" Type="http://schemas.openxmlformats.org/officeDocument/2006/relationships/hyperlink" Target="http://www.mrrb.government.bg/nacionalna-programa-za-prevenciya-i-ogranichavane-na-svlachistata-na-teritoriyata-na-republika-bulgariya-eroziyata-i-abraziyata-po-dunavskoto-i-chernomorskoto-krajbrejie-2015-2020-g-i-dopulnenie-kum-neya-s-novovuzniknali-77199/" TargetMode="External"/><Relationship Id="rId7" Type="http://schemas.openxmlformats.org/officeDocument/2006/relationships/footnotes" Target="footnotes.xml"/><Relationship Id="rId71" Type="http://schemas.openxmlformats.org/officeDocument/2006/relationships/hyperlink" Target="http://link.springer.com/article/10.1007/s10584-010-9980-9" TargetMode="External"/><Relationship Id="rId92" Type="http://schemas.openxmlformats.org/officeDocument/2006/relationships/hyperlink" Target="http://ec.europa.eu/regional_policy/en/information/publications/communications/2011/territorial-agenda-of-the-european-union-2020" TargetMode="External"/><Relationship Id="rId162" Type="http://schemas.openxmlformats.org/officeDocument/2006/relationships/hyperlink" Target="http://www.interreg-danube.eu/about-dtp" TargetMode="External"/><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image" Target="media/image6.emf"/><Relationship Id="rId40" Type="http://schemas.openxmlformats.org/officeDocument/2006/relationships/image" Target="media/image20.jpeg"/><Relationship Id="rId45" Type="http://schemas.openxmlformats.org/officeDocument/2006/relationships/image" Target="media/image24.png"/><Relationship Id="rId66" Type="http://schemas.openxmlformats.org/officeDocument/2006/relationships/hyperlink" Target="http://www.eukn.eu/fileadmin/Files/EU_Presidencies/Hungarian_Presidency/Climate-friendly_cities_2011.pdf" TargetMode="External"/><Relationship Id="rId87" Type="http://schemas.openxmlformats.org/officeDocument/2006/relationships/hyperlink" Target="http://dx.doi.org/10.1016/j.gloenvcha.2006.03.008" TargetMode="External"/><Relationship Id="rId110" Type="http://schemas.openxmlformats.org/officeDocument/2006/relationships/hyperlink" Target="https://new.usgbc.org/leed" TargetMode="External"/><Relationship Id="rId115" Type="http://schemas.openxmlformats.org/officeDocument/2006/relationships/hyperlink" Target="https://www.nycgovparks.org/park-features/parks-list?boro=M" TargetMode="External"/><Relationship Id="rId131" Type="http://schemas.openxmlformats.org/officeDocument/2006/relationships/image" Target="media/image31.png"/><Relationship Id="rId136" Type="http://schemas.openxmlformats.org/officeDocument/2006/relationships/chart" Target="charts/chart4.xml"/><Relationship Id="rId157" Type="http://schemas.openxmlformats.org/officeDocument/2006/relationships/hyperlink" Target="http://www.greendigitalcharter.eu/projects/niceproject" TargetMode="External"/><Relationship Id="rId61" Type="http://schemas.openxmlformats.org/officeDocument/2006/relationships/hyperlink" Target="http://link.springer.com/article/10.1007/s10584-010-9975-6" TargetMode="External"/><Relationship Id="rId82" Type="http://schemas.openxmlformats.org/officeDocument/2006/relationships/hyperlink" Target="http://www.sciencedirect.com/science/article/pii/S0959378010000269" TargetMode="External"/><Relationship Id="rId152" Type="http://schemas.openxmlformats.org/officeDocument/2006/relationships/hyperlink" Target="http://climate-adapt.eea.europa.eu/repository/11156095.pdf/view" TargetMode="External"/><Relationship Id="rId14" Type="http://schemas.openxmlformats.org/officeDocument/2006/relationships/image" Target="media/image3.emf"/><Relationship Id="rId30" Type="http://schemas.openxmlformats.org/officeDocument/2006/relationships/image" Target="media/image10.png"/><Relationship Id="rId35" Type="http://schemas.openxmlformats.org/officeDocument/2006/relationships/image" Target="media/image15.png"/><Relationship Id="rId56" Type="http://schemas.openxmlformats.org/officeDocument/2006/relationships/hyperlink" Target="https://www.eea.europa.eu/publications/urban-adaptation-2016" TargetMode="External"/><Relationship Id="rId77" Type="http://schemas.openxmlformats.org/officeDocument/2006/relationships/hyperlink" Target="http://ec.europa.eu/regional_policy/en/atlas/programmes/2014-2020/bulgaria/2014bg16rfop001" TargetMode="External"/><Relationship Id="rId100" Type="http://schemas.openxmlformats.org/officeDocument/2006/relationships/hyperlink" Target="http://ec.europa.eu/growth/industry/innovation/policy/social/competition_en" TargetMode="External"/><Relationship Id="rId105" Type="http://schemas.openxmlformats.org/officeDocument/2006/relationships/hyperlink" Target="http://www.covenantofmayors.eu/Adaptation.html" TargetMode="External"/><Relationship Id="rId126" Type="http://schemas.openxmlformats.org/officeDocument/2006/relationships/image" Target="media/image26.png"/><Relationship Id="rId147" Type="http://schemas.openxmlformats.org/officeDocument/2006/relationships/hyperlink" Target="http://ec.europa.eu/eurostat/web/cities/data/database" TargetMode="External"/><Relationship Id="rId168"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yperlink" Target="http://ec.europa.eu/regional_policy/sources/docoffic/official/reports/pdf/sum_en.pdf" TargetMode="External"/><Relationship Id="rId72" Type="http://schemas.openxmlformats.org/officeDocument/2006/relationships/hyperlink" Target="http://www.lse.ac.uk/GranthamInstitute/wp-content/uploads/2015/05/SWEDEN.pdf" TargetMode="External"/><Relationship Id="rId93" Type="http://schemas.openxmlformats.org/officeDocument/2006/relationships/hyperlink" Target="https://sustainabledevelopment.un.org/content/documents/Agenda21.pdf" TargetMode="External"/><Relationship Id="rId98" Type="http://schemas.openxmlformats.org/officeDocument/2006/relationships/hyperlink" Target="http://osi.bg/downloads/File/2016/energy4.pdf" TargetMode="External"/><Relationship Id="rId121" Type="http://schemas.openxmlformats.org/officeDocument/2006/relationships/hyperlink" Target="http://www.covenantofmayors.eu/Adaptation.html" TargetMode="External"/><Relationship Id="rId142" Type="http://schemas.openxmlformats.org/officeDocument/2006/relationships/image" Target="media/image37.png"/><Relationship Id="rId163" Type="http://schemas.openxmlformats.org/officeDocument/2006/relationships/footer" Target="footer2.xml"/><Relationship Id="rId3" Type="http://schemas.openxmlformats.org/officeDocument/2006/relationships/styles" Target="styles.xml"/><Relationship Id="rId25" Type="http://schemas.openxmlformats.org/officeDocument/2006/relationships/image" Target="media/image12.emf"/><Relationship Id="rId46" Type="http://schemas.openxmlformats.org/officeDocument/2006/relationships/hyperlink" Target="http://eur-lex.europa.eu/legal-content/EN/TXT/?uri=celex%3A52013DC0216" TargetMode="External"/><Relationship Id="rId67" Type="http://schemas.openxmlformats.org/officeDocument/2006/relationships/hyperlink" Target="https://www.mlsp.government.bg/index.php?section=POLICIES&amp;lang=_eng&amp;P=279" TargetMode="External"/><Relationship Id="rId116" Type="http://schemas.openxmlformats.org/officeDocument/2006/relationships/hyperlink" Target="https://www.star2.com/living/2017/11/11/restoration-cheonggye-stream-seoul/" TargetMode="External"/><Relationship Id="rId137" Type="http://schemas.openxmlformats.org/officeDocument/2006/relationships/image" Target="media/image32.png"/><Relationship Id="rId158" Type="http://schemas.openxmlformats.org/officeDocument/2006/relationships/hyperlink" Target="http://www.fpdd.bg/en/page/cbc_bg-ro" TargetMode="External"/><Relationship Id="rId20" Type="http://schemas.openxmlformats.org/officeDocument/2006/relationships/image" Target="media/image7.emf"/><Relationship Id="rId41" Type="http://schemas.openxmlformats.org/officeDocument/2006/relationships/hyperlink" Target="https://portal.seea.government.bg/Application/Details?docTypeID=1" TargetMode="External"/><Relationship Id="rId62" Type="http://schemas.openxmlformats.org/officeDocument/2006/relationships/hyperlink" Target="https://www.ipcc.ch/pdf/assessment-report/ar5/wg2/WGIIAR5-Chap14_FINAL.pdf" TargetMode="External"/><Relationship Id="rId83" Type="http://schemas.openxmlformats.org/officeDocument/2006/relationships/hyperlink" Target="http://pubs.iied.org/pdfs/11500IIED.pdf" TargetMode="External"/><Relationship Id="rId88" Type="http://schemas.openxmlformats.org/officeDocument/2006/relationships/hyperlink" Target="https://link.springer.com/article/10.1023/A:1005661622966" TargetMode="External"/><Relationship Id="rId111" Type="http://schemas.openxmlformats.org/officeDocument/2006/relationships/hyperlink" Target="http://www.ectp-ceu.eu/index.php/en/9-news/news-archive/244-the-9th-planning-awards-29" TargetMode="External"/><Relationship Id="rId132" Type="http://schemas.openxmlformats.org/officeDocument/2006/relationships/chart" Target="charts/chart1.xml"/><Relationship Id="rId153" Type="http://schemas.openxmlformats.org/officeDocument/2006/relationships/hyperlink" Target="http://www.espon.eu/main/Menu_Projects/Menu_ESPON2013Projects/Menu_AppliedResearch/climate.html" TargetMode="External"/><Relationship Id="rId15" Type="http://schemas.openxmlformats.org/officeDocument/2006/relationships/image" Target="media/image4.emf"/><Relationship Id="rId36" Type="http://schemas.openxmlformats.org/officeDocument/2006/relationships/image" Target="media/image16.png"/><Relationship Id="rId57" Type="http://schemas.openxmlformats.org/officeDocument/2006/relationships/hyperlink" Target="https://www.eea.europa.eu/soer-2015/countries/bulgaria" TargetMode="External"/><Relationship Id="rId106" Type="http://schemas.openxmlformats.org/officeDocument/2006/relationships/hyperlink" Target="http://eur-lex.europa.eu/legal-content/BG/TXT/PDF/?uri=CELEX:52015IR2592&amp;from%20=BG" TargetMode="External"/><Relationship Id="rId127" Type="http://schemas.openxmlformats.org/officeDocument/2006/relationships/image" Target="media/image27.png"/><Relationship Id="rId10" Type="http://schemas.openxmlformats.org/officeDocument/2006/relationships/hyperlink" Target="file:///C:\Users\WB507560\Desktop\final%20corrections%20to%20CCA%20Strategy\Edited%20Reports%20-%20Strategy,%20Agriculture,%20BD&amp;ES,%20Forestry,%20Health,%20Tourism,%20Urban%20&amp;%20Water\Appendix%208%20-%20Urban%20Final%20(2018-08-17)%20-%20BG%20-%20for%20printing.docx" TargetMode="External"/><Relationship Id="rId31" Type="http://schemas.openxmlformats.org/officeDocument/2006/relationships/image" Target="media/image11.png"/><Relationship Id="rId52" Type="http://schemas.openxmlformats.org/officeDocument/2006/relationships/hyperlink" Target="http://eur-lex.europa.eu/legal-content/EN/TXT/?uri=CELEX:52017SC0035" TargetMode="External"/><Relationship Id="rId73" Type="http://schemas.openxmlformats.org/officeDocument/2006/relationships/hyperlink" Target="http://www.nspbzn.mvr.bg/NR/rdonlyres/317033AA-E99D-4C51-AC8E-DB37272F2866/0/NPZB_20142018.pdf" TargetMode="External"/><Relationship Id="rId78" Type="http://schemas.openxmlformats.org/officeDocument/2006/relationships/hyperlink" Target="http://serc.carleton.edu/31891Last%20accessed%2016.04.2017" TargetMode="External"/><Relationship Id="rId94" Type="http://schemas.openxmlformats.org/officeDocument/2006/relationships/hyperlink" Target="https://esa.un.org/unpd/wup/" TargetMode="External"/><Relationship Id="rId99" Type="http://schemas.openxmlformats.org/officeDocument/2006/relationships/hyperlink" Target="https://www.britishcouncil.bg/en/sofia-science-festival" TargetMode="External"/><Relationship Id="rId101" Type="http://schemas.openxmlformats.org/officeDocument/2006/relationships/hyperlink" Target="http://climate-adapt.eea.europa.eu/countries-regions/cities" TargetMode="External"/><Relationship Id="rId122" Type="http://schemas.openxmlformats.org/officeDocument/2006/relationships/hyperlink" Target="http://eur-lex.europa.eu/legal-content/BG/TXT/?uri=celex:%2032013R1303" TargetMode="External"/><Relationship Id="rId143" Type="http://schemas.openxmlformats.org/officeDocument/2006/relationships/image" Target="media/image38.png"/><Relationship Id="rId148" Type="http://schemas.openxmlformats.org/officeDocument/2006/relationships/hyperlink" Target="http://www.eea.europa.eu/data-and-maps/data/urban-atlas" TargetMode="External"/><Relationship Id="rId164" Type="http://schemas.openxmlformats.org/officeDocument/2006/relationships/hyperlink" Target="http://www.nspbzn.mvr.bg/NR/rdonlyres/317033AA-E99D-4C51-AC8E-DB37272F2866/0/NPZB_20142018.pdf" TargetMode="External"/><Relationship Id="rId16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file:///C:\Users\WB507560\Desktop\final%20corrections%20to%20CCA%20Strategy\Edited%20Reports%20-%20Strategy,%20Agriculture,%20BD&amp;ES,%20Forestry,%20Health,%20Tourism,%20Urban%20&amp;%20Water\Appendix%208%20-%20Urban%20Final%20(2018-08-17)%20-%20BG%20-%20for%20printing.docx" TargetMode="External"/><Relationship Id="rId26" Type="http://schemas.openxmlformats.org/officeDocument/2006/relationships/image" Target="media/image13.emf"/><Relationship Id="rId47" Type="http://schemas.openxmlformats.org/officeDocument/2006/relationships/hyperlink" Target="http://ac.els-cdn.com/S0959378014000065/1-s2.0-S0959378014000065-main.pdf?_tid=095d6238-3243-11e7-83a5-00000aacb362&amp;acdnat=1494065096_ebd89421283c00b1f80cdcc1afa906b1" TargetMode="External"/><Relationship Id="rId68" Type="http://schemas.openxmlformats.org/officeDocument/2006/relationships/hyperlink" Target="http://www5.moew.government.bg/wp-content/uploads/file/Climate/Specialna_chat.pdf" TargetMode="External"/><Relationship Id="rId89" Type="http://schemas.openxmlformats.org/officeDocument/2006/relationships/hyperlink" Target="http://dx.doi.org/10.1016/s0959-3780(97)00003-4" TargetMode="External"/><Relationship Id="rId112" Type="http://schemas.openxmlformats.org/officeDocument/2006/relationships/hyperlink" Target="http://www.rtpi.org.uk/events/awards/" TargetMode="External"/><Relationship Id="rId133" Type="http://schemas.openxmlformats.org/officeDocument/2006/relationships/chart" Target="charts/chart2.xml"/><Relationship Id="rId154" Type="http://schemas.openxmlformats.org/officeDocument/2006/relationships/hyperlink" Target="http://www.eurocities.eu/eurocities/home" TargetMode="External"/><Relationship Id="rId37" Type="http://schemas.openxmlformats.org/officeDocument/2006/relationships/image" Target="media/image17.emf"/><Relationship Id="rId58" Type="http://schemas.openxmlformats.org/officeDocument/2006/relationships/hyperlink" Target="http://env-health.org/IMG/pdf/heal_briefing_air_bulgaria_eng.pdf" TargetMode="External"/><Relationship Id="rId79" Type="http://schemas.openxmlformats.org/officeDocument/2006/relationships/hyperlink" Target="http://acm.eionet.europa.eu/docs/ETCACC_TP_2010_6_guiding_principles_cc_adaptation.pdf" TargetMode="External"/><Relationship Id="rId102" Type="http://schemas.openxmlformats.org/officeDocument/2006/relationships/hyperlink" Target="http://www.mrrb.government.bg/static/media/.../29f1fc40949e8732a8a83b1cc0e4930e.doc" TargetMode="External"/><Relationship Id="rId123" Type="http://schemas.openxmlformats.org/officeDocument/2006/relationships/hyperlink" Target="http://osi.bg/downloads/File/2017/active%20NGOs.pdf" TargetMode="External"/><Relationship Id="rId144" Type="http://schemas.openxmlformats.org/officeDocument/2006/relationships/image" Target="media/image39.png"/><Relationship Id="rId90" Type="http://schemas.openxmlformats.org/officeDocument/2006/relationships/hyperlink" Target="http://www.mrrb.government.bg/static/media/ups/articles/attachments/24e7666f6785ee40bfb094bec3ad5f45.pdf" TargetMode="External"/><Relationship Id="rId165" Type="http://schemas.openxmlformats.org/officeDocument/2006/relationships/hyperlink" Target="http://www.mrrb.government.bg/nacionalna-programa-za-prevenciya-i-ogranichavane-na-svlachistata-na-teritoriyata-na-republika-bulgariya-eroziyata-i-abraziyata-po-dunavskoto-i-chernomorskoto-krajbrejie-2015-2020-g-i-dopulnenie-kum-neya-s-novovuzniknali-77199/" TargetMode="External"/><Relationship Id="rId27" Type="http://schemas.openxmlformats.org/officeDocument/2006/relationships/image" Target="media/image7.png"/><Relationship Id="rId48" Type="http://schemas.openxmlformats.org/officeDocument/2006/relationships/hyperlink" Target="http://www.nsi.bg/sites/default/files/files/publications/Poverty_regio.pdf" TargetMode="External"/><Relationship Id="rId69" Type="http://schemas.openxmlformats.org/officeDocument/2006/relationships/hyperlink" Target="http://www.mrrb.government.bg/docs/310bfbe48ed5017ab7b4e386b01ca437.doc" TargetMode="External"/><Relationship Id="rId113" Type="http://schemas.openxmlformats.org/officeDocument/2006/relationships/hyperlink" Target="http://www.scholars4dev.com/20513/go-green-in-the-city-2017/" TargetMode="External"/><Relationship Id="rId134" Type="http://schemas.openxmlformats.org/officeDocument/2006/relationships/hyperlink" Target="http://appsso.eurostat.ec.europa.eu/nui/show.do?dataset=sts_copr_a&amp;lang=en" TargetMode="External"/><Relationship Id="rId80" Type="http://schemas.openxmlformats.org/officeDocument/2006/relationships/hyperlink" Target="http://www.regionalprofiles.bg/en/" TargetMode="External"/><Relationship Id="rId155" Type="http://schemas.openxmlformats.org/officeDocument/2006/relationships/hyperlink" Target="http://www.covenantofmayors.eu/about/covenant-of-mayors_en.html"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www.eufunds.bg"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eufunds.bg" TargetMode="External"/></Relationships>
</file>

<file path=word/_rels/footnotes.xml.rels><?xml version="1.0" encoding="UTF-8" standalone="yes"?>
<Relationships xmlns="http://schemas.openxmlformats.org/package/2006/relationships"><Relationship Id="rId26" Type="http://schemas.openxmlformats.org/officeDocument/2006/relationships/hyperlink" Target="http://siteresources.worldbank.org/INTURBANDEVELOPMENT/Resources/336387-1296405826983/Dickson.pdf" TargetMode="External"/><Relationship Id="rId21" Type="http://schemas.openxmlformats.org/officeDocument/2006/relationships/hyperlink" Target="http://eea.government.bg/bg/soer/2013/water/index" TargetMode="External"/><Relationship Id="rId42" Type="http://schemas.openxmlformats.org/officeDocument/2006/relationships/hyperlink" Target="http://www.local.gov.uk/topics/environment-and-waste" TargetMode="External"/><Relationship Id="rId47" Type="http://schemas.openxmlformats.org/officeDocument/2006/relationships/hyperlink" Target="http://www.umweltbundesamt.at/en/services/services_climate/services_climate_references/climateregulatory/" TargetMode="External"/><Relationship Id="rId63" Type="http://schemas.openxmlformats.org/officeDocument/2006/relationships/hyperlink" Target="http://sofena.com/en/about-us/" TargetMode="External"/><Relationship Id="rId68" Type="http://schemas.openxmlformats.org/officeDocument/2006/relationships/hyperlink" Target="http://www.uia-architectes.org/en/exercer/nouvelles/10285" TargetMode="External"/><Relationship Id="rId84" Type="http://schemas.openxmlformats.org/officeDocument/2006/relationships/hyperlink" Target="https://www.gov.uk/government/uploads/system/uploads/attachment_data/file/209866/pb13942-nap-20130701.pdf" TargetMode="External"/><Relationship Id="rId89" Type="http://schemas.openxmlformats.org/officeDocument/2006/relationships/hyperlink" Target="https://www.bmlfuw.gv.at/umwelt/klimaschutz/klimapolitik_national/anpassungsstrategie/strategie-kontext.html" TargetMode="External"/><Relationship Id="rId16" Type="http://schemas.openxmlformats.org/officeDocument/2006/relationships/hyperlink" Target="https://www.eea.europa.eu/publications/climate-change-impacts-and-vulnerability-2016" TargetMode="External"/><Relationship Id="rId11" Type="http://schemas.openxmlformats.org/officeDocument/2006/relationships/hyperlink" Target="http://www.nsi.bg/en/content/8294/poverty-and-social-inclusion-indicators-national-level" TargetMode="External"/><Relationship Id="rId32" Type="http://schemas.openxmlformats.org/officeDocument/2006/relationships/hyperlink" Target="http://osi.bg/downloads/File/swot_analisys.pdf" TargetMode="External"/><Relationship Id="rId37" Type="http://schemas.openxmlformats.org/officeDocument/2006/relationships/hyperlink" Target="http://www.coe.int/t/dgap/localdemocracy/cemat/VersionPrincipes/Anglais.pdf" TargetMode="External"/><Relationship Id="rId53" Type="http://schemas.openxmlformats.org/officeDocument/2006/relationships/hyperlink" Target="http://ec.europa.eu/regional_policy/sources/docgener/informat/2014/guidance_fiche_climat_change.pdf" TargetMode="External"/><Relationship Id="rId58" Type="http://schemas.openxmlformats.org/officeDocument/2006/relationships/hyperlink" Target="http://www.namrb.org/international-cooperation-and-eu" TargetMode="External"/><Relationship Id="rId74" Type="http://schemas.openxmlformats.org/officeDocument/2006/relationships/hyperlink" Target="http://www.strategy.bg/StrategicDocuments/View.aspx?lang=bg-BG&amp;Id=760" TargetMode="External"/><Relationship Id="rId79" Type="http://schemas.openxmlformats.org/officeDocument/2006/relationships/hyperlink" Target="http://www.nspbzn.mvr.bg/NR/rdonlyres/DA55BDC6-488B-4223-A81E-7BBE41A548D1/0/DRR_Strategy.pdf" TargetMode="External"/><Relationship Id="rId5" Type="http://schemas.openxmlformats.org/officeDocument/2006/relationships/hyperlink" Target="http://www.nsi.bg/sites/default/files/files/publications/Poverty_regio.pdf" TargetMode="External"/><Relationship Id="rId14" Type="http://schemas.openxmlformats.org/officeDocument/2006/relationships/hyperlink" Target="http://www.covenantofmayors.eu/actions/sustainable-energy-action-plans_bg.html" TargetMode="External"/><Relationship Id="rId22" Type="http://schemas.openxmlformats.org/officeDocument/2006/relationships/hyperlink" Target="http://eea.government.bg/bg/soer/2014" TargetMode="External"/><Relationship Id="rId27" Type="http://schemas.openxmlformats.org/officeDocument/2006/relationships/hyperlink" Target="http://earbd.org/indexdetails.php?menu_id=399" TargetMode="External"/><Relationship Id="rId30" Type="http://schemas.openxmlformats.org/officeDocument/2006/relationships/hyperlink" Target="https://isocarp.org/news/ipcc-special-report-cities-climate-change/" TargetMode="External"/><Relationship Id="rId35" Type="http://schemas.openxmlformats.org/officeDocument/2006/relationships/hyperlink" Target="https://ec.europa.eu/clima/policies/adaptation/what_en" TargetMode="External"/><Relationship Id="rId43" Type="http://schemas.openxmlformats.org/officeDocument/2006/relationships/hyperlink" Target="https://www.tcpa.org.uk/pages/category/green-infrastructure-partnership" TargetMode="External"/><Relationship Id="rId48" Type="http://schemas.openxmlformats.org/officeDocument/2006/relationships/hyperlink" Target="http://www.oerok.gv.at/english-summary/" TargetMode="External"/><Relationship Id="rId56" Type="http://schemas.openxmlformats.org/officeDocument/2006/relationships/hyperlink" Target="http://www.bds-bg.org/en/pages/page_71.html" TargetMode="External"/><Relationship Id="rId64" Type="http://schemas.openxmlformats.org/officeDocument/2006/relationships/hyperlink" Target="http://www.ngobg.info/en/index.html" TargetMode="External"/><Relationship Id="rId69" Type="http://schemas.openxmlformats.org/officeDocument/2006/relationships/hyperlink" Target="http://iflaeurope.eu/?s=Climate+change" TargetMode="External"/><Relationship Id="rId77" Type="http://schemas.openxmlformats.org/officeDocument/2006/relationships/hyperlink" Target="http://www.eib.org/projects/pipelines/pipeline/20160039" TargetMode="External"/><Relationship Id="rId8" Type="http://schemas.openxmlformats.org/officeDocument/2006/relationships/hyperlink" Target="https://www.eufunds.bg/archive/documents/1434963441.pdf" TargetMode="External"/><Relationship Id="rId51" Type="http://schemas.openxmlformats.org/officeDocument/2006/relationships/hyperlink" Target="https://wcd.coe.int/ViewDoc.jsp?p=&amp;id=1302971&amp;direct=true" TargetMode="External"/><Relationship Id="rId72" Type="http://schemas.openxmlformats.org/officeDocument/2006/relationships/hyperlink" Target="http://www.eaae.be/historical-archive/eaae-prize/" TargetMode="External"/><Relationship Id="rId80" Type="http://schemas.openxmlformats.org/officeDocument/2006/relationships/hyperlink" Target="http://www.mrrb.government.bg/nacionalna-programa-za-prevenciya-i-ogranichavane-na-svlachistata-na-teritoriyata-na-republika-bulgariya-eroziyata-i-abraziyata-po-dunavskoto-i-chernomorskoto-krajbrejie-2015-2020-g-i-dopulnenie-kum-neya-s-novovuzniknali-77199/" TargetMode="External"/><Relationship Id="rId85" Type="http://schemas.openxmlformats.org/officeDocument/2006/relationships/hyperlink" Target="http://eur-lex.europa.eu/legal-content/EN/TXT/?uri=CELEX:52013SC0134" TargetMode="External"/><Relationship Id="rId3" Type="http://schemas.openxmlformats.org/officeDocument/2006/relationships/hyperlink" Target="http://www.nsi.bg/bg/content/" TargetMode="External"/><Relationship Id="rId12" Type="http://schemas.openxmlformats.org/officeDocument/2006/relationships/hyperlink" Target="http://www.covenantofmayors.eu/about/covenant-of-mayors_bg.html" TargetMode="External"/><Relationship Id="rId17" Type="http://schemas.openxmlformats.org/officeDocument/2006/relationships/hyperlink" Target="http://uccrn.org/arc3-2/" TargetMode="External"/><Relationship Id="rId25" Type="http://schemas.openxmlformats.org/officeDocument/2006/relationships/hyperlink" Target="http://resilient-cities.iclei.org/fileadmin/sites/resilient-cities/files/docs/B1-Bonn2010-Hoornweg.pdf" TargetMode="External"/><Relationship Id="rId33" Type="http://schemas.openxmlformats.org/officeDocument/2006/relationships/hyperlink" Target="https://www.nature.com/nclimate/journal/v5/n11/full/nclimate2728.html" TargetMode="External"/><Relationship Id="rId38" Type="http://schemas.openxmlformats.org/officeDocument/2006/relationships/hyperlink" Target="http://www.nweurope.eu/media/1216/territorial_agenda_2020.pdf" TargetMode="External"/><Relationship Id="rId46" Type="http://schemas.openxmlformats.org/officeDocument/2006/relationships/hyperlink" Target="https://www.icpdr.org/main/sites/default/files/nodes/documents/icpdr_climate-adaptation-strategy.pdf" TargetMode="External"/><Relationship Id="rId59" Type="http://schemas.openxmlformats.org/officeDocument/2006/relationships/hyperlink" Target="http://www.bsnn.org/projects.html" TargetMode="External"/><Relationship Id="rId67" Type="http://schemas.openxmlformats.org/officeDocument/2006/relationships/hyperlink" Target="https://isocarp.org/about-isocarp/" TargetMode="External"/><Relationship Id="rId20" Type="http://schemas.openxmlformats.org/officeDocument/2006/relationships/hyperlink" Target="http://www5.moew.government.bg/?page_id=54663" TargetMode="External"/><Relationship Id="rId41" Type="http://schemas.openxmlformats.org/officeDocument/2006/relationships/hyperlink" Target="https://www.gov.uk/government/publications/national-planning-policy-framework--2" TargetMode="External"/><Relationship Id="rId54" Type="http://schemas.openxmlformats.org/officeDocument/2006/relationships/hyperlink" Target="https://ec.europa.eu/clima/about-us/climate-law_en" TargetMode="External"/><Relationship Id="rId62" Type="http://schemas.openxmlformats.org/officeDocument/2006/relationships/hyperlink" Target="http://www.bgbc.bg/en/" TargetMode="External"/><Relationship Id="rId70" Type="http://schemas.openxmlformats.org/officeDocument/2006/relationships/hyperlink" Target="https://www.tcpa.org.uk/" TargetMode="External"/><Relationship Id="rId75" Type="http://schemas.openxmlformats.org/officeDocument/2006/relationships/hyperlink" Target="http://www.strategy.bg/StrategicDocuments/View.aspx?lang=bg-BG&amp;Id=899" TargetMode="External"/><Relationship Id="rId83" Type="http://schemas.openxmlformats.org/officeDocument/2006/relationships/hyperlink" Target="http://www.ukcip.org.uk/wp-content/PDFs/ID_Adapt_options.pdf" TargetMode="External"/><Relationship Id="rId88" Type="http://schemas.openxmlformats.org/officeDocument/2006/relationships/hyperlink" Target="https://unfccc.int/files/adaptation/methodologies_for/vulnerability_and_adaptation/application/pdf/consolidated_version_updated_021204.pdf" TargetMode="External"/><Relationship Id="rId1" Type="http://schemas.openxmlformats.org/officeDocument/2006/relationships/hyperlink" Target="http://www.nsi.bg/en/content/6703/population" TargetMode="External"/><Relationship Id="rId6" Type="http://schemas.openxmlformats.org/officeDocument/2006/relationships/hyperlink" Target="http://www.bgregio.eu/media/Programirane/NKPR_28012013_Last_en.pdf" TargetMode="External"/><Relationship Id="rId15" Type="http://schemas.openxmlformats.org/officeDocument/2006/relationships/hyperlink" Target="http://sedac.ipcc-data.org/ddc/ar5_scenario_process/RCPs.html" TargetMode="External"/><Relationship Id="rId23" Type="http://schemas.openxmlformats.org/officeDocument/2006/relationships/hyperlink" Target="http://www5.moew.government.bg/?page_id=51489" TargetMode="External"/><Relationship Id="rId28" Type="http://schemas.openxmlformats.org/officeDocument/2006/relationships/hyperlink" Target="http://www.rtpi.org.uk/knowledge/topics/climate-change/our-seven-commitments-on-climate-change" TargetMode="External"/><Relationship Id="rId36" Type="http://schemas.openxmlformats.org/officeDocument/2006/relationships/hyperlink" Target="https://www.eea.europa.eu/publications/urban-adaptation-2016" TargetMode="External"/><Relationship Id="rId49" Type="http://schemas.openxmlformats.org/officeDocument/2006/relationships/hyperlink" Target="https://ec.europa.eu/futurium/en/urban-agenda" TargetMode="External"/><Relationship Id="rId57" Type="http://schemas.openxmlformats.org/officeDocument/2006/relationships/hyperlink" Target="http://www.burgas.bg/uploads/3beab17266cba23990bf26a6bd16dcfc.pdf" TargetMode="External"/><Relationship Id="rId10" Type="http://schemas.openxmlformats.org/officeDocument/2006/relationships/hyperlink" Target="https://www.ipcc.ch/pdf/assessment-report/ar5/wg3/ipcc_wg3_ar5_chapter9.pdf" TargetMode="External"/><Relationship Id="rId31" Type="http://schemas.openxmlformats.org/officeDocument/2006/relationships/hyperlink" Target="http://www.mon.bg/?go=page&amp;pageId=74&amp;subpageId=143" TargetMode="External"/><Relationship Id="rId44" Type="http://schemas.openxmlformats.org/officeDocument/2006/relationships/hyperlink" Target="http://media.nationalarchives.gov.uk/index.php/climate-change-tomorrows-climate-todays-challenge/" TargetMode="External"/><Relationship Id="rId52" Type="http://schemas.openxmlformats.org/officeDocument/2006/relationships/hyperlink" Target="http://urban-intergroup.eu/wp-content/files_mf/es2010itoledodeclaration.pdf" TargetMode="External"/><Relationship Id="rId60" Type="http://schemas.openxmlformats.org/officeDocument/2006/relationships/hyperlink" Target="http://www.eneffect.bg/" TargetMode="External"/><Relationship Id="rId65" Type="http://schemas.openxmlformats.org/officeDocument/2006/relationships/hyperlink" Target="http://www.ectp-ceu.eu/index.php/en/about-us-2/founding-charter" TargetMode="External"/><Relationship Id="rId73" Type="http://schemas.openxmlformats.org/officeDocument/2006/relationships/hyperlink" Target="http://www.eclas.org/" TargetMode="External"/><Relationship Id="rId78" Type="http://schemas.openxmlformats.org/officeDocument/2006/relationships/hyperlink" Target="http://ec.europa.eu/environment/iczm/prop_iczm.htm" TargetMode="External"/><Relationship Id="rId81" Type="http://schemas.openxmlformats.org/officeDocument/2006/relationships/hyperlink" Target="http://acm.eionet.europa.eu/docs/ETCACC_TP_2010_6_guiding_principles_cc_adaptation.pdf" TargetMode="External"/><Relationship Id="rId86" Type="http://schemas.openxmlformats.org/officeDocument/2006/relationships/hyperlink" Target="http://climate-adapt.eea.europa.eu/adaptation-support-tool/step" TargetMode="External"/><Relationship Id="rId4" Type="http://schemas.openxmlformats.org/officeDocument/2006/relationships/hyperlink" Target="http://ec.europa.eu/eurostat/statistics-explained/index.php/Income_distribution_statistics" TargetMode="External"/><Relationship Id="rId9" Type="http://schemas.openxmlformats.org/officeDocument/2006/relationships/hyperlink" Target="http://www.mrrb.government.bg/static/media/ups/articles/attachments/24e7666f6785ee40bfb094bec3ad5f45.pdf" TargetMode="External"/><Relationship Id="rId13" Type="http://schemas.openxmlformats.org/officeDocument/2006/relationships/hyperlink" Target="https://www.researchgate.net/publication/305990956_Towards_Liveable_Cities_and_Towns_-_Guidance_for_Sustainable_Urban_Management" TargetMode="External"/><Relationship Id="rId18" Type="http://schemas.openxmlformats.org/officeDocument/2006/relationships/hyperlink" Target="http://meteorology.meteo.bg/poster_AG_KM_LB-f.pdf" TargetMode="External"/><Relationship Id="rId39" Type="http://schemas.openxmlformats.org/officeDocument/2006/relationships/hyperlink" Target="http://climate-adapt.eea.europa.eu/countries-regions/" TargetMode="External"/><Relationship Id="rId34" Type="http://schemas.openxmlformats.org/officeDocument/2006/relationships/hyperlink" Target="http://data.europa.eu/eli/dec/2013/1386/oj" TargetMode="External"/><Relationship Id="rId50" Type="http://schemas.openxmlformats.org/officeDocument/2006/relationships/hyperlink" Target="https://wcd.coe.int/ViewDoc.jsp?p=&amp;id=887405&amp;direct=true" TargetMode="External"/><Relationship Id="rId55" Type="http://schemas.openxmlformats.org/officeDocument/2006/relationships/hyperlink" Target="https://ec.europa.eu/jrc/en/research-topic/standards-construction-eurocodes" TargetMode="External"/><Relationship Id="rId76" Type="http://schemas.openxmlformats.org/officeDocument/2006/relationships/hyperlink" Target="https://www.researchgate.net/publication/237259668_MyCOAST_Transferring_the_integrated_area_approach_to_Bulgaria" TargetMode="External"/><Relationship Id="rId7" Type="http://schemas.openxmlformats.org/officeDocument/2006/relationships/hyperlink" Target="http://www.bgregio.eu/media/Programirane/NKPR_28012013_Last_en.pdf" TargetMode="External"/><Relationship Id="rId71" Type="http://schemas.openxmlformats.org/officeDocument/2006/relationships/hyperlink" Target="https://aesopyoungacademics.wordpress.com/tag/climate-change/" TargetMode="External"/><Relationship Id="rId2" Type="http://schemas.openxmlformats.org/officeDocument/2006/relationships/hyperlink" Target="http://www.nsi.bg/en/content/6727/population-projections-sex-and-age" TargetMode="External"/><Relationship Id="rId29" Type="http://schemas.openxmlformats.org/officeDocument/2006/relationships/hyperlink" Target="http://www.eukn.eu/e-library/project/bericht/detail/european-cities-and-climate-change/" TargetMode="External"/><Relationship Id="rId24" Type="http://schemas.openxmlformats.org/officeDocument/2006/relationships/hyperlink" Target="http://eea.government.bg/bg/soer/2015" TargetMode="External"/><Relationship Id="rId40" Type="http://schemas.openxmlformats.org/officeDocument/2006/relationships/hyperlink" Target="https://www.gov.uk/government/publications/national-flood-and-coastal-erosion-risk-management-strategy-for-england" TargetMode="External"/><Relationship Id="rId45" Type="http://schemas.openxmlformats.org/officeDocument/2006/relationships/hyperlink" Target="https://www.icpdr.org/main/activities-projects/climate-change-adaptation" TargetMode="External"/><Relationship Id="rId66" Type="http://schemas.openxmlformats.org/officeDocument/2006/relationships/hyperlink" Target="file:///F:\CC_WB\CC_WB_2\COR\ACE%20http:\www.ace-cae.eu\39\" TargetMode="External"/><Relationship Id="rId87" Type="http://schemas.openxmlformats.org/officeDocument/2006/relationships/hyperlink" Target="http://www.inspirebg.eu/" TargetMode="External"/><Relationship Id="rId61" Type="http://schemas.openxmlformats.org/officeDocument/2006/relationships/hyperlink" Target="http://www.asde-bg.org/index_en.php" TargetMode="External"/><Relationship Id="rId82" Type="http://schemas.openxmlformats.org/officeDocument/2006/relationships/hyperlink" Target="https://www.bmlfuw.gv.at/umwelt/klimaschutz/klimapolitik_national/anpassungsstrategie/strategie-kontext.html" TargetMode="External"/><Relationship Id="rId19" Type="http://schemas.openxmlformats.org/officeDocument/2006/relationships/hyperlink" Target="http://www.nsi.bg/en/content/13272/floods"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D:\Awork\NCRD\2017\CC_WB\ChapterUpdates_AfterYuka\Updates_20170704\sts_copr_q_MN2.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Awork\NCRD\2017\CC_WB\ChapterUpdates_AfterYuka\Updates_20170704\sts_copr_q_MN2.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Awork\NCRD\2017\CC_WB\ChapterUpdates_AfterYuka\Updates_20170704\sts_copr_q_MN2_En_Bg.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Awork\NCRD\2017\CC_WB\ChapterUpdates_AfterYuka\Updates_20170704\sts_copr_q_MN2_En_Bg.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Data_Yearly_BG!$A$13</c:f>
              <c:strCache>
                <c:ptCount val="1"/>
                <c:pt idx="0">
                  <c:v>ЕС (28 страни)</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Data_Yearly_BG!$B$12:$N$12</c:f>
              <c:strCache>
                <c:ptCount val="13"/>
                <c:pt idx="0">
                  <c:v>2014Q1</c:v>
                </c:pt>
                <c:pt idx="1">
                  <c:v>2014Q2</c:v>
                </c:pt>
                <c:pt idx="2">
                  <c:v>2014Q3</c:v>
                </c:pt>
                <c:pt idx="3">
                  <c:v>2014Q4</c:v>
                </c:pt>
                <c:pt idx="4">
                  <c:v>2015Q1</c:v>
                </c:pt>
                <c:pt idx="5">
                  <c:v>2015Q2</c:v>
                </c:pt>
                <c:pt idx="6">
                  <c:v>2015Q3</c:v>
                </c:pt>
                <c:pt idx="7">
                  <c:v>2015Q4</c:v>
                </c:pt>
                <c:pt idx="8">
                  <c:v>2016Q1</c:v>
                </c:pt>
                <c:pt idx="9">
                  <c:v>2016Q2</c:v>
                </c:pt>
                <c:pt idx="10">
                  <c:v>2016Q3</c:v>
                </c:pt>
                <c:pt idx="11">
                  <c:v>2016Q4</c:v>
                </c:pt>
                <c:pt idx="12">
                  <c:v>2017Q1</c:v>
                </c:pt>
              </c:strCache>
            </c:strRef>
          </c:cat>
          <c:val>
            <c:numRef>
              <c:f>Data_Yearly_BG!$B$13:$N$13</c:f>
              <c:numCache>
                <c:formatCode>#,##0.0</c:formatCode>
                <c:ptCount val="13"/>
                <c:pt idx="0">
                  <c:v>85</c:v>
                </c:pt>
                <c:pt idx="1">
                  <c:v>95.9</c:v>
                </c:pt>
                <c:pt idx="2">
                  <c:v>92.9</c:v>
                </c:pt>
                <c:pt idx="3">
                  <c:v>101</c:v>
                </c:pt>
                <c:pt idx="4">
                  <c:v>85.3</c:v>
                </c:pt>
                <c:pt idx="5">
                  <c:v>97</c:v>
                </c:pt>
                <c:pt idx="6">
                  <c:v>93.2</c:v>
                </c:pt>
                <c:pt idx="7">
                  <c:v>102.4</c:v>
                </c:pt>
                <c:pt idx="8">
                  <c:v>87.6</c:v>
                </c:pt>
                <c:pt idx="9">
                  <c:v>97.6</c:v>
                </c:pt>
                <c:pt idx="10">
                  <c:v>95.5</c:v>
                </c:pt>
                <c:pt idx="11">
                  <c:v>104.1</c:v>
                </c:pt>
                <c:pt idx="12">
                  <c:v>89.4</c:v>
                </c:pt>
              </c:numCache>
            </c:numRef>
          </c:val>
          <c:smooth val="0"/>
          <c:extLst xmlns:c16r2="http://schemas.microsoft.com/office/drawing/2015/06/chart">
            <c:ext xmlns:c16="http://schemas.microsoft.com/office/drawing/2014/chart" uri="{C3380CC4-5D6E-409C-BE32-E72D297353CC}">
              <c16:uniqueId val="{00000000-95E7-4D40-91A0-C99A1E919CB7}"/>
            </c:ext>
          </c:extLst>
        </c:ser>
        <c:ser>
          <c:idx val="1"/>
          <c:order val="1"/>
          <c:tx>
            <c:strRef>
              <c:f>Data_Yearly_BG!$A$14</c:f>
              <c:strCache>
                <c:ptCount val="1"/>
                <c:pt idx="0">
                  <c:v>България</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Data_Yearly_BG!$B$12:$N$12</c:f>
              <c:strCache>
                <c:ptCount val="13"/>
                <c:pt idx="0">
                  <c:v>2014Q1</c:v>
                </c:pt>
                <c:pt idx="1">
                  <c:v>2014Q2</c:v>
                </c:pt>
                <c:pt idx="2">
                  <c:v>2014Q3</c:v>
                </c:pt>
                <c:pt idx="3">
                  <c:v>2014Q4</c:v>
                </c:pt>
                <c:pt idx="4">
                  <c:v>2015Q1</c:v>
                </c:pt>
                <c:pt idx="5">
                  <c:v>2015Q2</c:v>
                </c:pt>
                <c:pt idx="6">
                  <c:v>2015Q3</c:v>
                </c:pt>
                <c:pt idx="7">
                  <c:v>2015Q4</c:v>
                </c:pt>
                <c:pt idx="8">
                  <c:v>2016Q1</c:v>
                </c:pt>
                <c:pt idx="9">
                  <c:v>2016Q2</c:v>
                </c:pt>
                <c:pt idx="10">
                  <c:v>2016Q3</c:v>
                </c:pt>
                <c:pt idx="11">
                  <c:v>2016Q4</c:v>
                </c:pt>
                <c:pt idx="12">
                  <c:v>2017Q1</c:v>
                </c:pt>
              </c:strCache>
            </c:strRef>
          </c:cat>
          <c:val>
            <c:numRef>
              <c:f>Data_Yearly_BG!$B$14:$N$14</c:f>
              <c:numCache>
                <c:formatCode>#,##0.0</c:formatCode>
                <c:ptCount val="13"/>
                <c:pt idx="0">
                  <c:v>84</c:v>
                </c:pt>
                <c:pt idx="1">
                  <c:v>89.9</c:v>
                </c:pt>
                <c:pt idx="2">
                  <c:v>92.8</c:v>
                </c:pt>
                <c:pt idx="3">
                  <c:v>90.3</c:v>
                </c:pt>
                <c:pt idx="4">
                  <c:v>93.9</c:v>
                </c:pt>
                <c:pt idx="5">
                  <c:v>100.9</c:v>
                </c:pt>
                <c:pt idx="6">
                  <c:v>101.8</c:v>
                </c:pt>
                <c:pt idx="7">
                  <c:v>98.8</c:v>
                </c:pt>
                <c:pt idx="8">
                  <c:v>79.2</c:v>
                </c:pt>
                <c:pt idx="9">
                  <c:v>82.8</c:v>
                </c:pt>
                <c:pt idx="10">
                  <c:v>84.2</c:v>
                </c:pt>
                <c:pt idx="11">
                  <c:v>83.8</c:v>
                </c:pt>
                <c:pt idx="12">
                  <c:v>78.8</c:v>
                </c:pt>
              </c:numCache>
            </c:numRef>
          </c:val>
          <c:smooth val="0"/>
          <c:extLst xmlns:c16r2="http://schemas.microsoft.com/office/drawing/2015/06/chart">
            <c:ext xmlns:c16="http://schemas.microsoft.com/office/drawing/2014/chart" uri="{C3380CC4-5D6E-409C-BE32-E72D297353CC}">
              <c16:uniqueId val="{00000001-95E7-4D40-91A0-C99A1E919CB7}"/>
            </c:ext>
          </c:extLst>
        </c:ser>
        <c:dLbls>
          <c:showLegendKey val="0"/>
          <c:showVal val="0"/>
          <c:showCatName val="0"/>
          <c:showSerName val="0"/>
          <c:showPercent val="0"/>
          <c:showBubbleSize val="0"/>
        </c:dLbls>
        <c:marker val="1"/>
        <c:smooth val="0"/>
        <c:axId val="157664256"/>
        <c:axId val="156411008"/>
      </c:lineChart>
      <c:catAx>
        <c:axId val="157664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en-US"/>
          </a:p>
        </c:txPr>
        <c:crossAx val="156411008"/>
        <c:crosses val="autoZero"/>
        <c:auto val="1"/>
        <c:lblAlgn val="ctr"/>
        <c:lblOffset val="100"/>
        <c:noMultiLvlLbl val="0"/>
      </c:catAx>
      <c:valAx>
        <c:axId val="156411008"/>
        <c:scaling>
          <c:orientation val="minMax"/>
          <c:min val="7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ln w="6350">
            <a:noFill/>
          </a:ln>
        </c:spPr>
        <c:txPr>
          <a:bodyPr rot="0" vert="horz"/>
          <a:lstStyle/>
          <a:p>
            <a:pPr>
              <a:defRPr sz="900" b="0" i="0" u="none" strike="noStrike" baseline="0">
                <a:solidFill>
                  <a:srgbClr val="333333"/>
                </a:solidFill>
                <a:latin typeface="Calibri"/>
                <a:ea typeface="Calibri"/>
                <a:cs typeface="Calibri"/>
              </a:defRPr>
            </a:pPr>
            <a:endParaRPr lang="en-US"/>
          </a:p>
        </c:txPr>
        <c:crossAx val="157664256"/>
        <c:crosses val="autoZero"/>
        <c:crossBetween val="between"/>
      </c:valAx>
      <c:spPr>
        <a:noFill/>
        <a:ln w="25400">
          <a:noFill/>
        </a:ln>
      </c:spPr>
    </c:plotArea>
    <c:legend>
      <c:legendPos val="b"/>
      <c:overlay val="0"/>
      <c:spPr>
        <a:noFill/>
        <a:ln w="25400">
          <a:noFill/>
        </a:ln>
      </c:spPr>
      <c:txPr>
        <a:bodyPr/>
        <a:lstStyle/>
        <a:p>
          <a:pPr>
            <a:defRPr sz="825" b="0" i="0" u="none" strike="noStrike" baseline="0">
              <a:solidFill>
                <a:srgbClr val="333333"/>
              </a:solidFill>
              <a:latin typeface="Calibri"/>
              <a:ea typeface="Calibri"/>
              <a:cs typeface="Calibri"/>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Data_Yearly_BG!$A$59</c:f>
              <c:strCache>
                <c:ptCount val="1"/>
                <c:pt idx="0">
                  <c:v>ЕС (28 страни)</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Data_Yearly_BG!$B$58:$K$58</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Data_Yearly_BG!$B$59:$K$59</c:f>
              <c:numCache>
                <c:formatCode>0.00</c:formatCode>
                <c:ptCount val="10"/>
                <c:pt idx="0">
                  <c:v>116.6</c:v>
                </c:pt>
                <c:pt idx="1">
                  <c:v>113</c:v>
                </c:pt>
                <c:pt idx="2">
                  <c:v>104.3</c:v>
                </c:pt>
                <c:pt idx="3">
                  <c:v>100</c:v>
                </c:pt>
                <c:pt idx="4">
                  <c:v>98.5</c:v>
                </c:pt>
                <c:pt idx="5">
                  <c:v>93</c:v>
                </c:pt>
                <c:pt idx="6">
                  <c:v>91.3</c:v>
                </c:pt>
                <c:pt idx="7">
                  <c:v>94.2</c:v>
                </c:pt>
                <c:pt idx="8">
                  <c:v>94.9</c:v>
                </c:pt>
                <c:pt idx="9">
                  <c:v>96.5</c:v>
                </c:pt>
              </c:numCache>
            </c:numRef>
          </c:val>
          <c:smooth val="0"/>
          <c:extLst xmlns:c16r2="http://schemas.microsoft.com/office/drawing/2015/06/chart">
            <c:ext xmlns:c16="http://schemas.microsoft.com/office/drawing/2014/chart" uri="{C3380CC4-5D6E-409C-BE32-E72D297353CC}">
              <c16:uniqueId val="{00000000-3E46-47D4-9073-B9EB4C7499B7}"/>
            </c:ext>
          </c:extLst>
        </c:ser>
        <c:ser>
          <c:idx val="1"/>
          <c:order val="1"/>
          <c:tx>
            <c:strRef>
              <c:f>Data_Yearly_BG!$A$60</c:f>
              <c:strCache>
                <c:ptCount val="1"/>
                <c:pt idx="0">
                  <c:v>България</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Data_Yearly_BG!$B$58:$K$58</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Data_Yearly_BG!$B$60:$K$60</c:f>
              <c:numCache>
                <c:formatCode>0.00</c:formatCode>
                <c:ptCount val="10"/>
                <c:pt idx="0">
                  <c:v>122.6</c:v>
                </c:pt>
                <c:pt idx="1">
                  <c:v>137.4</c:v>
                </c:pt>
                <c:pt idx="2">
                  <c:v>117.3</c:v>
                </c:pt>
                <c:pt idx="3">
                  <c:v>99.8</c:v>
                </c:pt>
                <c:pt idx="4">
                  <c:v>87.2</c:v>
                </c:pt>
                <c:pt idx="5">
                  <c:v>86.7</c:v>
                </c:pt>
                <c:pt idx="6">
                  <c:v>83.3</c:v>
                </c:pt>
                <c:pt idx="7">
                  <c:v>89.3</c:v>
                </c:pt>
                <c:pt idx="8">
                  <c:v>98.9</c:v>
                </c:pt>
                <c:pt idx="9">
                  <c:v>82.5</c:v>
                </c:pt>
              </c:numCache>
            </c:numRef>
          </c:val>
          <c:smooth val="0"/>
          <c:extLst xmlns:c16r2="http://schemas.microsoft.com/office/drawing/2015/06/chart">
            <c:ext xmlns:c16="http://schemas.microsoft.com/office/drawing/2014/chart" uri="{C3380CC4-5D6E-409C-BE32-E72D297353CC}">
              <c16:uniqueId val="{00000001-3E46-47D4-9073-B9EB4C7499B7}"/>
            </c:ext>
          </c:extLst>
        </c:ser>
        <c:dLbls>
          <c:showLegendKey val="0"/>
          <c:showVal val="0"/>
          <c:showCatName val="0"/>
          <c:showSerName val="0"/>
          <c:showPercent val="0"/>
          <c:showBubbleSize val="0"/>
        </c:dLbls>
        <c:marker val="1"/>
        <c:smooth val="0"/>
        <c:axId val="157664768"/>
        <c:axId val="156412736"/>
      </c:lineChart>
      <c:catAx>
        <c:axId val="157664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en-US"/>
          </a:p>
        </c:txPr>
        <c:crossAx val="156412736"/>
        <c:crosses val="autoZero"/>
        <c:auto val="1"/>
        <c:lblAlgn val="ctr"/>
        <c:lblOffset val="100"/>
        <c:noMultiLvlLbl val="0"/>
      </c:catAx>
      <c:valAx>
        <c:axId val="156412736"/>
        <c:scaling>
          <c:orientation val="minMax"/>
          <c:max val="140"/>
          <c:min val="7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ln w="6350">
            <a:noFill/>
          </a:ln>
        </c:spPr>
        <c:txPr>
          <a:bodyPr rot="0" vert="horz"/>
          <a:lstStyle/>
          <a:p>
            <a:pPr>
              <a:defRPr sz="900" b="0" i="0" u="none" strike="noStrike" baseline="0">
                <a:solidFill>
                  <a:srgbClr val="333333"/>
                </a:solidFill>
                <a:latin typeface="Calibri"/>
                <a:ea typeface="Calibri"/>
                <a:cs typeface="Calibri"/>
              </a:defRPr>
            </a:pPr>
            <a:endParaRPr lang="en-US"/>
          </a:p>
        </c:txPr>
        <c:crossAx val="157664768"/>
        <c:crosses val="autoZero"/>
        <c:crossBetween val="between"/>
      </c:valAx>
      <c:spPr>
        <a:noFill/>
        <a:ln w="25400">
          <a:noFill/>
        </a:ln>
      </c:spPr>
    </c:plotArea>
    <c:legend>
      <c:legendPos val="b"/>
      <c:overlay val="0"/>
      <c:spPr>
        <a:noFill/>
        <a:ln w="25400">
          <a:noFill/>
        </a:ln>
      </c:spPr>
      <c:txPr>
        <a:bodyPr/>
        <a:lstStyle/>
        <a:p>
          <a:pPr>
            <a:defRPr sz="825" b="0" i="0" u="none" strike="noStrike" baseline="0">
              <a:solidFill>
                <a:srgbClr val="333333"/>
              </a:solidFill>
              <a:latin typeface="Calibri"/>
              <a:ea typeface="Calibri"/>
              <a:cs typeface="Calibri"/>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806660756809373E-2"/>
          <c:y val="4.0968342644320296E-2"/>
          <c:w val="0.90751838139437868"/>
          <c:h val="0.69967594832768809"/>
        </c:manualLayout>
      </c:layout>
      <c:lineChart>
        <c:grouping val="standard"/>
        <c:varyColors val="0"/>
        <c:ser>
          <c:idx val="0"/>
          <c:order val="0"/>
          <c:tx>
            <c:strRef>
              <c:f>Data_Yearly_BG_BG!$A$87</c:f>
              <c:strCache>
                <c:ptCount val="1"/>
                <c:pt idx="0">
                  <c:v>EU28 Сектор Строителство</c:v>
                </c:pt>
              </c:strCache>
            </c:strRef>
          </c:tx>
          <c:spPr>
            <a:ln w="28575" cap="rnd">
              <a:solidFill>
                <a:schemeClr val="tx2">
                  <a:lumMod val="50000"/>
                </a:schemeClr>
              </a:solidFill>
              <a:round/>
            </a:ln>
            <a:effectLst/>
          </c:spPr>
          <c:marker>
            <c:symbol val="none"/>
          </c:marker>
          <c:cat>
            <c:numRef>
              <c:f>Data_Yearly_BG_BG!$B$86:$K$86</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Data_Yearly_BG_BG!$B$87:$K$87</c:f>
              <c:numCache>
                <c:formatCode>0.00</c:formatCode>
                <c:ptCount val="10"/>
                <c:pt idx="0">
                  <c:v>116.6</c:v>
                </c:pt>
                <c:pt idx="1">
                  <c:v>113</c:v>
                </c:pt>
                <c:pt idx="2">
                  <c:v>104.3</c:v>
                </c:pt>
                <c:pt idx="3">
                  <c:v>100</c:v>
                </c:pt>
                <c:pt idx="4">
                  <c:v>98.5</c:v>
                </c:pt>
                <c:pt idx="5">
                  <c:v>93</c:v>
                </c:pt>
                <c:pt idx="6">
                  <c:v>91.3</c:v>
                </c:pt>
                <c:pt idx="7">
                  <c:v>94.2</c:v>
                </c:pt>
                <c:pt idx="8">
                  <c:v>94.9</c:v>
                </c:pt>
                <c:pt idx="9">
                  <c:v>96.5</c:v>
                </c:pt>
              </c:numCache>
            </c:numRef>
          </c:val>
          <c:smooth val="0"/>
          <c:extLst xmlns:c16r2="http://schemas.microsoft.com/office/drawing/2015/06/chart">
            <c:ext xmlns:c16="http://schemas.microsoft.com/office/drawing/2014/chart" uri="{C3380CC4-5D6E-409C-BE32-E72D297353CC}">
              <c16:uniqueId val="{00000000-E183-40F8-96A5-9855A5C01000}"/>
            </c:ext>
          </c:extLst>
        </c:ser>
        <c:ser>
          <c:idx val="1"/>
          <c:order val="1"/>
          <c:tx>
            <c:strRef>
              <c:f>Data_Yearly_BG_BG!$A$88</c:f>
              <c:strCache>
                <c:ptCount val="1"/>
                <c:pt idx="0">
                  <c:v>BG Сектор Строителство</c:v>
                </c:pt>
              </c:strCache>
            </c:strRef>
          </c:tx>
          <c:spPr>
            <a:ln w="28575" cap="rnd">
              <a:solidFill>
                <a:srgbClr val="C00000"/>
              </a:solidFill>
              <a:round/>
            </a:ln>
            <a:effectLst/>
          </c:spPr>
          <c:marker>
            <c:symbol val="none"/>
          </c:marker>
          <c:cat>
            <c:numRef>
              <c:f>Data_Yearly_BG_BG!$B$86:$K$86</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Data_Yearly_BG_BG!$B$88:$K$88</c:f>
              <c:numCache>
                <c:formatCode>0.00</c:formatCode>
                <c:ptCount val="10"/>
                <c:pt idx="0">
                  <c:v>122.6</c:v>
                </c:pt>
                <c:pt idx="1">
                  <c:v>137.4</c:v>
                </c:pt>
                <c:pt idx="2">
                  <c:v>117.3</c:v>
                </c:pt>
                <c:pt idx="3">
                  <c:v>99.8</c:v>
                </c:pt>
                <c:pt idx="4">
                  <c:v>87.2</c:v>
                </c:pt>
                <c:pt idx="5">
                  <c:v>86.7</c:v>
                </c:pt>
                <c:pt idx="6">
                  <c:v>83.3</c:v>
                </c:pt>
                <c:pt idx="7">
                  <c:v>89.3</c:v>
                </c:pt>
                <c:pt idx="8">
                  <c:v>98.9</c:v>
                </c:pt>
                <c:pt idx="9">
                  <c:v>82.5</c:v>
                </c:pt>
              </c:numCache>
            </c:numRef>
          </c:val>
          <c:smooth val="0"/>
          <c:extLst xmlns:c16r2="http://schemas.microsoft.com/office/drawing/2015/06/chart">
            <c:ext xmlns:c16="http://schemas.microsoft.com/office/drawing/2014/chart" uri="{C3380CC4-5D6E-409C-BE32-E72D297353CC}">
              <c16:uniqueId val="{00000001-E183-40F8-96A5-9855A5C01000}"/>
            </c:ext>
          </c:extLst>
        </c:ser>
        <c:ser>
          <c:idx val="2"/>
          <c:order val="2"/>
          <c:tx>
            <c:strRef>
              <c:f>Data_Yearly_BG_BG!$A$89</c:f>
              <c:strCache>
                <c:ptCount val="1"/>
                <c:pt idx="0">
                  <c:v>EU28 Жилищни и обществени сгради</c:v>
                </c:pt>
              </c:strCache>
            </c:strRef>
          </c:tx>
          <c:spPr>
            <a:ln>
              <a:solidFill>
                <a:schemeClr val="accent1">
                  <a:lumMod val="75000"/>
                </a:schemeClr>
              </a:solidFill>
            </a:ln>
          </c:spPr>
          <c:marker>
            <c:symbol val="none"/>
          </c:marker>
          <c:cat>
            <c:numRef>
              <c:f>Data_Yearly_BG_BG!$B$86:$K$86</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Data_Yearly_BG_BG!$B$89:$K$89</c:f>
              <c:numCache>
                <c:formatCode>General</c:formatCode>
                <c:ptCount val="10"/>
                <c:pt idx="0">
                  <c:v>119.2</c:v>
                </c:pt>
                <c:pt idx="1">
                  <c:v>115</c:v>
                </c:pt>
                <c:pt idx="2">
                  <c:v>103.8</c:v>
                </c:pt>
                <c:pt idx="3">
                  <c:v>100</c:v>
                </c:pt>
                <c:pt idx="4">
                  <c:v>98.1</c:v>
                </c:pt>
                <c:pt idx="5">
                  <c:v>93.5</c:v>
                </c:pt>
                <c:pt idx="6">
                  <c:v>92</c:v>
                </c:pt>
                <c:pt idx="7">
                  <c:v>95.5</c:v>
                </c:pt>
                <c:pt idx="8">
                  <c:v>95.6</c:v>
                </c:pt>
                <c:pt idx="9">
                  <c:v>97.9</c:v>
                </c:pt>
              </c:numCache>
            </c:numRef>
          </c:val>
          <c:smooth val="0"/>
          <c:extLst xmlns:c16r2="http://schemas.microsoft.com/office/drawing/2015/06/chart">
            <c:ext xmlns:c16="http://schemas.microsoft.com/office/drawing/2014/chart" uri="{C3380CC4-5D6E-409C-BE32-E72D297353CC}">
              <c16:uniqueId val="{00000002-E183-40F8-96A5-9855A5C01000}"/>
            </c:ext>
          </c:extLst>
        </c:ser>
        <c:ser>
          <c:idx val="3"/>
          <c:order val="3"/>
          <c:tx>
            <c:strRef>
              <c:f>Data_Yearly_BG_BG!$A$90</c:f>
              <c:strCache>
                <c:ptCount val="1"/>
                <c:pt idx="0">
                  <c:v>BG Жилищни и обществени сгради</c:v>
                </c:pt>
              </c:strCache>
            </c:strRef>
          </c:tx>
          <c:spPr>
            <a:ln>
              <a:solidFill>
                <a:schemeClr val="accent2"/>
              </a:solidFill>
            </a:ln>
          </c:spPr>
          <c:marker>
            <c:symbol val="none"/>
          </c:marker>
          <c:cat>
            <c:numRef>
              <c:f>Data_Yearly_BG_BG!$B$86:$K$86</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Data_Yearly_BG_BG!$B$90:$K$90</c:f>
              <c:numCache>
                <c:formatCode>General</c:formatCode>
                <c:ptCount val="10"/>
                <c:pt idx="0">
                  <c:v>148.30000000000001</c:v>
                </c:pt>
                <c:pt idx="1">
                  <c:v>172.3</c:v>
                </c:pt>
                <c:pt idx="2">
                  <c:v>138.80000000000001</c:v>
                </c:pt>
                <c:pt idx="3">
                  <c:v>99.8</c:v>
                </c:pt>
                <c:pt idx="4">
                  <c:v>93</c:v>
                </c:pt>
                <c:pt idx="5">
                  <c:v>87.9</c:v>
                </c:pt>
                <c:pt idx="6">
                  <c:v>86.5</c:v>
                </c:pt>
                <c:pt idx="7">
                  <c:v>86.9</c:v>
                </c:pt>
                <c:pt idx="8">
                  <c:v>94.2</c:v>
                </c:pt>
                <c:pt idx="9">
                  <c:v>78.599999999999994</c:v>
                </c:pt>
              </c:numCache>
            </c:numRef>
          </c:val>
          <c:smooth val="0"/>
          <c:extLst xmlns:c16r2="http://schemas.microsoft.com/office/drawing/2015/06/chart">
            <c:ext xmlns:c16="http://schemas.microsoft.com/office/drawing/2014/chart" uri="{C3380CC4-5D6E-409C-BE32-E72D297353CC}">
              <c16:uniqueId val="{00000003-E183-40F8-96A5-9855A5C01000}"/>
            </c:ext>
          </c:extLst>
        </c:ser>
        <c:ser>
          <c:idx val="4"/>
          <c:order val="4"/>
          <c:tx>
            <c:strRef>
              <c:f>Data_Yearly_BG_BG!$A$91</c:f>
              <c:strCache>
                <c:ptCount val="1"/>
                <c:pt idx="0">
                  <c:v>EU28 строителство на инфраструктура</c:v>
                </c:pt>
              </c:strCache>
            </c:strRef>
          </c:tx>
          <c:spPr>
            <a:ln>
              <a:solidFill>
                <a:srgbClr val="00B0F0"/>
              </a:solidFill>
            </a:ln>
          </c:spPr>
          <c:marker>
            <c:symbol val="none"/>
          </c:marker>
          <c:cat>
            <c:numRef>
              <c:f>Data_Yearly_BG_BG!$B$86:$K$86</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Data_Yearly_BG_BG!$B$91:$K$91</c:f>
              <c:numCache>
                <c:formatCode>General</c:formatCode>
                <c:ptCount val="10"/>
                <c:pt idx="0">
                  <c:v>104.9</c:v>
                </c:pt>
                <c:pt idx="1">
                  <c:v>104.2</c:v>
                </c:pt>
                <c:pt idx="2">
                  <c:v>105</c:v>
                </c:pt>
                <c:pt idx="3">
                  <c:v>100</c:v>
                </c:pt>
                <c:pt idx="4">
                  <c:v>100.3</c:v>
                </c:pt>
                <c:pt idx="5">
                  <c:v>91.4</c:v>
                </c:pt>
                <c:pt idx="6">
                  <c:v>89.2</c:v>
                </c:pt>
                <c:pt idx="7">
                  <c:v>89.7</c:v>
                </c:pt>
                <c:pt idx="8">
                  <c:v>94</c:v>
                </c:pt>
                <c:pt idx="9">
                  <c:v>92.5</c:v>
                </c:pt>
              </c:numCache>
            </c:numRef>
          </c:val>
          <c:smooth val="0"/>
          <c:extLst xmlns:c16r2="http://schemas.microsoft.com/office/drawing/2015/06/chart">
            <c:ext xmlns:c16="http://schemas.microsoft.com/office/drawing/2014/chart" uri="{C3380CC4-5D6E-409C-BE32-E72D297353CC}">
              <c16:uniqueId val="{00000004-E183-40F8-96A5-9855A5C01000}"/>
            </c:ext>
          </c:extLst>
        </c:ser>
        <c:ser>
          <c:idx val="5"/>
          <c:order val="5"/>
          <c:tx>
            <c:strRef>
              <c:f>Data_Yearly_BG_BG!$A$92</c:f>
              <c:strCache>
                <c:ptCount val="1"/>
                <c:pt idx="0">
                  <c:v>BG строителство на инфраструктура</c:v>
                </c:pt>
              </c:strCache>
            </c:strRef>
          </c:tx>
          <c:spPr>
            <a:ln>
              <a:solidFill>
                <a:schemeClr val="accent2">
                  <a:lumMod val="75000"/>
                </a:schemeClr>
              </a:solidFill>
            </a:ln>
          </c:spPr>
          <c:marker>
            <c:symbol val="none"/>
          </c:marker>
          <c:cat>
            <c:numRef>
              <c:f>Data_Yearly_BG_BG!$B$86:$K$86</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Data_Yearly_BG_BG!$B$92:$K$92</c:f>
              <c:numCache>
                <c:formatCode>General</c:formatCode>
                <c:ptCount val="10"/>
                <c:pt idx="0">
                  <c:v>90.7</c:v>
                </c:pt>
                <c:pt idx="1">
                  <c:v>94.1</c:v>
                </c:pt>
                <c:pt idx="2">
                  <c:v>90.7</c:v>
                </c:pt>
                <c:pt idx="3">
                  <c:v>99.7</c:v>
                </c:pt>
                <c:pt idx="4">
                  <c:v>80</c:v>
                </c:pt>
                <c:pt idx="5">
                  <c:v>85.1</c:v>
                </c:pt>
                <c:pt idx="6">
                  <c:v>79.400000000000006</c:v>
                </c:pt>
                <c:pt idx="7">
                  <c:v>92.2</c:v>
                </c:pt>
                <c:pt idx="8">
                  <c:v>104.7</c:v>
                </c:pt>
                <c:pt idx="9">
                  <c:v>87.3</c:v>
                </c:pt>
              </c:numCache>
            </c:numRef>
          </c:val>
          <c:smooth val="0"/>
          <c:extLst xmlns:c16r2="http://schemas.microsoft.com/office/drawing/2015/06/chart">
            <c:ext xmlns:c16="http://schemas.microsoft.com/office/drawing/2014/chart" uri="{C3380CC4-5D6E-409C-BE32-E72D297353CC}">
              <c16:uniqueId val="{00000005-E183-40F8-96A5-9855A5C01000}"/>
            </c:ext>
          </c:extLst>
        </c:ser>
        <c:dLbls>
          <c:showLegendKey val="0"/>
          <c:showVal val="0"/>
          <c:showCatName val="0"/>
          <c:showSerName val="0"/>
          <c:showPercent val="0"/>
          <c:showBubbleSize val="0"/>
        </c:dLbls>
        <c:marker val="1"/>
        <c:smooth val="0"/>
        <c:axId val="157665280"/>
        <c:axId val="156414464"/>
      </c:lineChart>
      <c:catAx>
        <c:axId val="157665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en-US"/>
          </a:p>
        </c:txPr>
        <c:crossAx val="156414464"/>
        <c:crosses val="autoZero"/>
        <c:auto val="1"/>
        <c:lblAlgn val="ctr"/>
        <c:lblOffset val="100"/>
        <c:noMultiLvlLbl val="0"/>
      </c:catAx>
      <c:valAx>
        <c:axId val="156414464"/>
        <c:scaling>
          <c:orientation val="minMax"/>
          <c:max val="180"/>
          <c:min val="7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ln w="6350">
            <a:noFill/>
          </a:ln>
        </c:spPr>
        <c:txPr>
          <a:bodyPr rot="0" vert="horz"/>
          <a:lstStyle/>
          <a:p>
            <a:pPr>
              <a:defRPr sz="900" b="0" i="0" u="none" strike="noStrike" baseline="0">
                <a:solidFill>
                  <a:srgbClr val="333333"/>
                </a:solidFill>
                <a:latin typeface="Calibri"/>
                <a:ea typeface="Calibri"/>
                <a:cs typeface="Calibri"/>
              </a:defRPr>
            </a:pPr>
            <a:endParaRPr lang="en-US"/>
          </a:p>
        </c:txPr>
        <c:crossAx val="157665280"/>
        <c:crosses val="autoZero"/>
        <c:crossBetween val="between"/>
      </c:valAx>
      <c:spPr>
        <a:noFill/>
        <a:ln w="25400">
          <a:noFill/>
        </a:ln>
      </c:spPr>
    </c:plotArea>
    <c:legend>
      <c:legendPos val="b"/>
      <c:layout>
        <c:manualLayout>
          <c:xMode val="edge"/>
          <c:yMode val="edge"/>
          <c:x val="0.11021240722393144"/>
          <c:y val="0.84194137743955189"/>
          <c:w val="0.77957501173280486"/>
          <c:h val="0.13571225384536434"/>
        </c:manualLayout>
      </c:layout>
      <c:overlay val="0"/>
      <c:spPr>
        <a:noFill/>
        <a:ln w="25400">
          <a:noFill/>
        </a:ln>
      </c:spPr>
      <c:txPr>
        <a:bodyPr/>
        <a:lstStyle/>
        <a:p>
          <a:pPr>
            <a:defRPr sz="825" b="0" i="0" u="none" strike="noStrike" baseline="0">
              <a:solidFill>
                <a:srgbClr val="333333"/>
              </a:solidFill>
              <a:latin typeface="Calibri"/>
              <a:ea typeface="Calibri"/>
              <a:cs typeface="Calibri"/>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806660756809373E-2"/>
          <c:y val="4.0968342644320296E-2"/>
          <c:w val="0.90751838139437868"/>
          <c:h val="0.8010705020253972"/>
        </c:manualLayout>
      </c:layout>
      <c:lineChart>
        <c:grouping val="standard"/>
        <c:varyColors val="0"/>
        <c:ser>
          <c:idx val="1"/>
          <c:order val="0"/>
          <c:tx>
            <c:strRef>
              <c:f>Data_Yearly_BG_BG!$A$117</c:f>
              <c:strCache>
                <c:ptCount val="1"/>
                <c:pt idx="0">
                  <c:v>BG Сектор Строителство</c:v>
                </c:pt>
              </c:strCache>
            </c:strRef>
          </c:tx>
          <c:spPr>
            <a:ln w="28575" cap="rnd">
              <a:solidFill>
                <a:srgbClr val="C00000"/>
              </a:solidFill>
              <a:round/>
            </a:ln>
            <a:effectLst/>
          </c:spPr>
          <c:marker>
            <c:symbol val="none"/>
          </c:marker>
          <c:cat>
            <c:numRef>
              <c:f>Data_Yearly_BG_BG!$B$115:$K$115</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Data_Yearly_BG_BG!$B$117:$K$117</c:f>
              <c:numCache>
                <c:formatCode>0.00</c:formatCode>
                <c:ptCount val="10"/>
                <c:pt idx="0">
                  <c:v>122.6</c:v>
                </c:pt>
                <c:pt idx="1">
                  <c:v>137.4</c:v>
                </c:pt>
                <c:pt idx="2">
                  <c:v>117.3</c:v>
                </c:pt>
                <c:pt idx="3">
                  <c:v>99.8</c:v>
                </c:pt>
                <c:pt idx="4">
                  <c:v>87.2</c:v>
                </c:pt>
                <c:pt idx="5">
                  <c:v>86.7</c:v>
                </c:pt>
                <c:pt idx="6">
                  <c:v>83.3</c:v>
                </c:pt>
                <c:pt idx="7">
                  <c:v>89.3</c:v>
                </c:pt>
                <c:pt idx="8">
                  <c:v>98.9</c:v>
                </c:pt>
                <c:pt idx="9">
                  <c:v>82.5</c:v>
                </c:pt>
              </c:numCache>
            </c:numRef>
          </c:val>
          <c:smooth val="0"/>
          <c:extLst xmlns:c16r2="http://schemas.microsoft.com/office/drawing/2015/06/chart">
            <c:ext xmlns:c16="http://schemas.microsoft.com/office/drawing/2014/chart" uri="{C3380CC4-5D6E-409C-BE32-E72D297353CC}">
              <c16:uniqueId val="{00000000-6A70-458A-A14F-DCD3A936F56C}"/>
            </c:ext>
          </c:extLst>
        </c:ser>
        <c:ser>
          <c:idx val="3"/>
          <c:order val="1"/>
          <c:tx>
            <c:strRef>
              <c:f>Data_Yearly_BG_BG!$A$119</c:f>
              <c:strCache>
                <c:ptCount val="1"/>
                <c:pt idx="0">
                  <c:v>BG Жилищни и обществени сгради</c:v>
                </c:pt>
              </c:strCache>
            </c:strRef>
          </c:tx>
          <c:spPr>
            <a:ln>
              <a:solidFill>
                <a:schemeClr val="accent2"/>
              </a:solidFill>
            </a:ln>
          </c:spPr>
          <c:marker>
            <c:symbol val="none"/>
          </c:marker>
          <c:cat>
            <c:numRef>
              <c:f>Data_Yearly_BG_BG!$B$115:$K$115</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Data_Yearly_BG_BG!$B$119:$K$119</c:f>
              <c:numCache>
                <c:formatCode>General</c:formatCode>
                <c:ptCount val="10"/>
                <c:pt idx="0">
                  <c:v>148.30000000000001</c:v>
                </c:pt>
                <c:pt idx="1">
                  <c:v>172.3</c:v>
                </c:pt>
                <c:pt idx="2">
                  <c:v>138.80000000000001</c:v>
                </c:pt>
                <c:pt idx="3">
                  <c:v>99.8</c:v>
                </c:pt>
                <c:pt idx="4">
                  <c:v>93</c:v>
                </c:pt>
                <c:pt idx="5">
                  <c:v>87.9</c:v>
                </c:pt>
                <c:pt idx="6">
                  <c:v>86.5</c:v>
                </c:pt>
                <c:pt idx="7">
                  <c:v>86.9</c:v>
                </c:pt>
                <c:pt idx="8">
                  <c:v>94.2</c:v>
                </c:pt>
                <c:pt idx="9">
                  <c:v>78.599999999999994</c:v>
                </c:pt>
              </c:numCache>
            </c:numRef>
          </c:val>
          <c:smooth val="0"/>
          <c:extLst xmlns:c16r2="http://schemas.microsoft.com/office/drawing/2015/06/chart">
            <c:ext xmlns:c16="http://schemas.microsoft.com/office/drawing/2014/chart" uri="{C3380CC4-5D6E-409C-BE32-E72D297353CC}">
              <c16:uniqueId val="{00000001-6A70-458A-A14F-DCD3A936F56C}"/>
            </c:ext>
          </c:extLst>
        </c:ser>
        <c:ser>
          <c:idx val="5"/>
          <c:order val="2"/>
          <c:tx>
            <c:strRef>
              <c:f>Data_Yearly_BG_BG!$A$121</c:f>
              <c:strCache>
                <c:ptCount val="1"/>
                <c:pt idx="0">
                  <c:v>BG строителство на инфраструктура</c:v>
                </c:pt>
              </c:strCache>
            </c:strRef>
          </c:tx>
          <c:spPr>
            <a:ln>
              <a:solidFill>
                <a:schemeClr val="accent2">
                  <a:lumMod val="75000"/>
                </a:schemeClr>
              </a:solidFill>
            </a:ln>
          </c:spPr>
          <c:marker>
            <c:symbol val="none"/>
          </c:marker>
          <c:cat>
            <c:numRef>
              <c:f>Data_Yearly_BG_BG!$B$115:$K$115</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Data_Yearly_BG_BG!$B$121:$K$121</c:f>
              <c:numCache>
                <c:formatCode>General</c:formatCode>
                <c:ptCount val="10"/>
                <c:pt idx="0">
                  <c:v>90.7</c:v>
                </c:pt>
                <c:pt idx="1">
                  <c:v>94.1</c:v>
                </c:pt>
                <c:pt idx="2">
                  <c:v>90.7</c:v>
                </c:pt>
                <c:pt idx="3">
                  <c:v>99.7</c:v>
                </c:pt>
                <c:pt idx="4">
                  <c:v>80</c:v>
                </c:pt>
                <c:pt idx="5">
                  <c:v>85.1</c:v>
                </c:pt>
                <c:pt idx="6">
                  <c:v>79.400000000000006</c:v>
                </c:pt>
                <c:pt idx="7">
                  <c:v>92.2</c:v>
                </c:pt>
                <c:pt idx="8">
                  <c:v>104.7</c:v>
                </c:pt>
                <c:pt idx="9">
                  <c:v>87.3</c:v>
                </c:pt>
              </c:numCache>
            </c:numRef>
          </c:val>
          <c:smooth val="0"/>
          <c:extLst xmlns:c16r2="http://schemas.microsoft.com/office/drawing/2015/06/chart">
            <c:ext xmlns:c16="http://schemas.microsoft.com/office/drawing/2014/chart" uri="{C3380CC4-5D6E-409C-BE32-E72D297353CC}">
              <c16:uniqueId val="{00000002-6A70-458A-A14F-DCD3A936F56C}"/>
            </c:ext>
          </c:extLst>
        </c:ser>
        <c:dLbls>
          <c:showLegendKey val="0"/>
          <c:showVal val="0"/>
          <c:showCatName val="0"/>
          <c:showSerName val="0"/>
          <c:showPercent val="0"/>
          <c:showBubbleSize val="0"/>
        </c:dLbls>
        <c:marker val="1"/>
        <c:smooth val="0"/>
        <c:axId val="157665792"/>
        <c:axId val="156416192"/>
      </c:lineChart>
      <c:catAx>
        <c:axId val="157665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en-US"/>
          </a:p>
        </c:txPr>
        <c:crossAx val="156416192"/>
        <c:crosses val="autoZero"/>
        <c:auto val="1"/>
        <c:lblAlgn val="ctr"/>
        <c:lblOffset val="100"/>
        <c:noMultiLvlLbl val="0"/>
      </c:catAx>
      <c:valAx>
        <c:axId val="156416192"/>
        <c:scaling>
          <c:orientation val="minMax"/>
          <c:max val="180"/>
          <c:min val="7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ln w="6350">
            <a:noFill/>
          </a:ln>
        </c:spPr>
        <c:txPr>
          <a:bodyPr rot="0" vert="horz"/>
          <a:lstStyle/>
          <a:p>
            <a:pPr>
              <a:defRPr sz="900" b="0" i="0" u="none" strike="noStrike" baseline="0">
                <a:solidFill>
                  <a:srgbClr val="333333"/>
                </a:solidFill>
                <a:latin typeface="Calibri"/>
                <a:ea typeface="Calibri"/>
                <a:cs typeface="Calibri"/>
              </a:defRPr>
            </a:pPr>
            <a:endParaRPr lang="en-US"/>
          </a:p>
        </c:txPr>
        <c:crossAx val="157665792"/>
        <c:crosses val="autoZero"/>
        <c:crossBetween val="between"/>
      </c:valAx>
      <c:spPr>
        <a:noFill/>
        <a:ln w="25400">
          <a:noFill/>
        </a:ln>
      </c:spPr>
    </c:plotArea>
    <c:legend>
      <c:legendPos val="b"/>
      <c:layout>
        <c:manualLayout>
          <c:xMode val="edge"/>
          <c:yMode val="edge"/>
          <c:x val="1.0874658879560586E-2"/>
          <c:y val="0.90580289792543045"/>
          <c:w val="0.97604300290278267"/>
          <c:h val="9.1019595153345553E-2"/>
        </c:manualLayout>
      </c:layout>
      <c:overlay val="0"/>
      <c:spPr>
        <a:noFill/>
        <a:ln w="25400">
          <a:noFill/>
        </a:ln>
      </c:spPr>
      <c:txPr>
        <a:bodyPr/>
        <a:lstStyle/>
        <a:p>
          <a:pPr>
            <a:defRPr sz="825" b="0" i="0" u="none" strike="noStrike" baseline="0">
              <a:solidFill>
                <a:srgbClr val="333333"/>
              </a:solidFill>
              <a:latin typeface="Calibri"/>
              <a:ea typeface="Calibri"/>
              <a:cs typeface="Calibri"/>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E46EF9-FD51-49A0-98C8-D432363326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127</Pages>
  <Words>87706</Words>
  <Characters>499929</Characters>
  <Application>Microsoft Office Word</Application>
  <DocSecurity>0</DocSecurity>
  <Lines>4166</Lines>
  <Paragraphs>1172</Paragraphs>
  <ScaleCrop>false</ScaleCrop>
  <HeadingPairs>
    <vt:vector size="2" baseType="variant">
      <vt:variant>
        <vt:lpstr>Title</vt:lpstr>
      </vt:variant>
      <vt:variant>
        <vt:i4>1</vt:i4>
      </vt:variant>
    </vt:vector>
  </HeadingPairs>
  <TitlesOfParts>
    <vt:vector size="1" baseType="lpstr">
      <vt:lpstr>Република България</vt:lpstr>
    </vt:vector>
  </TitlesOfParts>
  <Company/>
  <LinksUpToDate>false</LinksUpToDate>
  <CharactersWithSpaces>586463</CharactersWithSpaces>
  <SharedDoc>false</SharedDoc>
  <HLinks>
    <vt:vector size="2094" baseType="variant">
      <vt:variant>
        <vt:i4>8126577</vt:i4>
      </vt:variant>
      <vt:variant>
        <vt:i4>1404</vt:i4>
      </vt:variant>
      <vt:variant>
        <vt:i4>0</vt:i4>
      </vt:variant>
      <vt:variant>
        <vt:i4>5</vt:i4>
      </vt:variant>
      <vt:variant>
        <vt:lpwstr>http://www.mrrb.government.bg/nacionalna-programa-za-prevenciya-i-ogranichavane-na-svlachistata-na-teritoriyata-na-republika-bulgariya-eroziyata-i-abraziyata-po-dunavskoto-i-chernomorskoto-krajbrejie-2015-2020-g-i-dopulnenie-kum-neya-s-novovuzniknali-77199/</vt:lpwstr>
      </vt:variant>
      <vt:variant>
        <vt:lpwstr/>
      </vt:variant>
      <vt:variant>
        <vt:i4>4784248</vt:i4>
      </vt:variant>
      <vt:variant>
        <vt:i4>1401</vt:i4>
      </vt:variant>
      <vt:variant>
        <vt:i4>0</vt:i4>
      </vt:variant>
      <vt:variant>
        <vt:i4>5</vt:i4>
      </vt:variant>
      <vt:variant>
        <vt:lpwstr>http://www.nspbzn.mvr.bg/NR/rdonlyres/317033AA-E99D-4C51-AC8E-DB37272F2866/0/NPZB_20142018.pdf</vt:lpwstr>
      </vt:variant>
      <vt:variant>
        <vt:lpwstr/>
      </vt:variant>
      <vt:variant>
        <vt:i4>8126577</vt:i4>
      </vt:variant>
      <vt:variant>
        <vt:i4>1395</vt:i4>
      </vt:variant>
      <vt:variant>
        <vt:i4>0</vt:i4>
      </vt:variant>
      <vt:variant>
        <vt:i4>5</vt:i4>
      </vt:variant>
      <vt:variant>
        <vt:lpwstr>http://www.mrrb.government.bg/nacionalna-programa-za-prevenciya-i-ogranichavane-na-svlachistata-na-teritoriyata-na-republika-bulgariya-eroziyata-i-abraziyata-po-dunavskoto-i-chernomorskoto-krajbrejie-2015-2020-g-i-dopulnenie-kum-neya-s-novovuzniknali-77199/</vt:lpwstr>
      </vt:variant>
      <vt:variant>
        <vt:lpwstr/>
      </vt:variant>
      <vt:variant>
        <vt:i4>4784248</vt:i4>
      </vt:variant>
      <vt:variant>
        <vt:i4>1392</vt:i4>
      </vt:variant>
      <vt:variant>
        <vt:i4>0</vt:i4>
      </vt:variant>
      <vt:variant>
        <vt:i4>5</vt:i4>
      </vt:variant>
      <vt:variant>
        <vt:lpwstr>http://www.nspbzn.mvr.bg/NR/rdonlyres/317033AA-E99D-4C51-AC8E-DB37272F2866/0/NPZB_20142018.pdf</vt:lpwstr>
      </vt:variant>
      <vt:variant>
        <vt:lpwstr/>
      </vt:variant>
      <vt:variant>
        <vt:i4>7929955</vt:i4>
      </vt:variant>
      <vt:variant>
        <vt:i4>1386</vt:i4>
      </vt:variant>
      <vt:variant>
        <vt:i4>0</vt:i4>
      </vt:variant>
      <vt:variant>
        <vt:i4>5</vt:i4>
      </vt:variant>
      <vt:variant>
        <vt:lpwstr>http://www.interreg-danube.eu/about-dtp</vt:lpwstr>
      </vt:variant>
      <vt:variant>
        <vt:lpwstr/>
      </vt:variant>
      <vt:variant>
        <vt:i4>7667831</vt:i4>
      </vt:variant>
      <vt:variant>
        <vt:i4>1383</vt:i4>
      </vt:variant>
      <vt:variant>
        <vt:i4>0</vt:i4>
      </vt:variant>
      <vt:variant>
        <vt:i4>5</vt:i4>
      </vt:variant>
      <vt:variant>
        <vt:lpwstr>https://www.ipacbc-bgtr.eu/</vt:lpwstr>
      </vt:variant>
      <vt:variant>
        <vt:lpwstr/>
      </vt:variant>
      <vt:variant>
        <vt:i4>7209001</vt:i4>
      </vt:variant>
      <vt:variant>
        <vt:i4>1380</vt:i4>
      </vt:variant>
      <vt:variant>
        <vt:i4>0</vt:i4>
      </vt:variant>
      <vt:variant>
        <vt:i4>5</vt:i4>
      </vt:variant>
      <vt:variant>
        <vt:lpwstr>http://www.ipa-cbc-007.eu/</vt:lpwstr>
      </vt:variant>
      <vt:variant>
        <vt:lpwstr/>
      </vt:variant>
      <vt:variant>
        <vt:i4>3276907</vt:i4>
      </vt:variant>
      <vt:variant>
        <vt:i4>1377</vt:i4>
      </vt:variant>
      <vt:variant>
        <vt:i4>0</vt:i4>
      </vt:variant>
      <vt:variant>
        <vt:i4>5</vt:i4>
      </vt:variant>
      <vt:variant>
        <vt:lpwstr>http://www.ipacbc-bgrs.eu/</vt:lpwstr>
      </vt:variant>
      <vt:variant>
        <vt:lpwstr/>
      </vt:variant>
      <vt:variant>
        <vt:i4>917623</vt:i4>
      </vt:variant>
      <vt:variant>
        <vt:i4>1374</vt:i4>
      </vt:variant>
      <vt:variant>
        <vt:i4>0</vt:i4>
      </vt:variant>
      <vt:variant>
        <vt:i4>5</vt:i4>
      </vt:variant>
      <vt:variant>
        <vt:lpwstr>http://www.fpdd.bg/en/page/cbc_bg-ro</vt:lpwstr>
      </vt:variant>
      <vt:variant>
        <vt:lpwstr/>
      </vt:variant>
      <vt:variant>
        <vt:i4>6488110</vt:i4>
      </vt:variant>
      <vt:variant>
        <vt:i4>1371</vt:i4>
      </vt:variant>
      <vt:variant>
        <vt:i4>0</vt:i4>
      </vt:variant>
      <vt:variant>
        <vt:i4>5</vt:i4>
      </vt:variant>
      <vt:variant>
        <vt:lpwstr>http://www.greendigitalcharter.eu/projects/niceproject</vt:lpwstr>
      </vt:variant>
      <vt:variant>
        <vt:lpwstr/>
      </vt:variant>
      <vt:variant>
        <vt:i4>6815864</vt:i4>
      </vt:variant>
      <vt:variant>
        <vt:i4>1368</vt:i4>
      </vt:variant>
      <vt:variant>
        <vt:i4>0</vt:i4>
      </vt:variant>
      <vt:variant>
        <vt:i4>5</vt:i4>
      </vt:variant>
      <vt:variant>
        <vt:lpwstr>http://www.greendigitalcharter.eu/</vt:lpwstr>
      </vt:variant>
      <vt:variant>
        <vt:lpwstr/>
      </vt:variant>
      <vt:variant>
        <vt:i4>1703993</vt:i4>
      </vt:variant>
      <vt:variant>
        <vt:i4>1365</vt:i4>
      </vt:variant>
      <vt:variant>
        <vt:i4>0</vt:i4>
      </vt:variant>
      <vt:variant>
        <vt:i4>5</vt:i4>
      </vt:variant>
      <vt:variant>
        <vt:lpwstr>http://www.covenantofmayors.eu/about/covenant-of-mayors_en.html</vt:lpwstr>
      </vt:variant>
      <vt:variant>
        <vt:lpwstr/>
      </vt:variant>
      <vt:variant>
        <vt:i4>5570591</vt:i4>
      </vt:variant>
      <vt:variant>
        <vt:i4>1362</vt:i4>
      </vt:variant>
      <vt:variant>
        <vt:i4>0</vt:i4>
      </vt:variant>
      <vt:variant>
        <vt:i4>5</vt:i4>
      </vt:variant>
      <vt:variant>
        <vt:lpwstr>http://www.eurocities.eu/eurocities/home</vt:lpwstr>
      </vt:variant>
      <vt:variant>
        <vt:lpwstr/>
      </vt:variant>
      <vt:variant>
        <vt:i4>4063307</vt:i4>
      </vt:variant>
      <vt:variant>
        <vt:i4>1359</vt:i4>
      </vt:variant>
      <vt:variant>
        <vt:i4>0</vt:i4>
      </vt:variant>
      <vt:variant>
        <vt:i4>5</vt:i4>
      </vt:variant>
      <vt:variant>
        <vt:lpwstr>http://www.espon.eu/main/Menu_Projects/Menu_ESPON2013Projects/Menu_AppliedResearch/climate.html</vt:lpwstr>
      </vt:variant>
      <vt:variant>
        <vt:lpwstr/>
      </vt:variant>
      <vt:variant>
        <vt:i4>3473511</vt:i4>
      </vt:variant>
      <vt:variant>
        <vt:i4>1356</vt:i4>
      </vt:variant>
      <vt:variant>
        <vt:i4>0</vt:i4>
      </vt:variant>
      <vt:variant>
        <vt:i4>5</vt:i4>
      </vt:variant>
      <vt:variant>
        <vt:lpwstr>http://climate-adapt.eea.europa.eu/repository/11156095.pdf/view</vt:lpwstr>
      </vt:variant>
      <vt:variant>
        <vt:lpwstr/>
      </vt:variant>
      <vt:variant>
        <vt:i4>2031640</vt:i4>
      </vt:variant>
      <vt:variant>
        <vt:i4>1353</vt:i4>
      </vt:variant>
      <vt:variant>
        <vt:i4>0</vt:i4>
      </vt:variant>
      <vt:variant>
        <vt:i4>5</vt:i4>
      </vt:variant>
      <vt:variant>
        <vt:lpwstr>http://urbact.eu/resilient-europe</vt:lpwstr>
      </vt:variant>
      <vt:variant>
        <vt:lpwstr/>
      </vt:variant>
      <vt:variant>
        <vt:i4>7209011</vt:i4>
      </vt:variant>
      <vt:variant>
        <vt:i4>1350</vt:i4>
      </vt:variant>
      <vt:variant>
        <vt:i4>0</vt:i4>
      </vt:variant>
      <vt:variant>
        <vt:i4>5</vt:i4>
      </vt:variant>
      <vt:variant>
        <vt:lpwstr>http://www.eea.europa.eu/publications/urban-adaptation-2016</vt:lpwstr>
      </vt:variant>
      <vt:variant>
        <vt:lpwstr/>
      </vt:variant>
      <vt:variant>
        <vt:i4>983047</vt:i4>
      </vt:variant>
      <vt:variant>
        <vt:i4>1347</vt:i4>
      </vt:variant>
      <vt:variant>
        <vt:i4>0</vt:i4>
      </vt:variant>
      <vt:variant>
        <vt:i4>5</vt:i4>
      </vt:variant>
      <vt:variant>
        <vt:lpwstr>http://www.eea.europa.eu/publications/urban-adaptation-to-climate-change</vt:lpwstr>
      </vt:variant>
      <vt:variant>
        <vt:lpwstr/>
      </vt:variant>
      <vt:variant>
        <vt:i4>7012457</vt:i4>
      </vt:variant>
      <vt:variant>
        <vt:i4>1344</vt:i4>
      </vt:variant>
      <vt:variant>
        <vt:i4>0</vt:i4>
      </vt:variant>
      <vt:variant>
        <vt:i4>5</vt:i4>
      </vt:variant>
      <vt:variant>
        <vt:lpwstr>http://www.eea.europa.eu/data-and-maps/data/urban-atlas</vt:lpwstr>
      </vt:variant>
      <vt:variant>
        <vt:lpwstr/>
      </vt:variant>
      <vt:variant>
        <vt:i4>131099</vt:i4>
      </vt:variant>
      <vt:variant>
        <vt:i4>1341</vt:i4>
      </vt:variant>
      <vt:variant>
        <vt:i4>0</vt:i4>
      </vt:variant>
      <vt:variant>
        <vt:i4>5</vt:i4>
      </vt:variant>
      <vt:variant>
        <vt:lpwstr>http://ec.europa.eu/eurostat/web/cities/data/database</vt:lpwstr>
      </vt:variant>
      <vt:variant>
        <vt:lpwstr/>
      </vt:variant>
      <vt:variant>
        <vt:i4>4653141</vt:i4>
      </vt:variant>
      <vt:variant>
        <vt:i4>1302</vt:i4>
      </vt:variant>
      <vt:variant>
        <vt:i4>0</vt:i4>
      </vt:variant>
      <vt:variant>
        <vt:i4>5</vt:i4>
      </vt:variant>
      <vt:variant>
        <vt:lpwstr>http://appsso.eurostat.ec.europa.eu/nui/show.do?dataset=sts_copr_a&amp;lang=en</vt:lpwstr>
      </vt:variant>
      <vt:variant>
        <vt:lpwstr/>
      </vt:variant>
      <vt:variant>
        <vt:i4>2162747</vt:i4>
      </vt:variant>
      <vt:variant>
        <vt:i4>1263</vt:i4>
      </vt:variant>
      <vt:variant>
        <vt:i4>0</vt:i4>
      </vt:variant>
      <vt:variant>
        <vt:i4>5</vt:i4>
      </vt:variant>
      <vt:variant>
        <vt:lpwstr>http://www.eufunds.bg/index.php/bg/operativni-programi/regionalno-razvitie/komunikatzionen-plan-na-oprr</vt:lpwstr>
      </vt:variant>
      <vt:variant>
        <vt:lpwstr/>
      </vt:variant>
      <vt:variant>
        <vt:i4>4259931</vt:i4>
      </vt:variant>
      <vt:variant>
        <vt:i4>1260</vt:i4>
      </vt:variant>
      <vt:variant>
        <vt:i4>0</vt:i4>
      </vt:variant>
      <vt:variant>
        <vt:i4>5</vt:i4>
      </vt:variant>
      <vt:variant>
        <vt:lpwstr>http://osi.bg/downloads/File/2017/active NGOs.pdf</vt:lpwstr>
      </vt:variant>
      <vt:variant>
        <vt:lpwstr/>
      </vt:variant>
      <vt:variant>
        <vt:i4>7995510</vt:i4>
      </vt:variant>
      <vt:variant>
        <vt:i4>1257</vt:i4>
      </vt:variant>
      <vt:variant>
        <vt:i4>0</vt:i4>
      </vt:variant>
      <vt:variant>
        <vt:i4>5</vt:i4>
      </vt:variant>
      <vt:variant>
        <vt:lpwstr>http://eur-lex.europa.eu/legal-content/BG/TXT/?uri=celex:%2032013R1303</vt:lpwstr>
      </vt:variant>
      <vt:variant>
        <vt:lpwstr/>
      </vt:variant>
      <vt:variant>
        <vt:i4>3473513</vt:i4>
      </vt:variant>
      <vt:variant>
        <vt:i4>1254</vt:i4>
      </vt:variant>
      <vt:variant>
        <vt:i4>0</vt:i4>
      </vt:variant>
      <vt:variant>
        <vt:i4>5</vt:i4>
      </vt:variant>
      <vt:variant>
        <vt:lpwstr>http://www.covenantofmayors.eu/Adaptation.html</vt:lpwstr>
      </vt:variant>
      <vt:variant>
        <vt:lpwstr/>
      </vt:variant>
      <vt:variant>
        <vt:i4>6881342</vt:i4>
      </vt:variant>
      <vt:variant>
        <vt:i4>1251</vt:i4>
      </vt:variant>
      <vt:variant>
        <vt:i4>0</vt:i4>
      </vt:variant>
      <vt:variant>
        <vt:i4>5</vt:i4>
      </vt:variant>
      <vt:variant>
        <vt:lpwstr>http://climate-adapt.eea.europa.eu/</vt:lpwstr>
      </vt:variant>
      <vt:variant>
        <vt:lpwstr/>
      </vt:variant>
      <vt:variant>
        <vt:i4>6357113</vt:i4>
      </vt:variant>
      <vt:variant>
        <vt:i4>1248</vt:i4>
      </vt:variant>
      <vt:variant>
        <vt:i4>0</vt:i4>
      </vt:variant>
      <vt:variant>
        <vt:i4>5</vt:i4>
      </vt:variant>
      <vt:variant>
        <vt:lpwstr>http://web.unep.org/coastal-eba/capacity-building-mainstreaming</vt:lpwstr>
      </vt:variant>
      <vt:variant>
        <vt:lpwstr/>
      </vt:variant>
      <vt:variant>
        <vt:i4>5111825</vt:i4>
      </vt:variant>
      <vt:variant>
        <vt:i4>1245</vt:i4>
      </vt:variant>
      <vt:variant>
        <vt:i4>0</vt:i4>
      </vt:variant>
      <vt:variant>
        <vt:i4>5</vt:i4>
      </vt:variant>
      <vt:variant>
        <vt:lpwstr>http://climate-adapt.eea.europa.eu/metadata/adaptation-options/awareness-campaigns-for-behavioural-change</vt:lpwstr>
      </vt:variant>
      <vt:variant>
        <vt:lpwstr/>
      </vt:variant>
      <vt:variant>
        <vt:i4>6684709</vt:i4>
      </vt:variant>
      <vt:variant>
        <vt:i4>1242</vt:i4>
      </vt:variant>
      <vt:variant>
        <vt:i4>0</vt:i4>
      </vt:variant>
      <vt:variant>
        <vt:i4>5</vt:i4>
      </vt:variant>
      <vt:variant>
        <vt:lpwstr>https://www.citylab.com/design/2015/05/in-paris-plans-for-a-river-seine-reinvention/392639/</vt:lpwstr>
      </vt:variant>
      <vt:variant>
        <vt:lpwstr/>
      </vt:variant>
      <vt:variant>
        <vt:i4>2687010</vt:i4>
      </vt:variant>
      <vt:variant>
        <vt:i4>1239</vt:i4>
      </vt:variant>
      <vt:variant>
        <vt:i4>0</vt:i4>
      </vt:variant>
      <vt:variant>
        <vt:i4>5</vt:i4>
      </vt:variant>
      <vt:variant>
        <vt:lpwstr>https://www.star2.com/living/2017/11/11/restoration-cheonggye-stream-seoul/</vt:lpwstr>
      </vt:variant>
      <vt:variant>
        <vt:lpwstr/>
      </vt:variant>
      <vt:variant>
        <vt:i4>8126517</vt:i4>
      </vt:variant>
      <vt:variant>
        <vt:i4>1236</vt:i4>
      </vt:variant>
      <vt:variant>
        <vt:i4>0</vt:i4>
      </vt:variant>
      <vt:variant>
        <vt:i4>5</vt:i4>
      </vt:variant>
      <vt:variant>
        <vt:lpwstr>https://www.nycgovparks.org/park-features/parks-list?boro=M</vt:lpwstr>
      </vt:variant>
      <vt:variant>
        <vt:lpwstr/>
      </vt:variant>
      <vt:variant>
        <vt:i4>1179651</vt:i4>
      </vt:variant>
      <vt:variant>
        <vt:i4>1233</vt:i4>
      </vt:variant>
      <vt:variant>
        <vt:i4>0</vt:i4>
      </vt:variant>
      <vt:variant>
        <vt:i4>5</vt:i4>
      </vt:variant>
      <vt:variant>
        <vt:lpwstr>http://www.100resilientcities.org/resources/</vt:lpwstr>
      </vt:variant>
      <vt:variant>
        <vt:lpwstr/>
      </vt:variant>
      <vt:variant>
        <vt:i4>65620</vt:i4>
      </vt:variant>
      <vt:variant>
        <vt:i4>1230</vt:i4>
      </vt:variant>
      <vt:variant>
        <vt:i4>0</vt:i4>
      </vt:variant>
      <vt:variant>
        <vt:i4>5</vt:i4>
      </vt:variant>
      <vt:variant>
        <vt:lpwstr>http://www.scholars4dev.com/20513/go-green-in-the-city-2017/</vt:lpwstr>
      </vt:variant>
      <vt:variant>
        <vt:lpwstr/>
      </vt:variant>
      <vt:variant>
        <vt:i4>1900560</vt:i4>
      </vt:variant>
      <vt:variant>
        <vt:i4>1227</vt:i4>
      </vt:variant>
      <vt:variant>
        <vt:i4>0</vt:i4>
      </vt:variant>
      <vt:variant>
        <vt:i4>5</vt:i4>
      </vt:variant>
      <vt:variant>
        <vt:lpwstr>http://www.rtpi.org.uk/events/awards/</vt:lpwstr>
      </vt:variant>
      <vt:variant>
        <vt:lpwstr/>
      </vt:variant>
      <vt:variant>
        <vt:i4>2293818</vt:i4>
      </vt:variant>
      <vt:variant>
        <vt:i4>1224</vt:i4>
      </vt:variant>
      <vt:variant>
        <vt:i4>0</vt:i4>
      </vt:variant>
      <vt:variant>
        <vt:i4>5</vt:i4>
      </vt:variant>
      <vt:variant>
        <vt:lpwstr>http://www.ectp-ceu.eu/index.php/en/9-news/news-archive/244-the-9th-planning-awards-29</vt:lpwstr>
      </vt:variant>
      <vt:variant>
        <vt:lpwstr/>
      </vt:variant>
      <vt:variant>
        <vt:i4>3735593</vt:i4>
      </vt:variant>
      <vt:variant>
        <vt:i4>1221</vt:i4>
      </vt:variant>
      <vt:variant>
        <vt:i4>0</vt:i4>
      </vt:variant>
      <vt:variant>
        <vt:i4>5</vt:i4>
      </vt:variant>
      <vt:variant>
        <vt:lpwstr>https://new.usgbc.org/leed</vt:lpwstr>
      </vt:variant>
      <vt:variant>
        <vt:lpwstr/>
      </vt:variant>
      <vt:variant>
        <vt:i4>7471151</vt:i4>
      </vt:variant>
      <vt:variant>
        <vt:i4>1218</vt:i4>
      </vt:variant>
      <vt:variant>
        <vt:i4>0</vt:i4>
      </vt:variant>
      <vt:variant>
        <vt:i4>5</vt:i4>
      </vt:variant>
      <vt:variant>
        <vt:lpwstr>https://reliefweb.int/report/world/unbreakable-building-resilience-poor-face-natural-disasters</vt:lpwstr>
      </vt:variant>
      <vt:variant>
        <vt:lpwstr/>
      </vt:variant>
      <vt:variant>
        <vt:i4>5832774</vt:i4>
      </vt:variant>
      <vt:variant>
        <vt:i4>1215</vt:i4>
      </vt:variant>
      <vt:variant>
        <vt:i4>0</vt:i4>
      </vt:variant>
      <vt:variant>
        <vt:i4>5</vt:i4>
      </vt:variant>
      <vt:variant>
        <vt:lpwstr>http://ec.europa.eu/social/main.jsp?catId=1089&amp;langId=en</vt:lpwstr>
      </vt:variant>
      <vt:variant>
        <vt:lpwstr/>
      </vt:variant>
      <vt:variant>
        <vt:i4>2490376</vt:i4>
      </vt:variant>
      <vt:variant>
        <vt:i4>1212</vt:i4>
      </vt:variant>
      <vt:variant>
        <vt:i4>0</vt:i4>
      </vt:variant>
      <vt:variant>
        <vt:i4>5</vt:i4>
      </vt:variant>
      <vt:variant>
        <vt:lpwstr>http://ec.europa.eu/regional_policy/en/funding/solidarity-fund/</vt:lpwstr>
      </vt:variant>
      <vt:variant>
        <vt:lpwstr/>
      </vt:variant>
      <vt:variant>
        <vt:i4>7209012</vt:i4>
      </vt:variant>
      <vt:variant>
        <vt:i4>1209</vt:i4>
      </vt:variant>
      <vt:variant>
        <vt:i4>0</vt:i4>
      </vt:variant>
      <vt:variant>
        <vt:i4>5</vt:i4>
      </vt:variant>
      <vt:variant>
        <vt:lpwstr>http://eur-lex.europa.eu/legal-content/BG/TXT/PDF/?uri=CELEX:52015IR2592&amp;from%20=BG</vt:lpwstr>
      </vt:variant>
      <vt:variant>
        <vt:lpwstr/>
      </vt:variant>
      <vt:variant>
        <vt:i4>3473513</vt:i4>
      </vt:variant>
      <vt:variant>
        <vt:i4>1206</vt:i4>
      </vt:variant>
      <vt:variant>
        <vt:i4>0</vt:i4>
      </vt:variant>
      <vt:variant>
        <vt:i4>5</vt:i4>
      </vt:variant>
      <vt:variant>
        <vt:lpwstr>http://www.covenantofmayors.eu/Adaptation.html</vt:lpwstr>
      </vt:variant>
      <vt:variant>
        <vt:lpwstr/>
      </vt:variant>
      <vt:variant>
        <vt:i4>5832774</vt:i4>
      </vt:variant>
      <vt:variant>
        <vt:i4>1203</vt:i4>
      </vt:variant>
      <vt:variant>
        <vt:i4>0</vt:i4>
      </vt:variant>
      <vt:variant>
        <vt:i4>5</vt:i4>
      </vt:variant>
      <vt:variant>
        <vt:lpwstr>http://ec.europa.eu/social/main.jsp?catId=1089&amp;langId=en</vt:lpwstr>
      </vt:variant>
      <vt:variant>
        <vt:lpwstr/>
      </vt:variant>
      <vt:variant>
        <vt:i4>3080247</vt:i4>
      </vt:variant>
      <vt:variant>
        <vt:i4>1200</vt:i4>
      </vt:variant>
      <vt:variant>
        <vt:i4>0</vt:i4>
      </vt:variant>
      <vt:variant>
        <vt:i4>5</vt:i4>
      </vt:variant>
      <vt:variant>
        <vt:lpwstr>http://eur-lex.europa.eu/legal-content/BG/TXT/?uri=celex:32013R1303</vt:lpwstr>
      </vt:variant>
      <vt:variant>
        <vt:lpwstr/>
      </vt:variant>
      <vt:variant>
        <vt:i4>6815783</vt:i4>
      </vt:variant>
      <vt:variant>
        <vt:i4>1197</vt:i4>
      </vt:variant>
      <vt:variant>
        <vt:i4>0</vt:i4>
      </vt:variant>
      <vt:variant>
        <vt:i4>5</vt:i4>
      </vt:variant>
      <vt:variant>
        <vt:lpwstr>http://www.mrrb.government.bg/static/media/.../29f1fc40949e8732a8a83b1cc0e4930e.doc</vt:lpwstr>
      </vt:variant>
      <vt:variant>
        <vt:lpwstr/>
      </vt:variant>
      <vt:variant>
        <vt:i4>6946919</vt:i4>
      </vt:variant>
      <vt:variant>
        <vt:i4>1194</vt:i4>
      </vt:variant>
      <vt:variant>
        <vt:i4>0</vt:i4>
      </vt:variant>
      <vt:variant>
        <vt:i4>5</vt:i4>
      </vt:variant>
      <vt:variant>
        <vt:lpwstr>http://climate-adapt.eea.europa.eu/countries-regions/cities</vt:lpwstr>
      </vt:variant>
      <vt:variant>
        <vt:lpwstr/>
      </vt:variant>
      <vt:variant>
        <vt:i4>2228312</vt:i4>
      </vt:variant>
      <vt:variant>
        <vt:i4>1191</vt:i4>
      </vt:variant>
      <vt:variant>
        <vt:i4>0</vt:i4>
      </vt:variant>
      <vt:variant>
        <vt:i4>5</vt:i4>
      </vt:variant>
      <vt:variant>
        <vt:lpwstr>http://ec.europa.eu/growth/industry/innovation/policy/social/competition_en</vt:lpwstr>
      </vt:variant>
      <vt:variant>
        <vt:lpwstr/>
      </vt:variant>
      <vt:variant>
        <vt:i4>8323109</vt:i4>
      </vt:variant>
      <vt:variant>
        <vt:i4>1188</vt:i4>
      </vt:variant>
      <vt:variant>
        <vt:i4>0</vt:i4>
      </vt:variant>
      <vt:variant>
        <vt:i4>5</vt:i4>
      </vt:variant>
      <vt:variant>
        <vt:lpwstr>https://www.britishcouncil.bg/en/sofia-science-festival</vt:lpwstr>
      </vt:variant>
      <vt:variant>
        <vt:lpwstr/>
      </vt:variant>
      <vt:variant>
        <vt:i4>4849758</vt:i4>
      </vt:variant>
      <vt:variant>
        <vt:i4>1179</vt:i4>
      </vt:variant>
      <vt:variant>
        <vt:i4>0</vt:i4>
      </vt:variant>
      <vt:variant>
        <vt:i4>5</vt:i4>
      </vt:variant>
      <vt:variant>
        <vt:lpwstr>http://osi.bg/downloads/File/2016/energy4.pdf</vt:lpwstr>
      </vt:variant>
      <vt:variant>
        <vt:lpwstr/>
      </vt:variant>
      <vt:variant>
        <vt:i4>1507413</vt:i4>
      </vt:variant>
      <vt:variant>
        <vt:i4>1176</vt:i4>
      </vt:variant>
      <vt:variant>
        <vt:i4>0</vt:i4>
      </vt:variant>
      <vt:variant>
        <vt:i4>5</vt:i4>
      </vt:variant>
      <vt:variant>
        <vt:lpwstr>http://www.un-documents.net/wced-ocf.htm</vt:lpwstr>
      </vt:variant>
      <vt:variant>
        <vt:lpwstr/>
      </vt:variant>
      <vt:variant>
        <vt:i4>2752566</vt:i4>
      </vt:variant>
      <vt:variant>
        <vt:i4>1173</vt:i4>
      </vt:variant>
      <vt:variant>
        <vt:i4>0</vt:i4>
      </vt:variant>
      <vt:variant>
        <vt:i4>5</vt:i4>
      </vt:variant>
      <vt:variant>
        <vt:lpwstr>https://arizona.pure.elsevier.com/en/publications/group-decision-support-system-impact-multi-methodological-explora</vt:lpwstr>
      </vt:variant>
      <vt:variant>
        <vt:lpwstr/>
      </vt:variant>
      <vt:variant>
        <vt:i4>5832725</vt:i4>
      </vt:variant>
      <vt:variant>
        <vt:i4>1170</vt:i4>
      </vt:variant>
      <vt:variant>
        <vt:i4>0</vt:i4>
      </vt:variant>
      <vt:variant>
        <vt:i4>5</vt:i4>
      </vt:variant>
      <vt:variant>
        <vt:lpwstr>http://unfccc.int/resource/docs/publications/pub_nwp_costs_benefits_adaptation.pdf</vt:lpwstr>
      </vt:variant>
      <vt:variant>
        <vt:lpwstr/>
      </vt:variant>
      <vt:variant>
        <vt:i4>5898319</vt:i4>
      </vt:variant>
      <vt:variant>
        <vt:i4>1167</vt:i4>
      </vt:variant>
      <vt:variant>
        <vt:i4>0</vt:i4>
      </vt:variant>
      <vt:variant>
        <vt:i4>5</vt:i4>
      </vt:variant>
      <vt:variant>
        <vt:lpwstr>https://esa.un.org/unpd/wup/</vt:lpwstr>
      </vt:variant>
      <vt:variant>
        <vt:lpwstr/>
      </vt:variant>
      <vt:variant>
        <vt:i4>6029343</vt:i4>
      </vt:variant>
      <vt:variant>
        <vt:i4>1164</vt:i4>
      </vt:variant>
      <vt:variant>
        <vt:i4>0</vt:i4>
      </vt:variant>
      <vt:variant>
        <vt:i4>5</vt:i4>
      </vt:variant>
      <vt:variant>
        <vt:lpwstr>https://sustainabledevelopment.un.org/content/documents/Agenda21.pdf</vt:lpwstr>
      </vt:variant>
      <vt:variant>
        <vt:lpwstr/>
      </vt:variant>
      <vt:variant>
        <vt:i4>5374015</vt:i4>
      </vt:variant>
      <vt:variant>
        <vt:i4>1161</vt:i4>
      </vt:variant>
      <vt:variant>
        <vt:i4>0</vt:i4>
      </vt:variant>
      <vt:variant>
        <vt:i4>5</vt:i4>
      </vt:variant>
      <vt:variant>
        <vt:lpwstr>http://ec.europa.eu/regional_policy/en/information/publications/communications/2011/territorial-agenda-of-the-european-union-2020</vt:lpwstr>
      </vt:variant>
      <vt:variant>
        <vt:lpwstr/>
      </vt:variant>
      <vt:variant>
        <vt:i4>5111811</vt:i4>
      </vt:variant>
      <vt:variant>
        <vt:i4>1158</vt:i4>
      </vt:variant>
      <vt:variant>
        <vt:i4>0</vt:i4>
      </vt:variant>
      <vt:variant>
        <vt:i4>5</vt:i4>
      </vt:variant>
      <vt:variant>
        <vt:lpwstr>http://www.peer.eu/fileadmin/user_upload/publications/PEER_Report1.pdf Last accessed 25.04.2017</vt:lpwstr>
      </vt:variant>
      <vt:variant>
        <vt:lpwstr/>
      </vt:variant>
      <vt:variant>
        <vt:i4>4259929</vt:i4>
      </vt:variant>
      <vt:variant>
        <vt:i4>1155</vt:i4>
      </vt:variant>
      <vt:variant>
        <vt:i4>0</vt:i4>
      </vt:variant>
      <vt:variant>
        <vt:i4>5</vt:i4>
      </vt:variant>
      <vt:variant>
        <vt:lpwstr>http://www.mrrb.government.bg/static/media/ups/articles/attachments/24e7666f6785ee40bfb094bec3ad5f45.pdf</vt:lpwstr>
      </vt:variant>
      <vt:variant>
        <vt:lpwstr/>
      </vt:variant>
      <vt:variant>
        <vt:i4>7340089</vt:i4>
      </vt:variant>
      <vt:variant>
        <vt:i4>1152</vt:i4>
      </vt:variant>
      <vt:variant>
        <vt:i4>0</vt:i4>
      </vt:variant>
      <vt:variant>
        <vt:i4>5</vt:i4>
      </vt:variant>
      <vt:variant>
        <vt:lpwstr>http://dx.doi.org/10.1016/s0959-3780(97)00003-4</vt:lpwstr>
      </vt:variant>
      <vt:variant>
        <vt:lpwstr/>
      </vt:variant>
      <vt:variant>
        <vt:i4>524301</vt:i4>
      </vt:variant>
      <vt:variant>
        <vt:i4>1149</vt:i4>
      </vt:variant>
      <vt:variant>
        <vt:i4>0</vt:i4>
      </vt:variant>
      <vt:variant>
        <vt:i4>5</vt:i4>
      </vt:variant>
      <vt:variant>
        <vt:lpwstr>https://link.springer.com/article/10.1023/A:1005661622966</vt:lpwstr>
      </vt:variant>
      <vt:variant>
        <vt:lpwstr/>
      </vt:variant>
      <vt:variant>
        <vt:i4>6094924</vt:i4>
      </vt:variant>
      <vt:variant>
        <vt:i4>1146</vt:i4>
      </vt:variant>
      <vt:variant>
        <vt:i4>0</vt:i4>
      </vt:variant>
      <vt:variant>
        <vt:i4>5</vt:i4>
      </vt:variant>
      <vt:variant>
        <vt:lpwstr>http://dx.doi.org/10.1016/j.gloenvcha.2006.03.008</vt:lpwstr>
      </vt:variant>
      <vt:variant>
        <vt:lpwstr/>
      </vt:variant>
      <vt:variant>
        <vt:i4>62</vt:i4>
      </vt:variant>
      <vt:variant>
        <vt:i4>1143</vt:i4>
      </vt:variant>
      <vt:variant>
        <vt:i4>0</vt:i4>
      </vt:variant>
      <vt:variant>
        <vt:i4>5</vt:i4>
      </vt:variant>
      <vt:variant>
        <vt:lpwstr>http://www.justiceandenvironment.org/_files/file/2011 CC AT(1).pdf</vt:lpwstr>
      </vt:variant>
      <vt:variant>
        <vt:lpwstr/>
      </vt:variant>
      <vt:variant>
        <vt:i4>983132</vt:i4>
      </vt:variant>
      <vt:variant>
        <vt:i4>1140</vt:i4>
      </vt:variant>
      <vt:variant>
        <vt:i4>0</vt:i4>
      </vt:variant>
      <vt:variant>
        <vt:i4>5</vt:i4>
      </vt:variant>
      <vt:variant>
        <vt:lpwstr>http://www.iied.org/pubs/display.php?o=10549IIED</vt:lpwstr>
      </vt:variant>
      <vt:variant>
        <vt:lpwstr/>
      </vt:variant>
      <vt:variant>
        <vt:i4>983132</vt:i4>
      </vt:variant>
      <vt:variant>
        <vt:i4>1137</vt:i4>
      </vt:variant>
      <vt:variant>
        <vt:i4>0</vt:i4>
      </vt:variant>
      <vt:variant>
        <vt:i4>5</vt:i4>
      </vt:variant>
      <vt:variant>
        <vt:lpwstr>http://www.iied.org/pubs/display.php?o=10549IIED</vt:lpwstr>
      </vt:variant>
      <vt:variant>
        <vt:lpwstr/>
      </vt:variant>
      <vt:variant>
        <vt:i4>7077934</vt:i4>
      </vt:variant>
      <vt:variant>
        <vt:i4>1134</vt:i4>
      </vt:variant>
      <vt:variant>
        <vt:i4>0</vt:i4>
      </vt:variant>
      <vt:variant>
        <vt:i4>5</vt:i4>
      </vt:variant>
      <vt:variant>
        <vt:lpwstr>http://pubs.iied.org/pdfs/11500IIED.pdf</vt:lpwstr>
      </vt:variant>
      <vt:variant>
        <vt:lpwstr/>
      </vt:variant>
      <vt:variant>
        <vt:i4>2621555</vt:i4>
      </vt:variant>
      <vt:variant>
        <vt:i4>1131</vt:i4>
      </vt:variant>
      <vt:variant>
        <vt:i4>0</vt:i4>
      </vt:variant>
      <vt:variant>
        <vt:i4>5</vt:i4>
      </vt:variant>
      <vt:variant>
        <vt:lpwstr>http://www.sciencedirect.com/science/article/pii/S0959378010000269</vt:lpwstr>
      </vt:variant>
      <vt:variant>
        <vt:lpwstr/>
      </vt:variant>
      <vt:variant>
        <vt:i4>2031645</vt:i4>
      </vt:variant>
      <vt:variant>
        <vt:i4>1128</vt:i4>
      </vt:variant>
      <vt:variant>
        <vt:i4>0</vt:i4>
      </vt:variant>
      <vt:variant>
        <vt:i4>5</vt:i4>
      </vt:variant>
      <vt:variant>
        <vt:lpwstr>http://uccrn.org/files/2015/01/ARC3-Frontmatter-Final.pdf</vt:lpwstr>
      </vt:variant>
      <vt:variant>
        <vt:lpwstr/>
      </vt:variant>
      <vt:variant>
        <vt:i4>2097270</vt:i4>
      </vt:variant>
      <vt:variant>
        <vt:i4>1125</vt:i4>
      </vt:variant>
      <vt:variant>
        <vt:i4>0</vt:i4>
      </vt:variant>
      <vt:variant>
        <vt:i4>5</vt:i4>
      </vt:variant>
      <vt:variant>
        <vt:lpwstr>http://www.regionalprofiles.bg/en/</vt:lpwstr>
      </vt:variant>
      <vt:variant>
        <vt:lpwstr/>
      </vt:variant>
      <vt:variant>
        <vt:i4>1048638</vt:i4>
      </vt:variant>
      <vt:variant>
        <vt:i4>1122</vt:i4>
      </vt:variant>
      <vt:variant>
        <vt:i4>0</vt:i4>
      </vt:variant>
      <vt:variant>
        <vt:i4>5</vt:i4>
      </vt:variant>
      <vt:variant>
        <vt:lpwstr>http://acm.eionet.europa.eu/docs/ETCACC_TP_2010_6_guiding_principles_cc_adaptation.pdf</vt:lpwstr>
      </vt:variant>
      <vt:variant>
        <vt:lpwstr/>
      </vt:variant>
      <vt:variant>
        <vt:i4>3604607</vt:i4>
      </vt:variant>
      <vt:variant>
        <vt:i4>1119</vt:i4>
      </vt:variant>
      <vt:variant>
        <vt:i4>0</vt:i4>
      </vt:variant>
      <vt:variant>
        <vt:i4>5</vt:i4>
      </vt:variant>
      <vt:variant>
        <vt:lpwstr>http://serc.carleton.edu/31891Last accessed 16.04.2017</vt:lpwstr>
      </vt:variant>
      <vt:variant>
        <vt:lpwstr/>
      </vt:variant>
      <vt:variant>
        <vt:i4>3342339</vt:i4>
      </vt:variant>
      <vt:variant>
        <vt:i4>1116</vt:i4>
      </vt:variant>
      <vt:variant>
        <vt:i4>0</vt:i4>
      </vt:variant>
      <vt:variant>
        <vt:i4>5</vt:i4>
      </vt:variant>
      <vt:variant>
        <vt:lpwstr>http://ec.europa.eu/regional_policy/en/atlas/programmes/2014-2020/bulgaria/2014bg16rfop001</vt:lpwstr>
      </vt:variant>
      <vt:variant>
        <vt:lpwstr/>
      </vt:variant>
      <vt:variant>
        <vt:i4>2490430</vt:i4>
      </vt:variant>
      <vt:variant>
        <vt:i4>1113</vt:i4>
      </vt:variant>
      <vt:variant>
        <vt:i4>0</vt:i4>
      </vt:variant>
      <vt:variant>
        <vt:i4>5</vt:i4>
      </vt:variant>
      <vt:variant>
        <vt:lpwstr>http://dx.doi.org/10.1787/9789264235410-en</vt:lpwstr>
      </vt:variant>
      <vt:variant>
        <vt:lpwstr/>
      </vt:variant>
      <vt:variant>
        <vt:i4>4259933</vt:i4>
      </vt:variant>
      <vt:variant>
        <vt:i4>1110</vt:i4>
      </vt:variant>
      <vt:variant>
        <vt:i4>0</vt:i4>
      </vt:variant>
      <vt:variant>
        <vt:i4>5</vt:i4>
      </vt:variant>
      <vt:variant>
        <vt:lpwstr>http://www.nsi.bg/sites/default/files/files/publications/StatBook2016.pdf</vt:lpwstr>
      </vt:variant>
      <vt:variant>
        <vt:lpwstr/>
      </vt:variant>
      <vt:variant>
        <vt:i4>4784202</vt:i4>
      </vt:variant>
      <vt:variant>
        <vt:i4>1107</vt:i4>
      </vt:variant>
      <vt:variant>
        <vt:i4>0</vt:i4>
      </vt:variant>
      <vt:variant>
        <vt:i4>5</vt:i4>
      </vt:variant>
      <vt:variant>
        <vt:lpwstr>http://www.nsi.bg/sites/default/files/files/data/timeseries/Crisis1.1.xls</vt:lpwstr>
      </vt:variant>
      <vt:variant>
        <vt:lpwstr/>
      </vt:variant>
      <vt:variant>
        <vt:i4>4784248</vt:i4>
      </vt:variant>
      <vt:variant>
        <vt:i4>1104</vt:i4>
      </vt:variant>
      <vt:variant>
        <vt:i4>0</vt:i4>
      </vt:variant>
      <vt:variant>
        <vt:i4>5</vt:i4>
      </vt:variant>
      <vt:variant>
        <vt:lpwstr>http://www.nspbzn.mvr.bg/NR/rdonlyres/317033AA-E99D-4C51-AC8E-DB37272F2866/0/NPZB_20142018.pdf</vt:lpwstr>
      </vt:variant>
      <vt:variant>
        <vt:lpwstr/>
      </vt:variant>
      <vt:variant>
        <vt:i4>5439583</vt:i4>
      </vt:variant>
      <vt:variant>
        <vt:i4>1101</vt:i4>
      </vt:variant>
      <vt:variant>
        <vt:i4>0</vt:i4>
      </vt:variant>
      <vt:variant>
        <vt:i4>5</vt:i4>
      </vt:variant>
      <vt:variant>
        <vt:lpwstr>http://www.lse.ac.uk/GranthamInstitute/wp-content/uploads/2015/05/SWEDEN.pdf</vt:lpwstr>
      </vt:variant>
      <vt:variant>
        <vt:lpwstr/>
      </vt:variant>
      <vt:variant>
        <vt:i4>7602229</vt:i4>
      </vt:variant>
      <vt:variant>
        <vt:i4>1098</vt:i4>
      </vt:variant>
      <vt:variant>
        <vt:i4>0</vt:i4>
      </vt:variant>
      <vt:variant>
        <vt:i4>5</vt:i4>
      </vt:variant>
      <vt:variant>
        <vt:lpwstr>http://link.springer.com/article/10.1007/s10584-010-9980-9</vt:lpwstr>
      </vt:variant>
      <vt:variant>
        <vt:lpwstr/>
      </vt:variant>
      <vt:variant>
        <vt:i4>4390960</vt:i4>
      </vt:variant>
      <vt:variant>
        <vt:i4>1095</vt:i4>
      </vt:variant>
      <vt:variant>
        <vt:i4>0</vt:i4>
      </vt:variant>
      <vt:variant>
        <vt:i4>5</vt:i4>
      </vt:variant>
      <vt:variant>
        <vt:lpwstr>http://www.isocarp.net/Data/case_studies/1596.pdf</vt:lpwstr>
      </vt:variant>
      <vt:variant>
        <vt:lpwstr/>
      </vt:variant>
      <vt:variant>
        <vt:i4>7864438</vt:i4>
      </vt:variant>
      <vt:variant>
        <vt:i4>1092</vt:i4>
      </vt:variant>
      <vt:variant>
        <vt:i4>0</vt:i4>
      </vt:variant>
      <vt:variant>
        <vt:i4>5</vt:i4>
      </vt:variant>
      <vt:variant>
        <vt:lpwstr>http://www.mrrb.government.bg/docs/310bfbe48ed5017ab7b4e386b01ca437.doc</vt:lpwstr>
      </vt:variant>
      <vt:variant>
        <vt:lpwstr/>
      </vt:variant>
      <vt:variant>
        <vt:i4>5767266</vt:i4>
      </vt:variant>
      <vt:variant>
        <vt:i4>1089</vt:i4>
      </vt:variant>
      <vt:variant>
        <vt:i4>0</vt:i4>
      </vt:variant>
      <vt:variant>
        <vt:i4>5</vt:i4>
      </vt:variant>
      <vt:variant>
        <vt:lpwstr>http://www5.moew.government.bg/wp-content/uploads/file/Climate/Specialna_chat.pdf</vt:lpwstr>
      </vt:variant>
      <vt:variant>
        <vt:lpwstr/>
      </vt:variant>
      <vt:variant>
        <vt:i4>3670042</vt:i4>
      </vt:variant>
      <vt:variant>
        <vt:i4>1086</vt:i4>
      </vt:variant>
      <vt:variant>
        <vt:i4>0</vt:i4>
      </vt:variant>
      <vt:variant>
        <vt:i4>5</vt:i4>
      </vt:variant>
      <vt:variant>
        <vt:lpwstr>https://www.mlsp.government.bg/index.php?section=POLICIES&amp;lang=_eng&amp;P=279</vt:lpwstr>
      </vt:variant>
      <vt:variant>
        <vt:lpwstr/>
      </vt:variant>
      <vt:variant>
        <vt:i4>1638403</vt:i4>
      </vt:variant>
      <vt:variant>
        <vt:i4>1083</vt:i4>
      </vt:variant>
      <vt:variant>
        <vt:i4>0</vt:i4>
      </vt:variant>
      <vt:variant>
        <vt:i4>5</vt:i4>
      </vt:variant>
      <vt:variant>
        <vt:lpwstr>http://www.eukn.eu/fileadmin/Files/EU_Presidencies/Hungarian_Presidency/Climate-friendly_cities_2011.pdf</vt:lpwstr>
      </vt:variant>
      <vt:variant>
        <vt:lpwstr/>
      </vt:variant>
      <vt:variant>
        <vt:i4>2949221</vt:i4>
      </vt:variant>
      <vt:variant>
        <vt:i4>1080</vt:i4>
      </vt:variant>
      <vt:variant>
        <vt:i4>0</vt:i4>
      </vt:variant>
      <vt:variant>
        <vt:i4>5</vt:i4>
      </vt:variant>
      <vt:variant>
        <vt:lpwstr>https://www.ipcc.ch/pdf/assessment-report/ar4/wg1/ar4-wg1-chapter1.pdf</vt:lpwstr>
      </vt:variant>
      <vt:variant>
        <vt:lpwstr/>
      </vt:variant>
      <vt:variant>
        <vt:i4>4194369</vt:i4>
      </vt:variant>
      <vt:variant>
        <vt:i4>1077</vt:i4>
      </vt:variant>
      <vt:variant>
        <vt:i4>0</vt:i4>
      </vt:variant>
      <vt:variant>
        <vt:i4>5</vt:i4>
      </vt:variant>
      <vt:variant>
        <vt:lpwstr>https://books.google.bg/books?id=H78uqYbtXSoC&amp;pg=PA113&amp;lpg=PA113&amp;dq=Current+institutionalisation+of+the+Climate+Change+adaptation+in+the+UK&amp;source=bl&amp;ots=UKPlJ4rMIH&amp;sig=cmnJEtOKytWkblUNRMO24kBTxcI&amp;hl=bg&amp;sa=X&amp;ved=0ahUKEwj0vv3qtbrTAhWDFCwKHSuaDrgQ6AEIOTAB</vt:lpwstr>
      </vt:variant>
      <vt:variant>
        <vt:lpwstr>v=onepage&amp;q=Current%20institutionalisation%20of%20the%20Climate%20Change%20adaptation%20in%20the%20UK&amp;f=false</vt:lpwstr>
      </vt:variant>
      <vt:variant>
        <vt:i4>7209066</vt:i4>
      </vt:variant>
      <vt:variant>
        <vt:i4>1074</vt:i4>
      </vt:variant>
      <vt:variant>
        <vt:i4>0</vt:i4>
      </vt:variant>
      <vt:variant>
        <vt:i4>5</vt:i4>
      </vt:variant>
      <vt:variant>
        <vt:lpwstr>http://dx.doi.org/10.1080/15693430600688831</vt:lpwstr>
      </vt:variant>
      <vt:variant>
        <vt:lpwstr/>
      </vt:variant>
      <vt:variant>
        <vt:i4>7143518</vt:i4>
      </vt:variant>
      <vt:variant>
        <vt:i4>1071</vt:i4>
      </vt:variant>
      <vt:variant>
        <vt:i4>0</vt:i4>
      </vt:variant>
      <vt:variant>
        <vt:i4>5</vt:i4>
      </vt:variant>
      <vt:variant>
        <vt:lpwstr>https://www.ipcc.ch/pdf/assessment-report/ar5/wg2/WGIIAR5-Chap14_FINAL.pdf</vt:lpwstr>
      </vt:variant>
      <vt:variant>
        <vt:lpwstr/>
      </vt:variant>
      <vt:variant>
        <vt:i4>8257594</vt:i4>
      </vt:variant>
      <vt:variant>
        <vt:i4>1068</vt:i4>
      </vt:variant>
      <vt:variant>
        <vt:i4>0</vt:i4>
      </vt:variant>
      <vt:variant>
        <vt:i4>5</vt:i4>
      </vt:variant>
      <vt:variant>
        <vt:lpwstr>http://link.springer.com/article/10.1007/s10584-010-9975-6</vt:lpwstr>
      </vt:variant>
      <vt:variant>
        <vt:lpwstr/>
      </vt:variant>
      <vt:variant>
        <vt:i4>2228329</vt:i4>
      </vt:variant>
      <vt:variant>
        <vt:i4>1065</vt:i4>
      </vt:variant>
      <vt:variant>
        <vt:i4>0</vt:i4>
      </vt:variant>
      <vt:variant>
        <vt:i4>5</vt:i4>
      </vt:variant>
      <vt:variant>
        <vt:lpwstr>https://archive.org/stream/climatelondon00howagoog</vt:lpwstr>
      </vt:variant>
      <vt:variant>
        <vt:lpwstr>page/n4/mode/2up</vt:lpwstr>
      </vt:variant>
      <vt:variant>
        <vt:i4>4063319</vt:i4>
      </vt:variant>
      <vt:variant>
        <vt:i4>1062</vt:i4>
      </vt:variant>
      <vt:variant>
        <vt:i4>0</vt:i4>
      </vt:variant>
      <vt:variant>
        <vt:i4>5</vt:i4>
      </vt:variant>
      <vt:variant>
        <vt:lpwstr>https://www.gov.uk/government/uploads/system/uploads/attachment_data/file/209866/pb13942-nap-20130701.pdf</vt:lpwstr>
      </vt:variant>
      <vt:variant>
        <vt:lpwstr/>
      </vt:variant>
      <vt:variant>
        <vt:i4>4784154</vt:i4>
      </vt:variant>
      <vt:variant>
        <vt:i4>1059</vt:i4>
      </vt:variant>
      <vt:variant>
        <vt:i4>0</vt:i4>
      </vt:variant>
      <vt:variant>
        <vt:i4>5</vt:i4>
      </vt:variant>
      <vt:variant>
        <vt:lpwstr>http://env-health.org/IMG/pdf/heal_briefing_air_bulgaria_eng.pdf</vt:lpwstr>
      </vt:variant>
      <vt:variant>
        <vt:lpwstr/>
      </vt:variant>
      <vt:variant>
        <vt:i4>3866680</vt:i4>
      </vt:variant>
      <vt:variant>
        <vt:i4>1056</vt:i4>
      </vt:variant>
      <vt:variant>
        <vt:i4>0</vt:i4>
      </vt:variant>
      <vt:variant>
        <vt:i4>5</vt:i4>
      </vt:variant>
      <vt:variant>
        <vt:lpwstr>https://www.eea.europa.eu/soer-2015/countries/bulgaria</vt:lpwstr>
      </vt:variant>
      <vt:variant>
        <vt:lpwstr/>
      </vt:variant>
      <vt:variant>
        <vt:i4>1900549</vt:i4>
      </vt:variant>
      <vt:variant>
        <vt:i4>1053</vt:i4>
      </vt:variant>
      <vt:variant>
        <vt:i4>0</vt:i4>
      </vt:variant>
      <vt:variant>
        <vt:i4>5</vt:i4>
      </vt:variant>
      <vt:variant>
        <vt:lpwstr>https://www.eea.europa.eu/publications/urban-adaptation-2016</vt:lpwstr>
      </vt:variant>
      <vt:variant>
        <vt:lpwstr/>
      </vt:variant>
      <vt:variant>
        <vt:i4>1507400</vt:i4>
      </vt:variant>
      <vt:variant>
        <vt:i4>1050</vt:i4>
      </vt:variant>
      <vt:variant>
        <vt:i4>0</vt:i4>
      </vt:variant>
      <vt:variant>
        <vt:i4>5</vt:i4>
      </vt:variant>
      <vt:variant>
        <vt:lpwstr>http://climate-adapt.eea.europa.eu/countries/bulgaria</vt:lpwstr>
      </vt:variant>
      <vt:variant>
        <vt:lpwstr/>
      </vt:variant>
      <vt:variant>
        <vt:i4>7012454</vt:i4>
      </vt:variant>
      <vt:variant>
        <vt:i4>1047</vt:i4>
      </vt:variant>
      <vt:variant>
        <vt:i4>0</vt:i4>
      </vt:variant>
      <vt:variant>
        <vt:i4>5</vt:i4>
      </vt:variant>
      <vt:variant>
        <vt:lpwstr>https://www.eea.europa.eu/publications/adaptation-in-europe</vt:lpwstr>
      </vt:variant>
      <vt:variant>
        <vt:lpwstr/>
      </vt:variant>
      <vt:variant>
        <vt:i4>5111871</vt:i4>
      </vt:variant>
      <vt:variant>
        <vt:i4>1044</vt:i4>
      </vt:variant>
      <vt:variant>
        <vt:i4>0</vt:i4>
      </vt:variant>
      <vt:variant>
        <vt:i4>5</vt:i4>
      </vt:variant>
      <vt:variant>
        <vt:lpwstr>http://ec.europa.eu/growth/sectors/construction/observatory_en</vt:lpwstr>
      </vt:variant>
      <vt:variant>
        <vt:lpwstr/>
      </vt:variant>
      <vt:variant>
        <vt:i4>5046287</vt:i4>
      </vt:variant>
      <vt:variant>
        <vt:i4>1041</vt:i4>
      </vt:variant>
      <vt:variant>
        <vt:i4>0</vt:i4>
      </vt:variant>
      <vt:variant>
        <vt:i4>5</vt:i4>
      </vt:variant>
      <vt:variant>
        <vt:lpwstr>http://eur-lex.europa.eu/legal-content/EN/TXT/?uri=CELEX:52017SC0035</vt:lpwstr>
      </vt:variant>
      <vt:variant>
        <vt:lpwstr/>
      </vt:variant>
      <vt:variant>
        <vt:i4>3211378</vt:i4>
      </vt:variant>
      <vt:variant>
        <vt:i4>1038</vt:i4>
      </vt:variant>
      <vt:variant>
        <vt:i4>0</vt:i4>
      </vt:variant>
      <vt:variant>
        <vt:i4>5</vt:i4>
      </vt:variant>
      <vt:variant>
        <vt:lpwstr>http://ec.europa.eu/regional_policy/sources/docoffic/official/reports/pdf/sum_en.pdf</vt:lpwstr>
      </vt:variant>
      <vt:variant>
        <vt:lpwstr/>
      </vt:variant>
      <vt:variant>
        <vt:i4>4718642</vt:i4>
      </vt:variant>
      <vt:variant>
        <vt:i4>1035</vt:i4>
      </vt:variant>
      <vt:variant>
        <vt:i4>0</vt:i4>
      </vt:variant>
      <vt:variant>
        <vt:i4>5</vt:i4>
      </vt:variant>
      <vt:variant>
        <vt:lpwstr>http://www.isocarp.net/Data/case_studies/1928.pdf</vt:lpwstr>
      </vt:variant>
      <vt:variant>
        <vt:lpwstr/>
      </vt:variant>
      <vt:variant>
        <vt:i4>5767191</vt:i4>
      </vt:variant>
      <vt:variant>
        <vt:i4>1032</vt:i4>
      </vt:variant>
      <vt:variant>
        <vt:i4>0</vt:i4>
      </vt:variant>
      <vt:variant>
        <vt:i4>5</vt:i4>
      </vt:variant>
      <vt:variant>
        <vt:lpwstr>https://www.weadapt.org/knowledge-base/economics-of-adaptation/adapting-to-climate-change-in-the-netherlands</vt:lpwstr>
      </vt:variant>
      <vt:variant>
        <vt:lpwstr/>
      </vt:variant>
      <vt:variant>
        <vt:i4>7733320</vt:i4>
      </vt:variant>
      <vt:variant>
        <vt:i4>1029</vt:i4>
      </vt:variant>
      <vt:variant>
        <vt:i4>0</vt:i4>
      </vt:variant>
      <vt:variant>
        <vt:i4>5</vt:i4>
      </vt:variant>
      <vt:variant>
        <vt:lpwstr>http://www.nsi.bg/sites/default/files/files/publications/Poverty_regio.pdf</vt:lpwstr>
      </vt:variant>
      <vt:variant>
        <vt:lpwstr/>
      </vt:variant>
      <vt:variant>
        <vt:i4>262210</vt:i4>
      </vt:variant>
      <vt:variant>
        <vt:i4>1026</vt:i4>
      </vt:variant>
      <vt:variant>
        <vt:i4>0</vt:i4>
      </vt:variant>
      <vt:variant>
        <vt:i4>5</vt:i4>
      </vt:variant>
      <vt:variant>
        <vt:lpwstr>http://ac.els-cdn.com/S0959378014000065/1-s2.0-S0959378014000065-main.pdf?_tid=095d6238-3243-11e7-83a5-00000aacb362&amp;acdnat=1494065096_ebd89421283c00b1f80cdcc1afa906b1</vt:lpwstr>
      </vt:variant>
      <vt:variant>
        <vt:lpwstr/>
      </vt:variant>
      <vt:variant>
        <vt:i4>8061028</vt:i4>
      </vt:variant>
      <vt:variant>
        <vt:i4>1023</vt:i4>
      </vt:variant>
      <vt:variant>
        <vt:i4>0</vt:i4>
      </vt:variant>
      <vt:variant>
        <vt:i4>5</vt:i4>
      </vt:variant>
      <vt:variant>
        <vt:lpwstr>http://eur-lex.europa.eu/legal-content/EN/TXT/?uri=celex%3A52013DC0216</vt:lpwstr>
      </vt:variant>
      <vt:variant>
        <vt:lpwstr/>
      </vt:variant>
      <vt:variant>
        <vt:i4>4522059</vt:i4>
      </vt:variant>
      <vt:variant>
        <vt:i4>972</vt:i4>
      </vt:variant>
      <vt:variant>
        <vt:i4>0</vt:i4>
      </vt:variant>
      <vt:variant>
        <vt:i4>5</vt:i4>
      </vt:variant>
      <vt:variant>
        <vt:lpwstr>https://portal.seea.government.bg/Application/Details?docTypeID=1</vt:lpwstr>
      </vt:variant>
      <vt:variant>
        <vt:lpwstr/>
      </vt:variant>
      <vt:variant>
        <vt:i4>1507389</vt:i4>
      </vt:variant>
      <vt:variant>
        <vt:i4>902</vt:i4>
      </vt:variant>
      <vt:variant>
        <vt:i4>0</vt:i4>
      </vt:variant>
      <vt:variant>
        <vt:i4>5</vt:i4>
      </vt:variant>
      <vt:variant>
        <vt:lpwstr/>
      </vt:variant>
      <vt:variant>
        <vt:lpwstr>_Toc508800084</vt:lpwstr>
      </vt:variant>
      <vt:variant>
        <vt:i4>1507389</vt:i4>
      </vt:variant>
      <vt:variant>
        <vt:i4>896</vt:i4>
      </vt:variant>
      <vt:variant>
        <vt:i4>0</vt:i4>
      </vt:variant>
      <vt:variant>
        <vt:i4>5</vt:i4>
      </vt:variant>
      <vt:variant>
        <vt:lpwstr/>
      </vt:variant>
      <vt:variant>
        <vt:lpwstr>_Toc508800083</vt:lpwstr>
      </vt:variant>
      <vt:variant>
        <vt:i4>1507389</vt:i4>
      </vt:variant>
      <vt:variant>
        <vt:i4>890</vt:i4>
      </vt:variant>
      <vt:variant>
        <vt:i4>0</vt:i4>
      </vt:variant>
      <vt:variant>
        <vt:i4>5</vt:i4>
      </vt:variant>
      <vt:variant>
        <vt:lpwstr/>
      </vt:variant>
      <vt:variant>
        <vt:lpwstr>_Toc508800082</vt:lpwstr>
      </vt:variant>
      <vt:variant>
        <vt:i4>1507389</vt:i4>
      </vt:variant>
      <vt:variant>
        <vt:i4>881</vt:i4>
      </vt:variant>
      <vt:variant>
        <vt:i4>0</vt:i4>
      </vt:variant>
      <vt:variant>
        <vt:i4>5</vt:i4>
      </vt:variant>
      <vt:variant>
        <vt:lpwstr/>
      </vt:variant>
      <vt:variant>
        <vt:lpwstr>_Toc508800081</vt:lpwstr>
      </vt:variant>
      <vt:variant>
        <vt:i4>1507389</vt:i4>
      </vt:variant>
      <vt:variant>
        <vt:i4>875</vt:i4>
      </vt:variant>
      <vt:variant>
        <vt:i4>0</vt:i4>
      </vt:variant>
      <vt:variant>
        <vt:i4>5</vt:i4>
      </vt:variant>
      <vt:variant>
        <vt:lpwstr/>
      </vt:variant>
      <vt:variant>
        <vt:lpwstr>_Toc508800080</vt:lpwstr>
      </vt:variant>
      <vt:variant>
        <vt:i4>1572925</vt:i4>
      </vt:variant>
      <vt:variant>
        <vt:i4>869</vt:i4>
      </vt:variant>
      <vt:variant>
        <vt:i4>0</vt:i4>
      </vt:variant>
      <vt:variant>
        <vt:i4>5</vt:i4>
      </vt:variant>
      <vt:variant>
        <vt:lpwstr/>
      </vt:variant>
      <vt:variant>
        <vt:lpwstr>_Toc508800079</vt:lpwstr>
      </vt:variant>
      <vt:variant>
        <vt:i4>1572925</vt:i4>
      </vt:variant>
      <vt:variant>
        <vt:i4>863</vt:i4>
      </vt:variant>
      <vt:variant>
        <vt:i4>0</vt:i4>
      </vt:variant>
      <vt:variant>
        <vt:i4>5</vt:i4>
      </vt:variant>
      <vt:variant>
        <vt:lpwstr/>
      </vt:variant>
      <vt:variant>
        <vt:lpwstr>_Toc508800078</vt:lpwstr>
      </vt:variant>
      <vt:variant>
        <vt:i4>1572925</vt:i4>
      </vt:variant>
      <vt:variant>
        <vt:i4>857</vt:i4>
      </vt:variant>
      <vt:variant>
        <vt:i4>0</vt:i4>
      </vt:variant>
      <vt:variant>
        <vt:i4>5</vt:i4>
      </vt:variant>
      <vt:variant>
        <vt:lpwstr/>
      </vt:variant>
      <vt:variant>
        <vt:lpwstr>_Toc508800077</vt:lpwstr>
      </vt:variant>
      <vt:variant>
        <vt:i4>1572925</vt:i4>
      </vt:variant>
      <vt:variant>
        <vt:i4>851</vt:i4>
      </vt:variant>
      <vt:variant>
        <vt:i4>0</vt:i4>
      </vt:variant>
      <vt:variant>
        <vt:i4>5</vt:i4>
      </vt:variant>
      <vt:variant>
        <vt:lpwstr/>
      </vt:variant>
      <vt:variant>
        <vt:lpwstr>_Toc508800076</vt:lpwstr>
      </vt:variant>
      <vt:variant>
        <vt:i4>1572925</vt:i4>
      </vt:variant>
      <vt:variant>
        <vt:i4>845</vt:i4>
      </vt:variant>
      <vt:variant>
        <vt:i4>0</vt:i4>
      </vt:variant>
      <vt:variant>
        <vt:i4>5</vt:i4>
      </vt:variant>
      <vt:variant>
        <vt:lpwstr/>
      </vt:variant>
      <vt:variant>
        <vt:lpwstr>_Toc508800075</vt:lpwstr>
      </vt:variant>
      <vt:variant>
        <vt:i4>1572925</vt:i4>
      </vt:variant>
      <vt:variant>
        <vt:i4>839</vt:i4>
      </vt:variant>
      <vt:variant>
        <vt:i4>0</vt:i4>
      </vt:variant>
      <vt:variant>
        <vt:i4>5</vt:i4>
      </vt:variant>
      <vt:variant>
        <vt:lpwstr/>
      </vt:variant>
      <vt:variant>
        <vt:lpwstr>_Toc508800074</vt:lpwstr>
      </vt:variant>
      <vt:variant>
        <vt:i4>1572925</vt:i4>
      </vt:variant>
      <vt:variant>
        <vt:i4>836</vt:i4>
      </vt:variant>
      <vt:variant>
        <vt:i4>0</vt:i4>
      </vt:variant>
      <vt:variant>
        <vt:i4>5</vt:i4>
      </vt:variant>
      <vt:variant>
        <vt:lpwstr/>
      </vt:variant>
      <vt:variant>
        <vt:lpwstr>_Toc508800073</vt:lpwstr>
      </vt:variant>
      <vt:variant>
        <vt:i4>1572925</vt:i4>
      </vt:variant>
      <vt:variant>
        <vt:i4>833</vt:i4>
      </vt:variant>
      <vt:variant>
        <vt:i4>0</vt:i4>
      </vt:variant>
      <vt:variant>
        <vt:i4>5</vt:i4>
      </vt:variant>
      <vt:variant>
        <vt:lpwstr/>
      </vt:variant>
      <vt:variant>
        <vt:lpwstr>_Toc508800072</vt:lpwstr>
      </vt:variant>
      <vt:variant>
        <vt:i4>1572925</vt:i4>
      </vt:variant>
      <vt:variant>
        <vt:i4>827</vt:i4>
      </vt:variant>
      <vt:variant>
        <vt:i4>0</vt:i4>
      </vt:variant>
      <vt:variant>
        <vt:i4>5</vt:i4>
      </vt:variant>
      <vt:variant>
        <vt:lpwstr/>
      </vt:variant>
      <vt:variant>
        <vt:lpwstr>_Toc508800071</vt:lpwstr>
      </vt:variant>
      <vt:variant>
        <vt:i4>1572925</vt:i4>
      </vt:variant>
      <vt:variant>
        <vt:i4>821</vt:i4>
      </vt:variant>
      <vt:variant>
        <vt:i4>0</vt:i4>
      </vt:variant>
      <vt:variant>
        <vt:i4>5</vt:i4>
      </vt:variant>
      <vt:variant>
        <vt:lpwstr/>
      </vt:variant>
      <vt:variant>
        <vt:lpwstr>_Toc508800070</vt:lpwstr>
      </vt:variant>
      <vt:variant>
        <vt:i4>1638461</vt:i4>
      </vt:variant>
      <vt:variant>
        <vt:i4>815</vt:i4>
      </vt:variant>
      <vt:variant>
        <vt:i4>0</vt:i4>
      </vt:variant>
      <vt:variant>
        <vt:i4>5</vt:i4>
      </vt:variant>
      <vt:variant>
        <vt:lpwstr/>
      </vt:variant>
      <vt:variant>
        <vt:lpwstr>_Toc508800069</vt:lpwstr>
      </vt:variant>
      <vt:variant>
        <vt:i4>1638461</vt:i4>
      </vt:variant>
      <vt:variant>
        <vt:i4>809</vt:i4>
      </vt:variant>
      <vt:variant>
        <vt:i4>0</vt:i4>
      </vt:variant>
      <vt:variant>
        <vt:i4>5</vt:i4>
      </vt:variant>
      <vt:variant>
        <vt:lpwstr/>
      </vt:variant>
      <vt:variant>
        <vt:lpwstr>_Toc508800068</vt:lpwstr>
      </vt:variant>
      <vt:variant>
        <vt:i4>1638461</vt:i4>
      </vt:variant>
      <vt:variant>
        <vt:i4>803</vt:i4>
      </vt:variant>
      <vt:variant>
        <vt:i4>0</vt:i4>
      </vt:variant>
      <vt:variant>
        <vt:i4>5</vt:i4>
      </vt:variant>
      <vt:variant>
        <vt:lpwstr/>
      </vt:variant>
      <vt:variant>
        <vt:lpwstr>_Toc508800067</vt:lpwstr>
      </vt:variant>
      <vt:variant>
        <vt:i4>1638461</vt:i4>
      </vt:variant>
      <vt:variant>
        <vt:i4>797</vt:i4>
      </vt:variant>
      <vt:variant>
        <vt:i4>0</vt:i4>
      </vt:variant>
      <vt:variant>
        <vt:i4>5</vt:i4>
      </vt:variant>
      <vt:variant>
        <vt:lpwstr/>
      </vt:variant>
      <vt:variant>
        <vt:lpwstr>_Toc508800066</vt:lpwstr>
      </vt:variant>
      <vt:variant>
        <vt:i4>1638461</vt:i4>
      </vt:variant>
      <vt:variant>
        <vt:i4>791</vt:i4>
      </vt:variant>
      <vt:variant>
        <vt:i4>0</vt:i4>
      </vt:variant>
      <vt:variant>
        <vt:i4>5</vt:i4>
      </vt:variant>
      <vt:variant>
        <vt:lpwstr/>
      </vt:variant>
      <vt:variant>
        <vt:lpwstr>_Toc508800065</vt:lpwstr>
      </vt:variant>
      <vt:variant>
        <vt:i4>1638461</vt:i4>
      </vt:variant>
      <vt:variant>
        <vt:i4>785</vt:i4>
      </vt:variant>
      <vt:variant>
        <vt:i4>0</vt:i4>
      </vt:variant>
      <vt:variant>
        <vt:i4>5</vt:i4>
      </vt:variant>
      <vt:variant>
        <vt:lpwstr/>
      </vt:variant>
      <vt:variant>
        <vt:lpwstr>_Toc508800064</vt:lpwstr>
      </vt:variant>
      <vt:variant>
        <vt:i4>1638461</vt:i4>
      </vt:variant>
      <vt:variant>
        <vt:i4>779</vt:i4>
      </vt:variant>
      <vt:variant>
        <vt:i4>0</vt:i4>
      </vt:variant>
      <vt:variant>
        <vt:i4>5</vt:i4>
      </vt:variant>
      <vt:variant>
        <vt:lpwstr/>
      </vt:variant>
      <vt:variant>
        <vt:lpwstr>_Toc508800063</vt:lpwstr>
      </vt:variant>
      <vt:variant>
        <vt:i4>1638461</vt:i4>
      </vt:variant>
      <vt:variant>
        <vt:i4>773</vt:i4>
      </vt:variant>
      <vt:variant>
        <vt:i4>0</vt:i4>
      </vt:variant>
      <vt:variant>
        <vt:i4>5</vt:i4>
      </vt:variant>
      <vt:variant>
        <vt:lpwstr/>
      </vt:variant>
      <vt:variant>
        <vt:lpwstr>_Toc508800062</vt:lpwstr>
      </vt:variant>
      <vt:variant>
        <vt:i4>1638461</vt:i4>
      </vt:variant>
      <vt:variant>
        <vt:i4>767</vt:i4>
      </vt:variant>
      <vt:variant>
        <vt:i4>0</vt:i4>
      </vt:variant>
      <vt:variant>
        <vt:i4>5</vt:i4>
      </vt:variant>
      <vt:variant>
        <vt:lpwstr/>
      </vt:variant>
      <vt:variant>
        <vt:lpwstr>_Toc508800061</vt:lpwstr>
      </vt:variant>
      <vt:variant>
        <vt:i4>1638461</vt:i4>
      </vt:variant>
      <vt:variant>
        <vt:i4>761</vt:i4>
      </vt:variant>
      <vt:variant>
        <vt:i4>0</vt:i4>
      </vt:variant>
      <vt:variant>
        <vt:i4>5</vt:i4>
      </vt:variant>
      <vt:variant>
        <vt:lpwstr/>
      </vt:variant>
      <vt:variant>
        <vt:lpwstr>_Toc508800060</vt:lpwstr>
      </vt:variant>
      <vt:variant>
        <vt:i4>1703997</vt:i4>
      </vt:variant>
      <vt:variant>
        <vt:i4>755</vt:i4>
      </vt:variant>
      <vt:variant>
        <vt:i4>0</vt:i4>
      </vt:variant>
      <vt:variant>
        <vt:i4>5</vt:i4>
      </vt:variant>
      <vt:variant>
        <vt:lpwstr/>
      </vt:variant>
      <vt:variant>
        <vt:lpwstr>_Toc508800059</vt:lpwstr>
      </vt:variant>
      <vt:variant>
        <vt:i4>1703997</vt:i4>
      </vt:variant>
      <vt:variant>
        <vt:i4>749</vt:i4>
      </vt:variant>
      <vt:variant>
        <vt:i4>0</vt:i4>
      </vt:variant>
      <vt:variant>
        <vt:i4>5</vt:i4>
      </vt:variant>
      <vt:variant>
        <vt:lpwstr/>
      </vt:variant>
      <vt:variant>
        <vt:lpwstr>_Toc508800058</vt:lpwstr>
      </vt:variant>
      <vt:variant>
        <vt:i4>1703997</vt:i4>
      </vt:variant>
      <vt:variant>
        <vt:i4>743</vt:i4>
      </vt:variant>
      <vt:variant>
        <vt:i4>0</vt:i4>
      </vt:variant>
      <vt:variant>
        <vt:i4>5</vt:i4>
      </vt:variant>
      <vt:variant>
        <vt:lpwstr/>
      </vt:variant>
      <vt:variant>
        <vt:lpwstr>_Toc508800057</vt:lpwstr>
      </vt:variant>
      <vt:variant>
        <vt:i4>1703997</vt:i4>
      </vt:variant>
      <vt:variant>
        <vt:i4>737</vt:i4>
      </vt:variant>
      <vt:variant>
        <vt:i4>0</vt:i4>
      </vt:variant>
      <vt:variant>
        <vt:i4>5</vt:i4>
      </vt:variant>
      <vt:variant>
        <vt:lpwstr/>
      </vt:variant>
      <vt:variant>
        <vt:lpwstr>_Toc508800056</vt:lpwstr>
      </vt:variant>
      <vt:variant>
        <vt:i4>1703997</vt:i4>
      </vt:variant>
      <vt:variant>
        <vt:i4>731</vt:i4>
      </vt:variant>
      <vt:variant>
        <vt:i4>0</vt:i4>
      </vt:variant>
      <vt:variant>
        <vt:i4>5</vt:i4>
      </vt:variant>
      <vt:variant>
        <vt:lpwstr/>
      </vt:variant>
      <vt:variant>
        <vt:lpwstr>_Toc508800055</vt:lpwstr>
      </vt:variant>
      <vt:variant>
        <vt:i4>1703997</vt:i4>
      </vt:variant>
      <vt:variant>
        <vt:i4>725</vt:i4>
      </vt:variant>
      <vt:variant>
        <vt:i4>0</vt:i4>
      </vt:variant>
      <vt:variant>
        <vt:i4>5</vt:i4>
      </vt:variant>
      <vt:variant>
        <vt:lpwstr/>
      </vt:variant>
      <vt:variant>
        <vt:lpwstr>_Toc508800054</vt:lpwstr>
      </vt:variant>
      <vt:variant>
        <vt:i4>1703997</vt:i4>
      </vt:variant>
      <vt:variant>
        <vt:i4>719</vt:i4>
      </vt:variant>
      <vt:variant>
        <vt:i4>0</vt:i4>
      </vt:variant>
      <vt:variant>
        <vt:i4>5</vt:i4>
      </vt:variant>
      <vt:variant>
        <vt:lpwstr/>
      </vt:variant>
      <vt:variant>
        <vt:lpwstr>_Toc508800053</vt:lpwstr>
      </vt:variant>
      <vt:variant>
        <vt:i4>1703997</vt:i4>
      </vt:variant>
      <vt:variant>
        <vt:i4>713</vt:i4>
      </vt:variant>
      <vt:variant>
        <vt:i4>0</vt:i4>
      </vt:variant>
      <vt:variant>
        <vt:i4>5</vt:i4>
      </vt:variant>
      <vt:variant>
        <vt:lpwstr/>
      </vt:variant>
      <vt:variant>
        <vt:lpwstr>_Toc508800052</vt:lpwstr>
      </vt:variant>
      <vt:variant>
        <vt:i4>1703997</vt:i4>
      </vt:variant>
      <vt:variant>
        <vt:i4>707</vt:i4>
      </vt:variant>
      <vt:variant>
        <vt:i4>0</vt:i4>
      </vt:variant>
      <vt:variant>
        <vt:i4>5</vt:i4>
      </vt:variant>
      <vt:variant>
        <vt:lpwstr/>
      </vt:variant>
      <vt:variant>
        <vt:lpwstr>_Toc508800051</vt:lpwstr>
      </vt:variant>
      <vt:variant>
        <vt:i4>1966141</vt:i4>
      </vt:variant>
      <vt:variant>
        <vt:i4>698</vt:i4>
      </vt:variant>
      <vt:variant>
        <vt:i4>0</vt:i4>
      </vt:variant>
      <vt:variant>
        <vt:i4>5</vt:i4>
      </vt:variant>
      <vt:variant>
        <vt:lpwstr/>
      </vt:variant>
      <vt:variant>
        <vt:lpwstr>_Toc508800018</vt:lpwstr>
      </vt:variant>
      <vt:variant>
        <vt:i4>1966141</vt:i4>
      </vt:variant>
      <vt:variant>
        <vt:i4>692</vt:i4>
      </vt:variant>
      <vt:variant>
        <vt:i4>0</vt:i4>
      </vt:variant>
      <vt:variant>
        <vt:i4>5</vt:i4>
      </vt:variant>
      <vt:variant>
        <vt:lpwstr/>
      </vt:variant>
      <vt:variant>
        <vt:lpwstr>_Toc508800017</vt:lpwstr>
      </vt:variant>
      <vt:variant>
        <vt:i4>1966141</vt:i4>
      </vt:variant>
      <vt:variant>
        <vt:i4>686</vt:i4>
      </vt:variant>
      <vt:variant>
        <vt:i4>0</vt:i4>
      </vt:variant>
      <vt:variant>
        <vt:i4>5</vt:i4>
      </vt:variant>
      <vt:variant>
        <vt:lpwstr/>
      </vt:variant>
      <vt:variant>
        <vt:lpwstr>_Toc508800016</vt:lpwstr>
      </vt:variant>
      <vt:variant>
        <vt:i4>1966141</vt:i4>
      </vt:variant>
      <vt:variant>
        <vt:i4>680</vt:i4>
      </vt:variant>
      <vt:variant>
        <vt:i4>0</vt:i4>
      </vt:variant>
      <vt:variant>
        <vt:i4>5</vt:i4>
      </vt:variant>
      <vt:variant>
        <vt:lpwstr/>
      </vt:variant>
      <vt:variant>
        <vt:lpwstr>_Toc508800015</vt:lpwstr>
      </vt:variant>
      <vt:variant>
        <vt:i4>1966141</vt:i4>
      </vt:variant>
      <vt:variant>
        <vt:i4>674</vt:i4>
      </vt:variant>
      <vt:variant>
        <vt:i4>0</vt:i4>
      </vt:variant>
      <vt:variant>
        <vt:i4>5</vt:i4>
      </vt:variant>
      <vt:variant>
        <vt:lpwstr/>
      </vt:variant>
      <vt:variant>
        <vt:lpwstr>_Toc508800014</vt:lpwstr>
      </vt:variant>
      <vt:variant>
        <vt:i4>1966141</vt:i4>
      </vt:variant>
      <vt:variant>
        <vt:i4>668</vt:i4>
      </vt:variant>
      <vt:variant>
        <vt:i4>0</vt:i4>
      </vt:variant>
      <vt:variant>
        <vt:i4>5</vt:i4>
      </vt:variant>
      <vt:variant>
        <vt:lpwstr/>
      </vt:variant>
      <vt:variant>
        <vt:lpwstr>_Toc508800013</vt:lpwstr>
      </vt:variant>
      <vt:variant>
        <vt:i4>1966141</vt:i4>
      </vt:variant>
      <vt:variant>
        <vt:i4>662</vt:i4>
      </vt:variant>
      <vt:variant>
        <vt:i4>0</vt:i4>
      </vt:variant>
      <vt:variant>
        <vt:i4>5</vt:i4>
      </vt:variant>
      <vt:variant>
        <vt:lpwstr/>
      </vt:variant>
      <vt:variant>
        <vt:lpwstr>_Toc508800012</vt:lpwstr>
      </vt:variant>
      <vt:variant>
        <vt:i4>1966141</vt:i4>
      </vt:variant>
      <vt:variant>
        <vt:i4>659</vt:i4>
      </vt:variant>
      <vt:variant>
        <vt:i4>0</vt:i4>
      </vt:variant>
      <vt:variant>
        <vt:i4>5</vt:i4>
      </vt:variant>
      <vt:variant>
        <vt:lpwstr/>
      </vt:variant>
      <vt:variant>
        <vt:lpwstr>_Toc508800011</vt:lpwstr>
      </vt:variant>
      <vt:variant>
        <vt:i4>1966141</vt:i4>
      </vt:variant>
      <vt:variant>
        <vt:i4>656</vt:i4>
      </vt:variant>
      <vt:variant>
        <vt:i4>0</vt:i4>
      </vt:variant>
      <vt:variant>
        <vt:i4>5</vt:i4>
      </vt:variant>
      <vt:variant>
        <vt:lpwstr/>
      </vt:variant>
      <vt:variant>
        <vt:lpwstr>_Toc508800010</vt:lpwstr>
      </vt:variant>
      <vt:variant>
        <vt:i4>2031677</vt:i4>
      </vt:variant>
      <vt:variant>
        <vt:i4>650</vt:i4>
      </vt:variant>
      <vt:variant>
        <vt:i4>0</vt:i4>
      </vt:variant>
      <vt:variant>
        <vt:i4>5</vt:i4>
      </vt:variant>
      <vt:variant>
        <vt:lpwstr/>
      </vt:variant>
      <vt:variant>
        <vt:lpwstr>_Toc508800009</vt:lpwstr>
      </vt:variant>
      <vt:variant>
        <vt:i4>2031677</vt:i4>
      </vt:variant>
      <vt:variant>
        <vt:i4>647</vt:i4>
      </vt:variant>
      <vt:variant>
        <vt:i4>0</vt:i4>
      </vt:variant>
      <vt:variant>
        <vt:i4>5</vt:i4>
      </vt:variant>
      <vt:variant>
        <vt:lpwstr/>
      </vt:variant>
      <vt:variant>
        <vt:lpwstr>_Toc508800008</vt:lpwstr>
      </vt:variant>
      <vt:variant>
        <vt:i4>2031677</vt:i4>
      </vt:variant>
      <vt:variant>
        <vt:i4>641</vt:i4>
      </vt:variant>
      <vt:variant>
        <vt:i4>0</vt:i4>
      </vt:variant>
      <vt:variant>
        <vt:i4>5</vt:i4>
      </vt:variant>
      <vt:variant>
        <vt:lpwstr/>
      </vt:variant>
      <vt:variant>
        <vt:lpwstr>_Toc508800007</vt:lpwstr>
      </vt:variant>
      <vt:variant>
        <vt:i4>2031677</vt:i4>
      </vt:variant>
      <vt:variant>
        <vt:i4>638</vt:i4>
      </vt:variant>
      <vt:variant>
        <vt:i4>0</vt:i4>
      </vt:variant>
      <vt:variant>
        <vt:i4>5</vt:i4>
      </vt:variant>
      <vt:variant>
        <vt:lpwstr/>
      </vt:variant>
      <vt:variant>
        <vt:lpwstr>_Toc508800006</vt:lpwstr>
      </vt:variant>
      <vt:variant>
        <vt:i4>2031677</vt:i4>
      </vt:variant>
      <vt:variant>
        <vt:i4>635</vt:i4>
      </vt:variant>
      <vt:variant>
        <vt:i4>0</vt:i4>
      </vt:variant>
      <vt:variant>
        <vt:i4>5</vt:i4>
      </vt:variant>
      <vt:variant>
        <vt:lpwstr/>
      </vt:variant>
      <vt:variant>
        <vt:lpwstr>_Toc508800005</vt:lpwstr>
      </vt:variant>
      <vt:variant>
        <vt:i4>2031677</vt:i4>
      </vt:variant>
      <vt:variant>
        <vt:i4>629</vt:i4>
      </vt:variant>
      <vt:variant>
        <vt:i4>0</vt:i4>
      </vt:variant>
      <vt:variant>
        <vt:i4>5</vt:i4>
      </vt:variant>
      <vt:variant>
        <vt:lpwstr/>
      </vt:variant>
      <vt:variant>
        <vt:lpwstr>_Toc508800004</vt:lpwstr>
      </vt:variant>
      <vt:variant>
        <vt:i4>2031677</vt:i4>
      </vt:variant>
      <vt:variant>
        <vt:i4>623</vt:i4>
      </vt:variant>
      <vt:variant>
        <vt:i4>0</vt:i4>
      </vt:variant>
      <vt:variant>
        <vt:i4>5</vt:i4>
      </vt:variant>
      <vt:variant>
        <vt:lpwstr/>
      </vt:variant>
      <vt:variant>
        <vt:lpwstr>_Toc508800003</vt:lpwstr>
      </vt:variant>
      <vt:variant>
        <vt:i4>2031677</vt:i4>
      </vt:variant>
      <vt:variant>
        <vt:i4>617</vt:i4>
      </vt:variant>
      <vt:variant>
        <vt:i4>0</vt:i4>
      </vt:variant>
      <vt:variant>
        <vt:i4>5</vt:i4>
      </vt:variant>
      <vt:variant>
        <vt:lpwstr/>
      </vt:variant>
      <vt:variant>
        <vt:lpwstr>_Toc508800002</vt:lpwstr>
      </vt:variant>
      <vt:variant>
        <vt:i4>2031677</vt:i4>
      </vt:variant>
      <vt:variant>
        <vt:i4>611</vt:i4>
      </vt:variant>
      <vt:variant>
        <vt:i4>0</vt:i4>
      </vt:variant>
      <vt:variant>
        <vt:i4>5</vt:i4>
      </vt:variant>
      <vt:variant>
        <vt:lpwstr/>
      </vt:variant>
      <vt:variant>
        <vt:lpwstr>_Toc508800001</vt:lpwstr>
      </vt:variant>
      <vt:variant>
        <vt:i4>2031677</vt:i4>
      </vt:variant>
      <vt:variant>
        <vt:i4>605</vt:i4>
      </vt:variant>
      <vt:variant>
        <vt:i4>0</vt:i4>
      </vt:variant>
      <vt:variant>
        <vt:i4>5</vt:i4>
      </vt:variant>
      <vt:variant>
        <vt:lpwstr/>
      </vt:variant>
      <vt:variant>
        <vt:lpwstr>_Toc508800000</vt:lpwstr>
      </vt:variant>
      <vt:variant>
        <vt:i4>1048637</vt:i4>
      </vt:variant>
      <vt:variant>
        <vt:i4>599</vt:i4>
      </vt:variant>
      <vt:variant>
        <vt:i4>0</vt:i4>
      </vt:variant>
      <vt:variant>
        <vt:i4>5</vt:i4>
      </vt:variant>
      <vt:variant>
        <vt:lpwstr/>
      </vt:variant>
      <vt:variant>
        <vt:lpwstr>_Toc508799999</vt:lpwstr>
      </vt:variant>
      <vt:variant>
        <vt:i4>1048637</vt:i4>
      </vt:variant>
      <vt:variant>
        <vt:i4>593</vt:i4>
      </vt:variant>
      <vt:variant>
        <vt:i4>0</vt:i4>
      </vt:variant>
      <vt:variant>
        <vt:i4>5</vt:i4>
      </vt:variant>
      <vt:variant>
        <vt:lpwstr/>
      </vt:variant>
      <vt:variant>
        <vt:lpwstr>_Toc508799998</vt:lpwstr>
      </vt:variant>
      <vt:variant>
        <vt:i4>1048637</vt:i4>
      </vt:variant>
      <vt:variant>
        <vt:i4>587</vt:i4>
      </vt:variant>
      <vt:variant>
        <vt:i4>0</vt:i4>
      </vt:variant>
      <vt:variant>
        <vt:i4>5</vt:i4>
      </vt:variant>
      <vt:variant>
        <vt:lpwstr/>
      </vt:variant>
      <vt:variant>
        <vt:lpwstr>_Toc508799997</vt:lpwstr>
      </vt:variant>
      <vt:variant>
        <vt:i4>1048637</vt:i4>
      </vt:variant>
      <vt:variant>
        <vt:i4>581</vt:i4>
      </vt:variant>
      <vt:variant>
        <vt:i4>0</vt:i4>
      </vt:variant>
      <vt:variant>
        <vt:i4>5</vt:i4>
      </vt:variant>
      <vt:variant>
        <vt:lpwstr/>
      </vt:variant>
      <vt:variant>
        <vt:lpwstr>_Toc508799996</vt:lpwstr>
      </vt:variant>
      <vt:variant>
        <vt:i4>1048637</vt:i4>
      </vt:variant>
      <vt:variant>
        <vt:i4>575</vt:i4>
      </vt:variant>
      <vt:variant>
        <vt:i4>0</vt:i4>
      </vt:variant>
      <vt:variant>
        <vt:i4>5</vt:i4>
      </vt:variant>
      <vt:variant>
        <vt:lpwstr/>
      </vt:variant>
      <vt:variant>
        <vt:lpwstr>_Toc508799995</vt:lpwstr>
      </vt:variant>
      <vt:variant>
        <vt:i4>1048637</vt:i4>
      </vt:variant>
      <vt:variant>
        <vt:i4>569</vt:i4>
      </vt:variant>
      <vt:variant>
        <vt:i4>0</vt:i4>
      </vt:variant>
      <vt:variant>
        <vt:i4>5</vt:i4>
      </vt:variant>
      <vt:variant>
        <vt:lpwstr/>
      </vt:variant>
      <vt:variant>
        <vt:lpwstr>_Toc508799994</vt:lpwstr>
      </vt:variant>
      <vt:variant>
        <vt:i4>1048637</vt:i4>
      </vt:variant>
      <vt:variant>
        <vt:i4>563</vt:i4>
      </vt:variant>
      <vt:variant>
        <vt:i4>0</vt:i4>
      </vt:variant>
      <vt:variant>
        <vt:i4>5</vt:i4>
      </vt:variant>
      <vt:variant>
        <vt:lpwstr/>
      </vt:variant>
      <vt:variant>
        <vt:lpwstr>_Toc508799993</vt:lpwstr>
      </vt:variant>
      <vt:variant>
        <vt:i4>1048637</vt:i4>
      </vt:variant>
      <vt:variant>
        <vt:i4>557</vt:i4>
      </vt:variant>
      <vt:variant>
        <vt:i4>0</vt:i4>
      </vt:variant>
      <vt:variant>
        <vt:i4>5</vt:i4>
      </vt:variant>
      <vt:variant>
        <vt:lpwstr/>
      </vt:variant>
      <vt:variant>
        <vt:lpwstr>_Toc508799992</vt:lpwstr>
      </vt:variant>
      <vt:variant>
        <vt:i4>1048637</vt:i4>
      </vt:variant>
      <vt:variant>
        <vt:i4>551</vt:i4>
      </vt:variant>
      <vt:variant>
        <vt:i4>0</vt:i4>
      </vt:variant>
      <vt:variant>
        <vt:i4>5</vt:i4>
      </vt:variant>
      <vt:variant>
        <vt:lpwstr/>
      </vt:variant>
      <vt:variant>
        <vt:lpwstr>_Toc508799991</vt:lpwstr>
      </vt:variant>
      <vt:variant>
        <vt:i4>1048637</vt:i4>
      </vt:variant>
      <vt:variant>
        <vt:i4>545</vt:i4>
      </vt:variant>
      <vt:variant>
        <vt:i4>0</vt:i4>
      </vt:variant>
      <vt:variant>
        <vt:i4>5</vt:i4>
      </vt:variant>
      <vt:variant>
        <vt:lpwstr/>
      </vt:variant>
      <vt:variant>
        <vt:lpwstr>_Toc508799990</vt:lpwstr>
      </vt:variant>
      <vt:variant>
        <vt:i4>1114173</vt:i4>
      </vt:variant>
      <vt:variant>
        <vt:i4>539</vt:i4>
      </vt:variant>
      <vt:variant>
        <vt:i4>0</vt:i4>
      </vt:variant>
      <vt:variant>
        <vt:i4>5</vt:i4>
      </vt:variant>
      <vt:variant>
        <vt:lpwstr/>
      </vt:variant>
      <vt:variant>
        <vt:lpwstr>_Toc508799989</vt:lpwstr>
      </vt:variant>
      <vt:variant>
        <vt:i4>1114173</vt:i4>
      </vt:variant>
      <vt:variant>
        <vt:i4>533</vt:i4>
      </vt:variant>
      <vt:variant>
        <vt:i4>0</vt:i4>
      </vt:variant>
      <vt:variant>
        <vt:i4>5</vt:i4>
      </vt:variant>
      <vt:variant>
        <vt:lpwstr/>
      </vt:variant>
      <vt:variant>
        <vt:lpwstr>_Toc508799988</vt:lpwstr>
      </vt:variant>
      <vt:variant>
        <vt:i4>1114173</vt:i4>
      </vt:variant>
      <vt:variant>
        <vt:i4>527</vt:i4>
      </vt:variant>
      <vt:variant>
        <vt:i4>0</vt:i4>
      </vt:variant>
      <vt:variant>
        <vt:i4>5</vt:i4>
      </vt:variant>
      <vt:variant>
        <vt:lpwstr/>
      </vt:variant>
      <vt:variant>
        <vt:lpwstr>_Toc508799987</vt:lpwstr>
      </vt:variant>
      <vt:variant>
        <vt:i4>1114173</vt:i4>
      </vt:variant>
      <vt:variant>
        <vt:i4>521</vt:i4>
      </vt:variant>
      <vt:variant>
        <vt:i4>0</vt:i4>
      </vt:variant>
      <vt:variant>
        <vt:i4>5</vt:i4>
      </vt:variant>
      <vt:variant>
        <vt:lpwstr/>
      </vt:variant>
      <vt:variant>
        <vt:lpwstr>_Toc508799986</vt:lpwstr>
      </vt:variant>
      <vt:variant>
        <vt:i4>1114173</vt:i4>
      </vt:variant>
      <vt:variant>
        <vt:i4>515</vt:i4>
      </vt:variant>
      <vt:variant>
        <vt:i4>0</vt:i4>
      </vt:variant>
      <vt:variant>
        <vt:i4>5</vt:i4>
      </vt:variant>
      <vt:variant>
        <vt:lpwstr/>
      </vt:variant>
      <vt:variant>
        <vt:lpwstr>_Toc508799985</vt:lpwstr>
      </vt:variant>
      <vt:variant>
        <vt:i4>1114173</vt:i4>
      </vt:variant>
      <vt:variant>
        <vt:i4>509</vt:i4>
      </vt:variant>
      <vt:variant>
        <vt:i4>0</vt:i4>
      </vt:variant>
      <vt:variant>
        <vt:i4>5</vt:i4>
      </vt:variant>
      <vt:variant>
        <vt:lpwstr/>
      </vt:variant>
      <vt:variant>
        <vt:lpwstr>_Toc508799984</vt:lpwstr>
      </vt:variant>
      <vt:variant>
        <vt:i4>1114173</vt:i4>
      </vt:variant>
      <vt:variant>
        <vt:i4>503</vt:i4>
      </vt:variant>
      <vt:variant>
        <vt:i4>0</vt:i4>
      </vt:variant>
      <vt:variant>
        <vt:i4>5</vt:i4>
      </vt:variant>
      <vt:variant>
        <vt:lpwstr/>
      </vt:variant>
      <vt:variant>
        <vt:lpwstr>_Toc508799983</vt:lpwstr>
      </vt:variant>
      <vt:variant>
        <vt:i4>8257622</vt:i4>
      </vt:variant>
      <vt:variant>
        <vt:i4>497</vt:i4>
      </vt:variant>
      <vt:variant>
        <vt:i4>0</vt:i4>
      </vt:variant>
      <vt:variant>
        <vt:i4>5</vt:i4>
      </vt:variant>
      <vt:variant>
        <vt:lpwstr>../../../../WB507560/Desktop/Urban - Full Report - final (2018-02-23) - BG - translated - checkVT.docx</vt:lpwstr>
      </vt:variant>
      <vt:variant>
        <vt:lpwstr>_Toc508799982</vt:lpwstr>
      </vt:variant>
      <vt:variant>
        <vt:i4>8257622</vt:i4>
      </vt:variant>
      <vt:variant>
        <vt:i4>491</vt:i4>
      </vt:variant>
      <vt:variant>
        <vt:i4>0</vt:i4>
      </vt:variant>
      <vt:variant>
        <vt:i4>5</vt:i4>
      </vt:variant>
      <vt:variant>
        <vt:lpwstr>../../../../WB507560/Desktop/Urban - Full Report - final (2018-02-23) - BG - translated - checkVT.docx</vt:lpwstr>
      </vt:variant>
      <vt:variant>
        <vt:lpwstr>_Toc508799981</vt:lpwstr>
      </vt:variant>
      <vt:variant>
        <vt:i4>1114173</vt:i4>
      </vt:variant>
      <vt:variant>
        <vt:i4>485</vt:i4>
      </vt:variant>
      <vt:variant>
        <vt:i4>0</vt:i4>
      </vt:variant>
      <vt:variant>
        <vt:i4>5</vt:i4>
      </vt:variant>
      <vt:variant>
        <vt:lpwstr/>
      </vt:variant>
      <vt:variant>
        <vt:lpwstr>_Toc508799980</vt:lpwstr>
      </vt:variant>
      <vt:variant>
        <vt:i4>1966141</vt:i4>
      </vt:variant>
      <vt:variant>
        <vt:i4>476</vt:i4>
      </vt:variant>
      <vt:variant>
        <vt:i4>0</vt:i4>
      </vt:variant>
      <vt:variant>
        <vt:i4>5</vt:i4>
      </vt:variant>
      <vt:variant>
        <vt:lpwstr/>
      </vt:variant>
      <vt:variant>
        <vt:lpwstr>_Toc508799979</vt:lpwstr>
      </vt:variant>
      <vt:variant>
        <vt:i4>1966141</vt:i4>
      </vt:variant>
      <vt:variant>
        <vt:i4>470</vt:i4>
      </vt:variant>
      <vt:variant>
        <vt:i4>0</vt:i4>
      </vt:variant>
      <vt:variant>
        <vt:i4>5</vt:i4>
      </vt:variant>
      <vt:variant>
        <vt:lpwstr/>
      </vt:variant>
      <vt:variant>
        <vt:lpwstr>_Toc508799978</vt:lpwstr>
      </vt:variant>
      <vt:variant>
        <vt:i4>1966141</vt:i4>
      </vt:variant>
      <vt:variant>
        <vt:i4>464</vt:i4>
      </vt:variant>
      <vt:variant>
        <vt:i4>0</vt:i4>
      </vt:variant>
      <vt:variant>
        <vt:i4>5</vt:i4>
      </vt:variant>
      <vt:variant>
        <vt:lpwstr/>
      </vt:variant>
      <vt:variant>
        <vt:lpwstr>_Toc508799977</vt:lpwstr>
      </vt:variant>
      <vt:variant>
        <vt:i4>1966141</vt:i4>
      </vt:variant>
      <vt:variant>
        <vt:i4>458</vt:i4>
      </vt:variant>
      <vt:variant>
        <vt:i4>0</vt:i4>
      </vt:variant>
      <vt:variant>
        <vt:i4>5</vt:i4>
      </vt:variant>
      <vt:variant>
        <vt:lpwstr/>
      </vt:variant>
      <vt:variant>
        <vt:lpwstr>_Toc508799976</vt:lpwstr>
      </vt:variant>
      <vt:variant>
        <vt:i4>1966141</vt:i4>
      </vt:variant>
      <vt:variant>
        <vt:i4>452</vt:i4>
      </vt:variant>
      <vt:variant>
        <vt:i4>0</vt:i4>
      </vt:variant>
      <vt:variant>
        <vt:i4>5</vt:i4>
      </vt:variant>
      <vt:variant>
        <vt:lpwstr/>
      </vt:variant>
      <vt:variant>
        <vt:lpwstr>_Toc508799975</vt:lpwstr>
      </vt:variant>
      <vt:variant>
        <vt:i4>1966141</vt:i4>
      </vt:variant>
      <vt:variant>
        <vt:i4>446</vt:i4>
      </vt:variant>
      <vt:variant>
        <vt:i4>0</vt:i4>
      </vt:variant>
      <vt:variant>
        <vt:i4>5</vt:i4>
      </vt:variant>
      <vt:variant>
        <vt:lpwstr/>
      </vt:variant>
      <vt:variant>
        <vt:lpwstr>_Toc508799974</vt:lpwstr>
      </vt:variant>
      <vt:variant>
        <vt:i4>1966141</vt:i4>
      </vt:variant>
      <vt:variant>
        <vt:i4>440</vt:i4>
      </vt:variant>
      <vt:variant>
        <vt:i4>0</vt:i4>
      </vt:variant>
      <vt:variant>
        <vt:i4>5</vt:i4>
      </vt:variant>
      <vt:variant>
        <vt:lpwstr/>
      </vt:variant>
      <vt:variant>
        <vt:lpwstr>_Toc508799973</vt:lpwstr>
      </vt:variant>
      <vt:variant>
        <vt:i4>1966141</vt:i4>
      </vt:variant>
      <vt:variant>
        <vt:i4>434</vt:i4>
      </vt:variant>
      <vt:variant>
        <vt:i4>0</vt:i4>
      </vt:variant>
      <vt:variant>
        <vt:i4>5</vt:i4>
      </vt:variant>
      <vt:variant>
        <vt:lpwstr/>
      </vt:variant>
      <vt:variant>
        <vt:lpwstr>_Toc508799972</vt:lpwstr>
      </vt:variant>
      <vt:variant>
        <vt:i4>1966141</vt:i4>
      </vt:variant>
      <vt:variant>
        <vt:i4>431</vt:i4>
      </vt:variant>
      <vt:variant>
        <vt:i4>0</vt:i4>
      </vt:variant>
      <vt:variant>
        <vt:i4>5</vt:i4>
      </vt:variant>
      <vt:variant>
        <vt:lpwstr/>
      </vt:variant>
      <vt:variant>
        <vt:lpwstr>_Toc508799971</vt:lpwstr>
      </vt:variant>
      <vt:variant>
        <vt:i4>1966141</vt:i4>
      </vt:variant>
      <vt:variant>
        <vt:i4>428</vt:i4>
      </vt:variant>
      <vt:variant>
        <vt:i4>0</vt:i4>
      </vt:variant>
      <vt:variant>
        <vt:i4>5</vt:i4>
      </vt:variant>
      <vt:variant>
        <vt:lpwstr/>
      </vt:variant>
      <vt:variant>
        <vt:lpwstr>_Toc508799970</vt:lpwstr>
      </vt:variant>
      <vt:variant>
        <vt:i4>2031677</vt:i4>
      </vt:variant>
      <vt:variant>
        <vt:i4>425</vt:i4>
      </vt:variant>
      <vt:variant>
        <vt:i4>0</vt:i4>
      </vt:variant>
      <vt:variant>
        <vt:i4>5</vt:i4>
      </vt:variant>
      <vt:variant>
        <vt:lpwstr/>
      </vt:variant>
      <vt:variant>
        <vt:lpwstr>_Toc508799969</vt:lpwstr>
      </vt:variant>
      <vt:variant>
        <vt:i4>2031677</vt:i4>
      </vt:variant>
      <vt:variant>
        <vt:i4>422</vt:i4>
      </vt:variant>
      <vt:variant>
        <vt:i4>0</vt:i4>
      </vt:variant>
      <vt:variant>
        <vt:i4>5</vt:i4>
      </vt:variant>
      <vt:variant>
        <vt:lpwstr/>
      </vt:variant>
      <vt:variant>
        <vt:lpwstr>_Toc508799968</vt:lpwstr>
      </vt:variant>
      <vt:variant>
        <vt:i4>2031677</vt:i4>
      </vt:variant>
      <vt:variant>
        <vt:i4>416</vt:i4>
      </vt:variant>
      <vt:variant>
        <vt:i4>0</vt:i4>
      </vt:variant>
      <vt:variant>
        <vt:i4>5</vt:i4>
      </vt:variant>
      <vt:variant>
        <vt:lpwstr/>
      </vt:variant>
      <vt:variant>
        <vt:lpwstr>_Toc508799967</vt:lpwstr>
      </vt:variant>
      <vt:variant>
        <vt:i4>2031677</vt:i4>
      </vt:variant>
      <vt:variant>
        <vt:i4>410</vt:i4>
      </vt:variant>
      <vt:variant>
        <vt:i4>0</vt:i4>
      </vt:variant>
      <vt:variant>
        <vt:i4>5</vt:i4>
      </vt:variant>
      <vt:variant>
        <vt:lpwstr/>
      </vt:variant>
      <vt:variant>
        <vt:lpwstr>_Toc508799966</vt:lpwstr>
      </vt:variant>
      <vt:variant>
        <vt:i4>2031677</vt:i4>
      </vt:variant>
      <vt:variant>
        <vt:i4>404</vt:i4>
      </vt:variant>
      <vt:variant>
        <vt:i4>0</vt:i4>
      </vt:variant>
      <vt:variant>
        <vt:i4>5</vt:i4>
      </vt:variant>
      <vt:variant>
        <vt:lpwstr/>
      </vt:variant>
      <vt:variant>
        <vt:lpwstr>_Toc508799965</vt:lpwstr>
      </vt:variant>
      <vt:variant>
        <vt:i4>2031677</vt:i4>
      </vt:variant>
      <vt:variant>
        <vt:i4>398</vt:i4>
      </vt:variant>
      <vt:variant>
        <vt:i4>0</vt:i4>
      </vt:variant>
      <vt:variant>
        <vt:i4>5</vt:i4>
      </vt:variant>
      <vt:variant>
        <vt:lpwstr/>
      </vt:variant>
      <vt:variant>
        <vt:lpwstr>_Toc508799964</vt:lpwstr>
      </vt:variant>
      <vt:variant>
        <vt:i4>2031677</vt:i4>
      </vt:variant>
      <vt:variant>
        <vt:i4>392</vt:i4>
      </vt:variant>
      <vt:variant>
        <vt:i4>0</vt:i4>
      </vt:variant>
      <vt:variant>
        <vt:i4>5</vt:i4>
      </vt:variant>
      <vt:variant>
        <vt:lpwstr/>
      </vt:variant>
      <vt:variant>
        <vt:lpwstr>_Toc508799963</vt:lpwstr>
      </vt:variant>
      <vt:variant>
        <vt:i4>2031677</vt:i4>
      </vt:variant>
      <vt:variant>
        <vt:i4>386</vt:i4>
      </vt:variant>
      <vt:variant>
        <vt:i4>0</vt:i4>
      </vt:variant>
      <vt:variant>
        <vt:i4>5</vt:i4>
      </vt:variant>
      <vt:variant>
        <vt:lpwstr/>
      </vt:variant>
      <vt:variant>
        <vt:lpwstr>_Toc508799962</vt:lpwstr>
      </vt:variant>
      <vt:variant>
        <vt:i4>2031677</vt:i4>
      </vt:variant>
      <vt:variant>
        <vt:i4>380</vt:i4>
      </vt:variant>
      <vt:variant>
        <vt:i4>0</vt:i4>
      </vt:variant>
      <vt:variant>
        <vt:i4>5</vt:i4>
      </vt:variant>
      <vt:variant>
        <vt:lpwstr/>
      </vt:variant>
      <vt:variant>
        <vt:lpwstr>_Toc508799961</vt:lpwstr>
      </vt:variant>
      <vt:variant>
        <vt:i4>2031677</vt:i4>
      </vt:variant>
      <vt:variant>
        <vt:i4>374</vt:i4>
      </vt:variant>
      <vt:variant>
        <vt:i4>0</vt:i4>
      </vt:variant>
      <vt:variant>
        <vt:i4>5</vt:i4>
      </vt:variant>
      <vt:variant>
        <vt:lpwstr/>
      </vt:variant>
      <vt:variant>
        <vt:lpwstr>_Toc508799960</vt:lpwstr>
      </vt:variant>
      <vt:variant>
        <vt:i4>1835069</vt:i4>
      </vt:variant>
      <vt:variant>
        <vt:i4>368</vt:i4>
      </vt:variant>
      <vt:variant>
        <vt:i4>0</vt:i4>
      </vt:variant>
      <vt:variant>
        <vt:i4>5</vt:i4>
      </vt:variant>
      <vt:variant>
        <vt:lpwstr/>
      </vt:variant>
      <vt:variant>
        <vt:lpwstr>_Toc508799959</vt:lpwstr>
      </vt:variant>
      <vt:variant>
        <vt:i4>1835069</vt:i4>
      </vt:variant>
      <vt:variant>
        <vt:i4>362</vt:i4>
      </vt:variant>
      <vt:variant>
        <vt:i4>0</vt:i4>
      </vt:variant>
      <vt:variant>
        <vt:i4>5</vt:i4>
      </vt:variant>
      <vt:variant>
        <vt:lpwstr/>
      </vt:variant>
      <vt:variant>
        <vt:lpwstr>_Toc508799958</vt:lpwstr>
      </vt:variant>
      <vt:variant>
        <vt:i4>1835069</vt:i4>
      </vt:variant>
      <vt:variant>
        <vt:i4>356</vt:i4>
      </vt:variant>
      <vt:variant>
        <vt:i4>0</vt:i4>
      </vt:variant>
      <vt:variant>
        <vt:i4>5</vt:i4>
      </vt:variant>
      <vt:variant>
        <vt:lpwstr/>
      </vt:variant>
      <vt:variant>
        <vt:lpwstr>_Toc508799957</vt:lpwstr>
      </vt:variant>
      <vt:variant>
        <vt:i4>1835069</vt:i4>
      </vt:variant>
      <vt:variant>
        <vt:i4>350</vt:i4>
      </vt:variant>
      <vt:variant>
        <vt:i4>0</vt:i4>
      </vt:variant>
      <vt:variant>
        <vt:i4>5</vt:i4>
      </vt:variant>
      <vt:variant>
        <vt:lpwstr/>
      </vt:variant>
      <vt:variant>
        <vt:lpwstr>_Toc508799956</vt:lpwstr>
      </vt:variant>
      <vt:variant>
        <vt:i4>1835069</vt:i4>
      </vt:variant>
      <vt:variant>
        <vt:i4>344</vt:i4>
      </vt:variant>
      <vt:variant>
        <vt:i4>0</vt:i4>
      </vt:variant>
      <vt:variant>
        <vt:i4>5</vt:i4>
      </vt:variant>
      <vt:variant>
        <vt:lpwstr/>
      </vt:variant>
      <vt:variant>
        <vt:lpwstr>_Toc508799955</vt:lpwstr>
      </vt:variant>
      <vt:variant>
        <vt:i4>1835069</vt:i4>
      </vt:variant>
      <vt:variant>
        <vt:i4>338</vt:i4>
      </vt:variant>
      <vt:variant>
        <vt:i4>0</vt:i4>
      </vt:variant>
      <vt:variant>
        <vt:i4>5</vt:i4>
      </vt:variant>
      <vt:variant>
        <vt:lpwstr/>
      </vt:variant>
      <vt:variant>
        <vt:lpwstr>_Toc508799954</vt:lpwstr>
      </vt:variant>
      <vt:variant>
        <vt:i4>1835069</vt:i4>
      </vt:variant>
      <vt:variant>
        <vt:i4>332</vt:i4>
      </vt:variant>
      <vt:variant>
        <vt:i4>0</vt:i4>
      </vt:variant>
      <vt:variant>
        <vt:i4>5</vt:i4>
      </vt:variant>
      <vt:variant>
        <vt:lpwstr/>
      </vt:variant>
      <vt:variant>
        <vt:lpwstr>_Toc508799953</vt:lpwstr>
      </vt:variant>
      <vt:variant>
        <vt:i4>1835069</vt:i4>
      </vt:variant>
      <vt:variant>
        <vt:i4>326</vt:i4>
      </vt:variant>
      <vt:variant>
        <vt:i4>0</vt:i4>
      </vt:variant>
      <vt:variant>
        <vt:i4>5</vt:i4>
      </vt:variant>
      <vt:variant>
        <vt:lpwstr/>
      </vt:variant>
      <vt:variant>
        <vt:lpwstr>_Toc508799952</vt:lpwstr>
      </vt:variant>
      <vt:variant>
        <vt:i4>1835069</vt:i4>
      </vt:variant>
      <vt:variant>
        <vt:i4>320</vt:i4>
      </vt:variant>
      <vt:variant>
        <vt:i4>0</vt:i4>
      </vt:variant>
      <vt:variant>
        <vt:i4>5</vt:i4>
      </vt:variant>
      <vt:variant>
        <vt:lpwstr/>
      </vt:variant>
      <vt:variant>
        <vt:lpwstr>_Toc508799951</vt:lpwstr>
      </vt:variant>
      <vt:variant>
        <vt:i4>1835069</vt:i4>
      </vt:variant>
      <vt:variant>
        <vt:i4>314</vt:i4>
      </vt:variant>
      <vt:variant>
        <vt:i4>0</vt:i4>
      </vt:variant>
      <vt:variant>
        <vt:i4>5</vt:i4>
      </vt:variant>
      <vt:variant>
        <vt:lpwstr/>
      </vt:variant>
      <vt:variant>
        <vt:lpwstr>_Toc508799950</vt:lpwstr>
      </vt:variant>
      <vt:variant>
        <vt:i4>1900605</vt:i4>
      </vt:variant>
      <vt:variant>
        <vt:i4>308</vt:i4>
      </vt:variant>
      <vt:variant>
        <vt:i4>0</vt:i4>
      </vt:variant>
      <vt:variant>
        <vt:i4>5</vt:i4>
      </vt:variant>
      <vt:variant>
        <vt:lpwstr/>
      </vt:variant>
      <vt:variant>
        <vt:lpwstr>_Toc508799949</vt:lpwstr>
      </vt:variant>
      <vt:variant>
        <vt:i4>1900605</vt:i4>
      </vt:variant>
      <vt:variant>
        <vt:i4>302</vt:i4>
      </vt:variant>
      <vt:variant>
        <vt:i4>0</vt:i4>
      </vt:variant>
      <vt:variant>
        <vt:i4>5</vt:i4>
      </vt:variant>
      <vt:variant>
        <vt:lpwstr/>
      </vt:variant>
      <vt:variant>
        <vt:lpwstr>_Toc508799948</vt:lpwstr>
      </vt:variant>
      <vt:variant>
        <vt:i4>1900605</vt:i4>
      </vt:variant>
      <vt:variant>
        <vt:i4>296</vt:i4>
      </vt:variant>
      <vt:variant>
        <vt:i4>0</vt:i4>
      </vt:variant>
      <vt:variant>
        <vt:i4>5</vt:i4>
      </vt:variant>
      <vt:variant>
        <vt:lpwstr/>
      </vt:variant>
      <vt:variant>
        <vt:lpwstr>_Toc508799947</vt:lpwstr>
      </vt:variant>
      <vt:variant>
        <vt:i4>1900605</vt:i4>
      </vt:variant>
      <vt:variant>
        <vt:i4>290</vt:i4>
      </vt:variant>
      <vt:variant>
        <vt:i4>0</vt:i4>
      </vt:variant>
      <vt:variant>
        <vt:i4>5</vt:i4>
      </vt:variant>
      <vt:variant>
        <vt:lpwstr/>
      </vt:variant>
      <vt:variant>
        <vt:lpwstr>_Toc508799945</vt:lpwstr>
      </vt:variant>
      <vt:variant>
        <vt:i4>1900605</vt:i4>
      </vt:variant>
      <vt:variant>
        <vt:i4>284</vt:i4>
      </vt:variant>
      <vt:variant>
        <vt:i4>0</vt:i4>
      </vt:variant>
      <vt:variant>
        <vt:i4>5</vt:i4>
      </vt:variant>
      <vt:variant>
        <vt:lpwstr/>
      </vt:variant>
      <vt:variant>
        <vt:lpwstr>_Toc508799944</vt:lpwstr>
      </vt:variant>
      <vt:variant>
        <vt:i4>1703997</vt:i4>
      </vt:variant>
      <vt:variant>
        <vt:i4>278</vt:i4>
      </vt:variant>
      <vt:variant>
        <vt:i4>0</vt:i4>
      </vt:variant>
      <vt:variant>
        <vt:i4>5</vt:i4>
      </vt:variant>
      <vt:variant>
        <vt:lpwstr/>
      </vt:variant>
      <vt:variant>
        <vt:lpwstr>_Toc508799933</vt:lpwstr>
      </vt:variant>
      <vt:variant>
        <vt:i4>1703997</vt:i4>
      </vt:variant>
      <vt:variant>
        <vt:i4>272</vt:i4>
      </vt:variant>
      <vt:variant>
        <vt:i4>0</vt:i4>
      </vt:variant>
      <vt:variant>
        <vt:i4>5</vt:i4>
      </vt:variant>
      <vt:variant>
        <vt:lpwstr/>
      </vt:variant>
      <vt:variant>
        <vt:lpwstr>_Toc508799932</vt:lpwstr>
      </vt:variant>
      <vt:variant>
        <vt:i4>1703997</vt:i4>
      </vt:variant>
      <vt:variant>
        <vt:i4>266</vt:i4>
      </vt:variant>
      <vt:variant>
        <vt:i4>0</vt:i4>
      </vt:variant>
      <vt:variant>
        <vt:i4>5</vt:i4>
      </vt:variant>
      <vt:variant>
        <vt:lpwstr/>
      </vt:variant>
      <vt:variant>
        <vt:lpwstr>_Toc508799931</vt:lpwstr>
      </vt:variant>
      <vt:variant>
        <vt:i4>1703997</vt:i4>
      </vt:variant>
      <vt:variant>
        <vt:i4>260</vt:i4>
      </vt:variant>
      <vt:variant>
        <vt:i4>0</vt:i4>
      </vt:variant>
      <vt:variant>
        <vt:i4>5</vt:i4>
      </vt:variant>
      <vt:variant>
        <vt:lpwstr/>
      </vt:variant>
      <vt:variant>
        <vt:lpwstr>_Toc508799930</vt:lpwstr>
      </vt:variant>
      <vt:variant>
        <vt:i4>1769533</vt:i4>
      </vt:variant>
      <vt:variant>
        <vt:i4>254</vt:i4>
      </vt:variant>
      <vt:variant>
        <vt:i4>0</vt:i4>
      </vt:variant>
      <vt:variant>
        <vt:i4>5</vt:i4>
      </vt:variant>
      <vt:variant>
        <vt:lpwstr/>
      </vt:variant>
      <vt:variant>
        <vt:lpwstr>_Toc508799929</vt:lpwstr>
      </vt:variant>
      <vt:variant>
        <vt:i4>1769533</vt:i4>
      </vt:variant>
      <vt:variant>
        <vt:i4>248</vt:i4>
      </vt:variant>
      <vt:variant>
        <vt:i4>0</vt:i4>
      </vt:variant>
      <vt:variant>
        <vt:i4>5</vt:i4>
      </vt:variant>
      <vt:variant>
        <vt:lpwstr/>
      </vt:variant>
      <vt:variant>
        <vt:lpwstr>_Toc508799928</vt:lpwstr>
      </vt:variant>
      <vt:variant>
        <vt:i4>1769533</vt:i4>
      </vt:variant>
      <vt:variant>
        <vt:i4>242</vt:i4>
      </vt:variant>
      <vt:variant>
        <vt:i4>0</vt:i4>
      </vt:variant>
      <vt:variant>
        <vt:i4>5</vt:i4>
      </vt:variant>
      <vt:variant>
        <vt:lpwstr/>
      </vt:variant>
      <vt:variant>
        <vt:lpwstr>_Toc508799927</vt:lpwstr>
      </vt:variant>
      <vt:variant>
        <vt:i4>1769533</vt:i4>
      </vt:variant>
      <vt:variant>
        <vt:i4>236</vt:i4>
      </vt:variant>
      <vt:variant>
        <vt:i4>0</vt:i4>
      </vt:variant>
      <vt:variant>
        <vt:i4>5</vt:i4>
      </vt:variant>
      <vt:variant>
        <vt:lpwstr/>
      </vt:variant>
      <vt:variant>
        <vt:lpwstr>_Toc508799926</vt:lpwstr>
      </vt:variant>
      <vt:variant>
        <vt:i4>1769533</vt:i4>
      </vt:variant>
      <vt:variant>
        <vt:i4>230</vt:i4>
      </vt:variant>
      <vt:variant>
        <vt:i4>0</vt:i4>
      </vt:variant>
      <vt:variant>
        <vt:i4>5</vt:i4>
      </vt:variant>
      <vt:variant>
        <vt:lpwstr/>
      </vt:variant>
      <vt:variant>
        <vt:lpwstr>_Toc508799925</vt:lpwstr>
      </vt:variant>
      <vt:variant>
        <vt:i4>1769533</vt:i4>
      </vt:variant>
      <vt:variant>
        <vt:i4>224</vt:i4>
      </vt:variant>
      <vt:variant>
        <vt:i4>0</vt:i4>
      </vt:variant>
      <vt:variant>
        <vt:i4>5</vt:i4>
      </vt:variant>
      <vt:variant>
        <vt:lpwstr/>
      </vt:variant>
      <vt:variant>
        <vt:lpwstr>_Toc508799924</vt:lpwstr>
      </vt:variant>
      <vt:variant>
        <vt:i4>1769533</vt:i4>
      </vt:variant>
      <vt:variant>
        <vt:i4>218</vt:i4>
      </vt:variant>
      <vt:variant>
        <vt:i4>0</vt:i4>
      </vt:variant>
      <vt:variant>
        <vt:i4>5</vt:i4>
      </vt:variant>
      <vt:variant>
        <vt:lpwstr/>
      </vt:variant>
      <vt:variant>
        <vt:lpwstr>_Toc508799923</vt:lpwstr>
      </vt:variant>
      <vt:variant>
        <vt:i4>1769533</vt:i4>
      </vt:variant>
      <vt:variant>
        <vt:i4>212</vt:i4>
      </vt:variant>
      <vt:variant>
        <vt:i4>0</vt:i4>
      </vt:variant>
      <vt:variant>
        <vt:i4>5</vt:i4>
      </vt:variant>
      <vt:variant>
        <vt:lpwstr/>
      </vt:variant>
      <vt:variant>
        <vt:lpwstr>_Toc508799922</vt:lpwstr>
      </vt:variant>
      <vt:variant>
        <vt:i4>1769533</vt:i4>
      </vt:variant>
      <vt:variant>
        <vt:i4>206</vt:i4>
      </vt:variant>
      <vt:variant>
        <vt:i4>0</vt:i4>
      </vt:variant>
      <vt:variant>
        <vt:i4>5</vt:i4>
      </vt:variant>
      <vt:variant>
        <vt:lpwstr/>
      </vt:variant>
      <vt:variant>
        <vt:lpwstr>_Toc508799921</vt:lpwstr>
      </vt:variant>
      <vt:variant>
        <vt:i4>1769533</vt:i4>
      </vt:variant>
      <vt:variant>
        <vt:i4>200</vt:i4>
      </vt:variant>
      <vt:variant>
        <vt:i4>0</vt:i4>
      </vt:variant>
      <vt:variant>
        <vt:i4>5</vt:i4>
      </vt:variant>
      <vt:variant>
        <vt:lpwstr/>
      </vt:variant>
      <vt:variant>
        <vt:lpwstr>_Toc508799920</vt:lpwstr>
      </vt:variant>
      <vt:variant>
        <vt:i4>1572925</vt:i4>
      </vt:variant>
      <vt:variant>
        <vt:i4>194</vt:i4>
      </vt:variant>
      <vt:variant>
        <vt:i4>0</vt:i4>
      </vt:variant>
      <vt:variant>
        <vt:i4>5</vt:i4>
      </vt:variant>
      <vt:variant>
        <vt:lpwstr/>
      </vt:variant>
      <vt:variant>
        <vt:lpwstr>_Toc508799919</vt:lpwstr>
      </vt:variant>
      <vt:variant>
        <vt:i4>1572925</vt:i4>
      </vt:variant>
      <vt:variant>
        <vt:i4>188</vt:i4>
      </vt:variant>
      <vt:variant>
        <vt:i4>0</vt:i4>
      </vt:variant>
      <vt:variant>
        <vt:i4>5</vt:i4>
      </vt:variant>
      <vt:variant>
        <vt:lpwstr/>
      </vt:variant>
      <vt:variant>
        <vt:lpwstr>_Toc508799918</vt:lpwstr>
      </vt:variant>
      <vt:variant>
        <vt:i4>1572925</vt:i4>
      </vt:variant>
      <vt:variant>
        <vt:i4>182</vt:i4>
      </vt:variant>
      <vt:variant>
        <vt:i4>0</vt:i4>
      </vt:variant>
      <vt:variant>
        <vt:i4>5</vt:i4>
      </vt:variant>
      <vt:variant>
        <vt:lpwstr/>
      </vt:variant>
      <vt:variant>
        <vt:lpwstr>_Toc508799917</vt:lpwstr>
      </vt:variant>
      <vt:variant>
        <vt:i4>1572925</vt:i4>
      </vt:variant>
      <vt:variant>
        <vt:i4>176</vt:i4>
      </vt:variant>
      <vt:variant>
        <vt:i4>0</vt:i4>
      </vt:variant>
      <vt:variant>
        <vt:i4>5</vt:i4>
      </vt:variant>
      <vt:variant>
        <vt:lpwstr/>
      </vt:variant>
      <vt:variant>
        <vt:lpwstr>_Toc508799916</vt:lpwstr>
      </vt:variant>
      <vt:variant>
        <vt:i4>1572925</vt:i4>
      </vt:variant>
      <vt:variant>
        <vt:i4>170</vt:i4>
      </vt:variant>
      <vt:variant>
        <vt:i4>0</vt:i4>
      </vt:variant>
      <vt:variant>
        <vt:i4>5</vt:i4>
      </vt:variant>
      <vt:variant>
        <vt:lpwstr/>
      </vt:variant>
      <vt:variant>
        <vt:lpwstr>_Toc508799915</vt:lpwstr>
      </vt:variant>
      <vt:variant>
        <vt:i4>1572925</vt:i4>
      </vt:variant>
      <vt:variant>
        <vt:i4>164</vt:i4>
      </vt:variant>
      <vt:variant>
        <vt:i4>0</vt:i4>
      </vt:variant>
      <vt:variant>
        <vt:i4>5</vt:i4>
      </vt:variant>
      <vt:variant>
        <vt:lpwstr/>
      </vt:variant>
      <vt:variant>
        <vt:lpwstr>_Toc508799914</vt:lpwstr>
      </vt:variant>
      <vt:variant>
        <vt:i4>1572925</vt:i4>
      </vt:variant>
      <vt:variant>
        <vt:i4>158</vt:i4>
      </vt:variant>
      <vt:variant>
        <vt:i4>0</vt:i4>
      </vt:variant>
      <vt:variant>
        <vt:i4>5</vt:i4>
      </vt:variant>
      <vt:variant>
        <vt:lpwstr/>
      </vt:variant>
      <vt:variant>
        <vt:lpwstr>_Toc508799913</vt:lpwstr>
      </vt:variant>
      <vt:variant>
        <vt:i4>1572925</vt:i4>
      </vt:variant>
      <vt:variant>
        <vt:i4>152</vt:i4>
      </vt:variant>
      <vt:variant>
        <vt:i4>0</vt:i4>
      </vt:variant>
      <vt:variant>
        <vt:i4>5</vt:i4>
      </vt:variant>
      <vt:variant>
        <vt:lpwstr/>
      </vt:variant>
      <vt:variant>
        <vt:lpwstr>_Toc508799912</vt:lpwstr>
      </vt:variant>
      <vt:variant>
        <vt:i4>1572925</vt:i4>
      </vt:variant>
      <vt:variant>
        <vt:i4>146</vt:i4>
      </vt:variant>
      <vt:variant>
        <vt:i4>0</vt:i4>
      </vt:variant>
      <vt:variant>
        <vt:i4>5</vt:i4>
      </vt:variant>
      <vt:variant>
        <vt:lpwstr/>
      </vt:variant>
      <vt:variant>
        <vt:lpwstr>_Toc508799911</vt:lpwstr>
      </vt:variant>
      <vt:variant>
        <vt:i4>1572925</vt:i4>
      </vt:variant>
      <vt:variant>
        <vt:i4>140</vt:i4>
      </vt:variant>
      <vt:variant>
        <vt:i4>0</vt:i4>
      </vt:variant>
      <vt:variant>
        <vt:i4>5</vt:i4>
      </vt:variant>
      <vt:variant>
        <vt:lpwstr/>
      </vt:variant>
      <vt:variant>
        <vt:lpwstr>_Toc508799910</vt:lpwstr>
      </vt:variant>
      <vt:variant>
        <vt:i4>1638461</vt:i4>
      </vt:variant>
      <vt:variant>
        <vt:i4>134</vt:i4>
      </vt:variant>
      <vt:variant>
        <vt:i4>0</vt:i4>
      </vt:variant>
      <vt:variant>
        <vt:i4>5</vt:i4>
      </vt:variant>
      <vt:variant>
        <vt:lpwstr/>
      </vt:variant>
      <vt:variant>
        <vt:lpwstr>_Toc508799909</vt:lpwstr>
      </vt:variant>
      <vt:variant>
        <vt:i4>1638461</vt:i4>
      </vt:variant>
      <vt:variant>
        <vt:i4>128</vt:i4>
      </vt:variant>
      <vt:variant>
        <vt:i4>0</vt:i4>
      </vt:variant>
      <vt:variant>
        <vt:i4>5</vt:i4>
      </vt:variant>
      <vt:variant>
        <vt:lpwstr/>
      </vt:variant>
      <vt:variant>
        <vt:lpwstr>_Toc508799908</vt:lpwstr>
      </vt:variant>
      <vt:variant>
        <vt:i4>1638461</vt:i4>
      </vt:variant>
      <vt:variant>
        <vt:i4>122</vt:i4>
      </vt:variant>
      <vt:variant>
        <vt:i4>0</vt:i4>
      </vt:variant>
      <vt:variant>
        <vt:i4>5</vt:i4>
      </vt:variant>
      <vt:variant>
        <vt:lpwstr/>
      </vt:variant>
      <vt:variant>
        <vt:lpwstr>_Toc508799907</vt:lpwstr>
      </vt:variant>
      <vt:variant>
        <vt:i4>1638461</vt:i4>
      </vt:variant>
      <vt:variant>
        <vt:i4>116</vt:i4>
      </vt:variant>
      <vt:variant>
        <vt:i4>0</vt:i4>
      </vt:variant>
      <vt:variant>
        <vt:i4>5</vt:i4>
      </vt:variant>
      <vt:variant>
        <vt:lpwstr/>
      </vt:variant>
      <vt:variant>
        <vt:lpwstr>_Toc508799906</vt:lpwstr>
      </vt:variant>
      <vt:variant>
        <vt:i4>1638461</vt:i4>
      </vt:variant>
      <vt:variant>
        <vt:i4>110</vt:i4>
      </vt:variant>
      <vt:variant>
        <vt:i4>0</vt:i4>
      </vt:variant>
      <vt:variant>
        <vt:i4>5</vt:i4>
      </vt:variant>
      <vt:variant>
        <vt:lpwstr/>
      </vt:variant>
      <vt:variant>
        <vt:lpwstr>_Toc508799905</vt:lpwstr>
      </vt:variant>
      <vt:variant>
        <vt:i4>1638461</vt:i4>
      </vt:variant>
      <vt:variant>
        <vt:i4>104</vt:i4>
      </vt:variant>
      <vt:variant>
        <vt:i4>0</vt:i4>
      </vt:variant>
      <vt:variant>
        <vt:i4>5</vt:i4>
      </vt:variant>
      <vt:variant>
        <vt:lpwstr/>
      </vt:variant>
      <vt:variant>
        <vt:lpwstr>_Toc508799904</vt:lpwstr>
      </vt:variant>
      <vt:variant>
        <vt:i4>1638461</vt:i4>
      </vt:variant>
      <vt:variant>
        <vt:i4>98</vt:i4>
      </vt:variant>
      <vt:variant>
        <vt:i4>0</vt:i4>
      </vt:variant>
      <vt:variant>
        <vt:i4>5</vt:i4>
      </vt:variant>
      <vt:variant>
        <vt:lpwstr/>
      </vt:variant>
      <vt:variant>
        <vt:lpwstr>_Toc508799903</vt:lpwstr>
      </vt:variant>
      <vt:variant>
        <vt:i4>1638461</vt:i4>
      </vt:variant>
      <vt:variant>
        <vt:i4>92</vt:i4>
      </vt:variant>
      <vt:variant>
        <vt:i4>0</vt:i4>
      </vt:variant>
      <vt:variant>
        <vt:i4>5</vt:i4>
      </vt:variant>
      <vt:variant>
        <vt:lpwstr/>
      </vt:variant>
      <vt:variant>
        <vt:lpwstr>_Toc508799902</vt:lpwstr>
      </vt:variant>
      <vt:variant>
        <vt:i4>1638461</vt:i4>
      </vt:variant>
      <vt:variant>
        <vt:i4>86</vt:i4>
      </vt:variant>
      <vt:variant>
        <vt:i4>0</vt:i4>
      </vt:variant>
      <vt:variant>
        <vt:i4>5</vt:i4>
      </vt:variant>
      <vt:variant>
        <vt:lpwstr/>
      </vt:variant>
      <vt:variant>
        <vt:lpwstr>_Toc508799901</vt:lpwstr>
      </vt:variant>
      <vt:variant>
        <vt:i4>1638461</vt:i4>
      </vt:variant>
      <vt:variant>
        <vt:i4>80</vt:i4>
      </vt:variant>
      <vt:variant>
        <vt:i4>0</vt:i4>
      </vt:variant>
      <vt:variant>
        <vt:i4>5</vt:i4>
      </vt:variant>
      <vt:variant>
        <vt:lpwstr/>
      </vt:variant>
      <vt:variant>
        <vt:lpwstr>_Toc508799900</vt:lpwstr>
      </vt:variant>
      <vt:variant>
        <vt:i4>1048636</vt:i4>
      </vt:variant>
      <vt:variant>
        <vt:i4>74</vt:i4>
      </vt:variant>
      <vt:variant>
        <vt:i4>0</vt:i4>
      </vt:variant>
      <vt:variant>
        <vt:i4>5</vt:i4>
      </vt:variant>
      <vt:variant>
        <vt:lpwstr/>
      </vt:variant>
      <vt:variant>
        <vt:lpwstr>_Toc508799899</vt:lpwstr>
      </vt:variant>
      <vt:variant>
        <vt:i4>1048636</vt:i4>
      </vt:variant>
      <vt:variant>
        <vt:i4>68</vt:i4>
      </vt:variant>
      <vt:variant>
        <vt:i4>0</vt:i4>
      </vt:variant>
      <vt:variant>
        <vt:i4>5</vt:i4>
      </vt:variant>
      <vt:variant>
        <vt:lpwstr/>
      </vt:variant>
      <vt:variant>
        <vt:lpwstr>_Toc508799898</vt:lpwstr>
      </vt:variant>
      <vt:variant>
        <vt:i4>1048636</vt:i4>
      </vt:variant>
      <vt:variant>
        <vt:i4>62</vt:i4>
      </vt:variant>
      <vt:variant>
        <vt:i4>0</vt:i4>
      </vt:variant>
      <vt:variant>
        <vt:i4>5</vt:i4>
      </vt:variant>
      <vt:variant>
        <vt:lpwstr/>
      </vt:variant>
      <vt:variant>
        <vt:lpwstr>_Toc508799897</vt:lpwstr>
      </vt:variant>
      <vt:variant>
        <vt:i4>1048636</vt:i4>
      </vt:variant>
      <vt:variant>
        <vt:i4>56</vt:i4>
      </vt:variant>
      <vt:variant>
        <vt:i4>0</vt:i4>
      </vt:variant>
      <vt:variant>
        <vt:i4>5</vt:i4>
      </vt:variant>
      <vt:variant>
        <vt:lpwstr/>
      </vt:variant>
      <vt:variant>
        <vt:lpwstr>_Toc508799896</vt:lpwstr>
      </vt:variant>
      <vt:variant>
        <vt:i4>1048636</vt:i4>
      </vt:variant>
      <vt:variant>
        <vt:i4>50</vt:i4>
      </vt:variant>
      <vt:variant>
        <vt:i4>0</vt:i4>
      </vt:variant>
      <vt:variant>
        <vt:i4>5</vt:i4>
      </vt:variant>
      <vt:variant>
        <vt:lpwstr/>
      </vt:variant>
      <vt:variant>
        <vt:lpwstr>_Toc508799895</vt:lpwstr>
      </vt:variant>
      <vt:variant>
        <vt:i4>1048636</vt:i4>
      </vt:variant>
      <vt:variant>
        <vt:i4>44</vt:i4>
      </vt:variant>
      <vt:variant>
        <vt:i4>0</vt:i4>
      </vt:variant>
      <vt:variant>
        <vt:i4>5</vt:i4>
      </vt:variant>
      <vt:variant>
        <vt:lpwstr/>
      </vt:variant>
      <vt:variant>
        <vt:lpwstr>_Toc508799894</vt:lpwstr>
      </vt:variant>
      <vt:variant>
        <vt:i4>1048636</vt:i4>
      </vt:variant>
      <vt:variant>
        <vt:i4>38</vt:i4>
      </vt:variant>
      <vt:variant>
        <vt:i4>0</vt:i4>
      </vt:variant>
      <vt:variant>
        <vt:i4>5</vt:i4>
      </vt:variant>
      <vt:variant>
        <vt:lpwstr/>
      </vt:variant>
      <vt:variant>
        <vt:lpwstr>_Toc508799893</vt:lpwstr>
      </vt:variant>
      <vt:variant>
        <vt:i4>1048636</vt:i4>
      </vt:variant>
      <vt:variant>
        <vt:i4>32</vt:i4>
      </vt:variant>
      <vt:variant>
        <vt:i4>0</vt:i4>
      </vt:variant>
      <vt:variant>
        <vt:i4>5</vt:i4>
      </vt:variant>
      <vt:variant>
        <vt:lpwstr/>
      </vt:variant>
      <vt:variant>
        <vt:lpwstr>_Toc508799892</vt:lpwstr>
      </vt:variant>
      <vt:variant>
        <vt:i4>1048636</vt:i4>
      </vt:variant>
      <vt:variant>
        <vt:i4>26</vt:i4>
      </vt:variant>
      <vt:variant>
        <vt:i4>0</vt:i4>
      </vt:variant>
      <vt:variant>
        <vt:i4>5</vt:i4>
      </vt:variant>
      <vt:variant>
        <vt:lpwstr/>
      </vt:variant>
      <vt:variant>
        <vt:lpwstr>_Toc508799891</vt:lpwstr>
      </vt:variant>
      <vt:variant>
        <vt:i4>1048636</vt:i4>
      </vt:variant>
      <vt:variant>
        <vt:i4>20</vt:i4>
      </vt:variant>
      <vt:variant>
        <vt:i4>0</vt:i4>
      </vt:variant>
      <vt:variant>
        <vt:i4>5</vt:i4>
      </vt:variant>
      <vt:variant>
        <vt:lpwstr/>
      </vt:variant>
      <vt:variant>
        <vt:lpwstr>_Toc508799890</vt:lpwstr>
      </vt:variant>
      <vt:variant>
        <vt:i4>1114172</vt:i4>
      </vt:variant>
      <vt:variant>
        <vt:i4>14</vt:i4>
      </vt:variant>
      <vt:variant>
        <vt:i4>0</vt:i4>
      </vt:variant>
      <vt:variant>
        <vt:i4>5</vt:i4>
      </vt:variant>
      <vt:variant>
        <vt:lpwstr/>
      </vt:variant>
      <vt:variant>
        <vt:lpwstr>_Toc508799889</vt:lpwstr>
      </vt:variant>
      <vt:variant>
        <vt:i4>1114172</vt:i4>
      </vt:variant>
      <vt:variant>
        <vt:i4>8</vt:i4>
      </vt:variant>
      <vt:variant>
        <vt:i4>0</vt:i4>
      </vt:variant>
      <vt:variant>
        <vt:i4>5</vt:i4>
      </vt:variant>
      <vt:variant>
        <vt:lpwstr/>
      </vt:variant>
      <vt:variant>
        <vt:lpwstr>_Toc508799888</vt:lpwstr>
      </vt:variant>
      <vt:variant>
        <vt:i4>1114172</vt:i4>
      </vt:variant>
      <vt:variant>
        <vt:i4>2</vt:i4>
      </vt:variant>
      <vt:variant>
        <vt:i4>0</vt:i4>
      </vt:variant>
      <vt:variant>
        <vt:i4>5</vt:i4>
      </vt:variant>
      <vt:variant>
        <vt:lpwstr/>
      </vt:variant>
      <vt:variant>
        <vt:lpwstr>_Toc508799887</vt:lpwstr>
      </vt:variant>
      <vt:variant>
        <vt:i4>393318</vt:i4>
      </vt:variant>
      <vt:variant>
        <vt:i4>267</vt:i4>
      </vt:variant>
      <vt:variant>
        <vt:i4>0</vt:i4>
      </vt:variant>
      <vt:variant>
        <vt:i4>5</vt:i4>
      </vt:variant>
      <vt:variant>
        <vt:lpwstr>https://www.bmlfuw.gv.at/umwelt/klimaschutz/klimapolitik_national/anpassungsstrategie/strategie-kontext.html</vt:lpwstr>
      </vt:variant>
      <vt:variant>
        <vt:lpwstr/>
      </vt:variant>
      <vt:variant>
        <vt:i4>3866665</vt:i4>
      </vt:variant>
      <vt:variant>
        <vt:i4>264</vt:i4>
      </vt:variant>
      <vt:variant>
        <vt:i4>0</vt:i4>
      </vt:variant>
      <vt:variant>
        <vt:i4>5</vt:i4>
      </vt:variant>
      <vt:variant>
        <vt:lpwstr>https://unfccc.int/files/adaptation/methodologies_for/vulnerability_and_adaptation/application/pdf/consolidated_version_updated_021204.pdf</vt:lpwstr>
      </vt:variant>
      <vt:variant>
        <vt:lpwstr/>
      </vt:variant>
      <vt:variant>
        <vt:i4>1048581</vt:i4>
      </vt:variant>
      <vt:variant>
        <vt:i4>261</vt:i4>
      </vt:variant>
      <vt:variant>
        <vt:i4>0</vt:i4>
      </vt:variant>
      <vt:variant>
        <vt:i4>5</vt:i4>
      </vt:variant>
      <vt:variant>
        <vt:lpwstr>http://www.inspirebg.eu/</vt:lpwstr>
      </vt:variant>
      <vt:variant>
        <vt:lpwstr/>
      </vt:variant>
      <vt:variant>
        <vt:i4>6553659</vt:i4>
      </vt:variant>
      <vt:variant>
        <vt:i4>258</vt:i4>
      </vt:variant>
      <vt:variant>
        <vt:i4>0</vt:i4>
      </vt:variant>
      <vt:variant>
        <vt:i4>5</vt:i4>
      </vt:variant>
      <vt:variant>
        <vt:lpwstr>http://climate-adapt.eea.europa.eu/adaptation-support-tool/step</vt:lpwstr>
      </vt:variant>
      <vt:variant>
        <vt:lpwstr/>
      </vt:variant>
      <vt:variant>
        <vt:i4>4784143</vt:i4>
      </vt:variant>
      <vt:variant>
        <vt:i4>255</vt:i4>
      </vt:variant>
      <vt:variant>
        <vt:i4>0</vt:i4>
      </vt:variant>
      <vt:variant>
        <vt:i4>5</vt:i4>
      </vt:variant>
      <vt:variant>
        <vt:lpwstr>http://eur-lex.europa.eu/legal-content/EN/TXT/?uri=CELEX:52013SC0134</vt:lpwstr>
      </vt:variant>
      <vt:variant>
        <vt:lpwstr/>
      </vt:variant>
      <vt:variant>
        <vt:i4>4063319</vt:i4>
      </vt:variant>
      <vt:variant>
        <vt:i4>252</vt:i4>
      </vt:variant>
      <vt:variant>
        <vt:i4>0</vt:i4>
      </vt:variant>
      <vt:variant>
        <vt:i4>5</vt:i4>
      </vt:variant>
      <vt:variant>
        <vt:lpwstr>https://www.gov.uk/government/uploads/system/uploads/attachment_data/file/209866/pb13942-nap-20130701.pdf</vt:lpwstr>
      </vt:variant>
      <vt:variant>
        <vt:lpwstr/>
      </vt:variant>
      <vt:variant>
        <vt:i4>4915228</vt:i4>
      </vt:variant>
      <vt:variant>
        <vt:i4>249</vt:i4>
      </vt:variant>
      <vt:variant>
        <vt:i4>0</vt:i4>
      </vt:variant>
      <vt:variant>
        <vt:i4>5</vt:i4>
      </vt:variant>
      <vt:variant>
        <vt:lpwstr>http://www.ukcip.org.uk/wp-content/PDFs/ID_Adapt_options.pdf</vt:lpwstr>
      </vt:variant>
      <vt:variant>
        <vt:lpwstr/>
      </vt:variant>
      <vt:variant>
        <vt:i4>393318</vt:i4>
      </vt:variant>
      <vt:variant>
        <vt:i4>246</vt:i4>
      </vt:variant>
      <vt:variant>
        <vt:i4>0</vt:i4>
      </vt:variant>
      <vt:variant>
        <vt:i4>5</vt:i4>
      </vt:variant>
      <vt:variant>
        <vt:lpwstr>https://www.bmlfuw.gv.at/umwelt/klimaschutz/klimapolitik_national/anpassungsstrategie/strategie-kontext.html</vt:lpwstr>
      </vt:variant>
      <vt:variant>
        <vt:lpwstr/>
      </vt:variant>
      <vt:variant>
        <vt:i4>1048638</vt:i4>
      </vt:variant>
      <vt:variant>
        <vt:i4>243</vt:i4>
      </vt:variant>
      <vt:variant>
        <vt:i4>0</vt:i4>
      </vt:variant>
      <vt:variant>
        <vt:i4>5</vt:i4>
      </vt:variant>
      <vt:variant>
        <vt:lpwstr>http://acm.eionet.europa.eu/docs/ETCACC_TP_2010_6_guiding_principles_cc_adaptation.pdf</vt:lpwstr>
      </vt:variant>
      <vt:variant>
        <vt:lpwstr/>
      </vt:variant>
      <vt:variant>
        <vt:i4>8126577</vt:i4>
      </vt:variant>
      <vt:variant>
        <vt:i4>240</vt:i4>
      </vt:variant>
      <vt:variant>
        <vt:i4>0</vt:i4>
      </vt:variant>
      <vt:variant>
        <vt:i4>5</vt:i4>
      </vt:variant>
      <vt:variant>
        <vt:lpwstr>http://www.mrrb.government.bg/nacionalna-programa-za-prevenciya-i-ogranichavane-na-svlachistata-na-teritoriyata-na-republika-bulgariya-eroziyata-i-abraziyata-po-dunavskoto-i-chernomorskoto-krajbrejie-2015-2020-g-i-dopulnenie-kum-neya-s-novovuzniknali-77199/</vt:lpwstr>
      </vt:variant>
      <vt:variant>
        <vt:lpwstr/>
      </vt:variant>
      <vt:variant>
        <vt:i4>4784248</vt:i4>
      </vt:variant>
      <vt:variant>
        <vt:i4>237</vt:i4>
      </vt:variant>
      <vt:variant>
        <vt:i4>0</vt:i4>
      </vt:variant>
      <vt:variant>
        <vt:i4>5</vt:i4>
      </vt:variant>
      <vt:variant>
        <vt:lpwstr>http://www.nspbzn.mvr.bg/NR/rdonlyres/317033AA-E99D-4C51-AC8E-DB37272F2866/0/NPZB_20142018.pdf</vt:lpwstr>
      </vt:variant>
      <vt:variant>
        <vt:lpwstr/>
      </vt:variant>
      <vt:variant>
        <vt:i4>589866</vt:i4>
      </vt:variant>
      <vt:variant>
        <vt:i4>234</vt:i4>
      </vt:variant>
      <vt:variant>
        <vt:i4>0</vt:i4>
      </vt:variant>
      <vt:variant>
        <vt:i4>5</vt:i4>
      </vt:variant>
      <vt:variant>
        <vt:lpwstr>http://www.nspbzn.mvr.bg/NR/rdonlyres/DA55BDC6-488B-4223-A81E-7BBE41A548D1/0/DRR_Strategy.pdf</vt:lpwstr>
      </vt:variant>
      <vt:variant>
        <vt:lpwstr/>
      </vt:variant>
      <vt:variant>
        <vt:i4>5242943</vt:i4>
      </vt:variant>
      <vt:variant>
        <vt:i4>231</vt:i4>
      </vt:variant>
      <vt:variant>
        <vt:i4>0</vt:i4>
      </vt:variant>
      <vt:variant>
        <vt:i4>5</vt:i4>
      </vt:variant>
      <vt:variant>
        <vt:lpwstr>http://ec.europa.eu/environment/iczm/prop_iczm.htm</vt:lpwstr>
      </vt:variant>
      <vt:variant>
        <vt:lpwstr/>
      </vt:variant>
      <vt:variant>
        <vt:i4>2752552</vt:i4>
      </vt:variant>
      <vt:variant>
        <vt:i4>228</vt:i4>
      </vt:variant>
      <vt:variant>
        <vt:i4>0</vt:i4>
      </vt:variant>
      <vt:variant>
        <vt:i4>5</vt:i4>
      </vt:variant>
      <vt:variant>
        <vt:lpwstr>http://www.eib.org/projects/pipelines/pipeline/20160039</vt:lpwstr>
      </vt:variant>
      <vt:variant>
        <vt:lpwstr/>
      </vt:variant>
      <vt:variant>
        <vt:i4>1048607</vt:i4>
      </vt:variant>
      <vt:variant>
        <vt:i4>225</vt:i4>
      </vt:variant>
      <vt:variant>
        <vt:i4>0</vt:i4>
      </vt:variant>
      <vt:variant>
        <vt:i4>5</vt:i4>
      </vt:variant>
      <vt:variant>
        <vt:lpwstr>https://www.researchgate.net/publication/237259668_MyCOAST_Transferring_the_integrated_area_approach_to_Bulgaria</vt:lpwstr>
      </vt:variant>
      <vt:variant>
        <vt:lpwstr/>
      </vt:variant>
      <vt:variant>
        <vt:i4>5636108</vt:i4>
      </vt:variant>
      <vt:variant>
        <vt:i4>222</vt:i4>
      </vt:variant>
      <vt:variant>
        <vt:i4>0</vt:i4>
      </vt:variant>
      <vt:variant>
        <vt:i4>5</vt:i4>
      </vt:variant>
      <vt:variant>
        <vt:lpwstr>http://www.strategy.bg/StrategicDocuments/View.aspx?lang=bg-BG&amp;Id=899</vt:lpwstr>
      </vt:variant>
      <vt:variant>
        <vt:lpwstr/>
      </vt:variant>
      <vt:variant>
        <vt:i4>5832707</vt:i4>
      </vt:variant>
      <vt:variant>
        <vt:i4>219</vt:i4>
      </vt:variant>
      <vt:variant>
        <vt:i4>0</vt:i4>
      </vt:variant>
      <vt:variant>
        <vt:i4>5</vt:i4>
      </vt:variant>
      <vt:variant>
        <vt:lpwstr>http://www.strategy.bg/StrategicDocuments/View.aspx?lang=bg-BG&amp;Id=760</vt:lpwstr>
      </vt:variant>
      <vt:variant>
        <vt:lpwstr/>
      </vt:variant>
      <vt:variant>
        <vt:i4>5832718</vt:i4>
      </vt:variant>
      <vt:variant>
        <vt:i4>216</vt:i4>
      </vt:variant>
      <vt:variant>
        <vt:i4>0</vt:i4>
      </vt:variant>
      <vt:variant>
        <vt:i4>5</vt:i4>
      </vt:variant>
      <vt:variant>
        <vt:lpwstr>http://www.eclas.org/</vt:lpwstr>
      </vt:variant>
      <vt:variant>
        <vt:lpwstr/>
      </vt:variant>
      <vt:variant>
        <vt:i4>917590</vt:i4>
      </vt:variant>
      <vt:variant>
        <vt:i4>213</vt:i4>
      </vt:variant>
      <vt:variant>
        <vt:i4>0</vt:i4>
      </vt:variant>
      <vt:variant>
        <vt:i4>5</vt:i4>
      </vt:variant>
      <vt:variant>
        <vt:lpwstr>http://www.eaae.be/historical-archive/eaae-prize/</vt:lpwstr>
      </vt:variant>
      <vt:variant>
        <vt:lpwstr/>
      </vt:variant>
      <vt:variant>
        <vt:i4>4587593</vt:i4>
      </vt:variant>
      <vt:variant>
        <vt:i4>210</vt:i4>
      </vt:variant>
      <vt:variant>
        <vt:i4>0</vt:i4>
      </vt:variant>
      <vt:variant>
        <vt:i4>5</vt:i4>
      </vt:variant>
      <vt:variant>
        <vt:lpwstr>https://aesopyoungacademics.wordpress.com/tag/climate-change/</vt:lpwstr>
      </vt:variant>
      <vt:variant>
        <vt:lpwstr/>
      </vt:variant>
      <vt:variant>
        <vt:i4>1572957</vt:i4>
      </vt:variant>
      <vt:variant>
        <vt:i4>207</vt:i4>
      </vt:variant>
      <vt:variant>
        <vt:i4>0</vt:i4>
      </vt:variant>
      <vt:variant>
        <vt:i4>5</vt:i4>
      </vt:variant>
      <vt:variant>
        <vt:lpwstr>https://www.tcpa.org.uk/</vt:lpwstr>
      </vt:variant>
      <vt:variant>
        <vt:lpwstr/>
      </vt:variant>
      <vt:variant>
        <vt:i4>2949155</vt:i4>
      </vt:variant>
      <vt:variant>
        <vt:i4>204</vt:i4>
      </vt:variant>
      <vt:variant>
        <vt:i4>0</vt:i4>
      </vt:variant>
      <vt:variant>
        <vt:i4>5</vt:i4>
      </vt:variant>
      <vt:variant>
        <vt:lpwstr>http://iflaeurope.eu/?s=Climate+change</vt:lpwstr>
      </vt:variant>
      <vt:variant>
        <vt:lpwstr/>
      </vt:variant>
      <vt:variant>
        <vt:i4>131191</vt:i4>
      </vt:variant>
      <vt:variant>
        <vt:i4>201</vt:i4>
      </vt:variant>
      <vt:variant>
        <vt:i4>0</vt:i4>
      </vt:variant>
      <vt:variant>
        <vt:i4>5</vt:i4>
      </vt:variant>
      <vt:variant>
        <vt:lpwstr>http://www.uia-architectes.org/en/exercer/nouvelles/10285</vt:lpwstr>
      </vt:variant>
      <vt:variant>
        <vt:lpwstr>.WPxjf_mGPIU</vt:lpwstr>
      </vt:variant>
      <vt:variant>
        <vt:i4>7798834</vt:i4>
      </vt:variant>
      <vt:variant>
        <vt:i4>198</vt:i4>
      </vt:variant>
      <vt:variant>
        <vt:i4>0</vt:i4>
      </vt:variant>
      <vt:variant>
        <vt:i4>5</vt:i4>
      </vt:variant>
      <vt:variant>
        <vt:lpwstr>https://isocarp.org/about-isocarp/</vt:lpwstr>
      </vt:variant>
      <vt:variant>
        <vt:lpwstr/>
      </vt:variant>
      <vt:variant>
        <vt:i4>3735635</vt:i4>
      </vt:variant>
      <vt:variant>
        <vt:i4>195</vt:i4>
      </vt:variant>
      <vt:variant>
        <vt:i4>0</vt:i4>
      </vt:variant>
      <vt:variant>
        <vt:i4>5</vt:i4>
      </vt:variant>
      <vt:variant>
        <vt:lpwstr>F:\CC_WB\CC_WB_2\COR\ACE http:\www.ace-cae.eu\39\</vt:lpwstr>
      </vt:variant>
      <vt:variant>
        <vt:lpwstr/>
      </vt:variant>
      <vt:variant>
        <vt:i4>2490471</vt:i4>
      </vt:variant>
      <vt:variant>
        <vt:i4>192</vt:i4>
      </vt:variant>
      <vt:variant>
        <vt:i4>0</vt:i4>
      </vt:variant>
      <vt:variant>
        <vt:i4>5</vt:i4>
      </vt:variant>
      <vt:variant>
        <vt:lpwstr>http://www.ectp-ceu.eu/index.php/en/about-us-2/founding-charter</vt:lpwstr>
      </vt:variant>
      <vt:variant>
        <vt:lpwstr/>
      </vt:variant>
      <vt:variant>
        <vt:i4>7536737</vt:i4>
      </vt:variant>
      <vt:variant>
        <vt:i4>189</vt:i4>
      </vt:variant>
      <vt:variant>
        <vt:i4>0</vt:i4>
      </vt:variant>
      <vt:variant>
        <vt:i4>5</vt:i4>
      </vt:variant>
      <vt:variant>
        <vt:lpwstr>http://www.ngobg.info/en/index.html</vt:lpwstr>
      </vt:variant>
      <vt:variant>
        <vt:lpwstr/>
      </vt:variant>
      <vt:variant>
        <vt:i4>7340143</vt:i4>
      </vt:variant>
      <vt:variant>
        <vt:i4>186</vt:i4>
      </vt:variant>
      <vt:variant>
        <vt:i4>0</vt:i4>
      </vt:variant>
      <vt:variant>
        <vt:i4>5</vt:i4>
      </vt:variant>
      <vt:variant>
        <vt:lpwstr>http://sofena.com/en/about-us/</vt:lpwstr>
      </vt:variant>
      <vt:variant>
        <vt:lpwstr/>
      </vt:variant>
      <vt:variant>
        <vt:i4>2621559</vt:i4>
      </vt:variant>
      <vt:variant>
        <vt:i4>183</vt:i4>
      </vt:variant>
      <vt:variant>
        <vt:i4>0</vt:i4>
      </vt:variant>
      <vt:variant>
        <vt:i4>5</vt:i4>
      </vt:variant>
      <vt:variant>
        <vt:lpwstr>http://www.bgbc.bg/en/</vt:lpwstr>
      </vt:variant>
      <vt:variant>
        <vt:lpwstr/>
      </vt:variant>
      <vt:variant>
        <vt:i4>3801117</vt:i4>
      </vt:variant>
      <vt:variant>
        <vt:i4>180</vt:i4>
      </vt:variant>
      <vt:variant>
        <vt:i4>0</vt:i4>
      </vt:variant>
      <vt:variant>
        <vt:i4>5</vt:i4>
      </vt:variant>
      <vt:variant>
        <vt:lpwstr>http://www.asde-bg.org/index_en.php</vt:lpwstr>
      </vt:variant>
      <vt:variant>
        <vt:lpwstr/>
      </vt:variant>
      <vt:variant>
        <vt:i4>6750251</vt:i4>
      </vt:variant>
      <vt:variant>
        <vt:i4>177</vt:i4>
      </vt:variant>
      <vt:variant>
        <vt:i4>0</vt:i4>
      </vt:variant>
      <vt:variant>
        <vt:i4>5</vt:i4>
      </vt:variant>
      <vt:variant>
        <vt:lpwstr>http://www.eneffect.bg/</vt:lpwstr>
      </vt:variant>
      <vt:variant>
        <vt:lpwstr/>
      </vt:variant>
      <vt:variant>
        <vt:i4>5832721</vt:i4>
      </vt:variant>
      <vt:variant>
        <vt:i4>174</vt:i4>
      </vt:variant>
      <vt:variant>
        <vt:i4>0</vt:i4>
      </vt:variant>
      <vt:variant>
        <vt:i4>5</vt:i4>
      </vt:variant>
      <vt:variant>
        <vt:lpwstr>http://www.bsnn.org/projects.html</vt:lpwstr>
      </vt:variant>
      <vt:variant>
        <vt:lpwstr/>
      </vt:variant>
      <vt:variant>
        <vt:i4>4718618</vt:i4>
      </vt:variant>
      <vt:variant>
        <vt:i4>171</vt:i4>
      </vt:variant>
      <vt:variant>
        <vt:i4>0</vt:i4>
      </vt:variant>
      <vt:variant>
        <vt:i4>5</vt:i4>
      </vt:variant>
      <vt:variant>
        <vt:lpwstr>http://www.namrb.org/international-cooperation-and-eu</vt:lpwstr>
      </vt:variant>
      <vt:variant>
        <vt:lpwstr/>
      </vt:variant>
      <vt:variant>
        <vt:i4>983043</vt:i4>
      </vt:variant>
      <vt:variant>
        <vt:i4>168</vt:i4>
      </vt:variant>
      <vt:variant>
        <vt:i4>0</vt:i4>
      </vt:variant>
      <vt:variant>
        <vt:i4>5</vt:i4>
      </vt:variant>
      <vt:variant>
        <vt:lpwstr>http://www.burgas.bg/uploads/3beab17266cba23990bf26a6bd16dcfc.pdf</vt:lpwstr>
      </vt:variant>
      <vt:variant>
        <vt:lpwstr/>
      </vt:variant>
      <vt:variant>
        <vt:i4>6094974</vt:i4>
      </vt:variant>
      <vt:variant>
        <vt:i4>165</vt:i4>
      </vt:variant>
      <vt:variant>
        <vt:i4>0</vt:i4>
      </vt:variant>
      <vt:variant>
        <vt:i4>5</vt:i4>
      </vt:variant>
      <vt:variant>
        <vt:lpwstr>http://www.bds-bg.org/en/pages/page_71.html</vt:lpwstr>
      </vt:variant>
      <vt:variant>
        <vt:lpwstr/>
      </vt:variant>
      <vt:variant>
        <vt:i4>2949158</vt:i4>
      </vt:variant>
      <vt:variant>
        <vt:i4>162</vt:i4>
      </vt:variant>
      <vt:variant>
        <vt:i4>0</vt:i4>
      </vt:variant>
      <vt:variant>
        <vt:i4>5</vt:i4>
      </vt:variant>
      <vt:variant>
        <vt:lpwstr>https://ec.europa.eu/jrc/en/research-topic/standards-construction-eurocodes</vt:lpwstr>
      </vt:variant>
      <vt:variant>
        <vt:lpwstr/>
      </vt:variant>
      <vt:variant>
        <vt:i4>852013</vt:i4>
      </vt:variant>
      <vt:variant>
        <vt:i4>159</vt:i4>
      </vt:variant>
      <vt:variant>
        <vt:i4>0</vt:i4>
      </vt:variant>
      <vt:variant>
        <vt:i4>5</vt:i4>
      </vt:variant>
      <vt:variant>
        <vt:lpwstr>https://ec.europa.eu/clima/about-us/climate-law_en</vt:lpwstr>
      </vt:variant>
      <vt:variant>
        <vt:lpwstr/>
      </vt:variant>
      <vt:variant>
        <vt:i4>2883642</vt:i4>
      </vt:variant>
      <vt:variant>
        <vt:i4>156</vt:i4>
      </vt:variant>
      <vt:variant>
        <vt:i4>0</vt:i4>
      </vt:variant>
      <vt:variant>
        <vt:i4>5</vt:i4>
      </vt:variant>
      <vt:variant>
        <vt:lpwstr>http://ec.europa.eu/regional_policy/sources/docgener/informat/2014/guidance_fiche_climat_change.pdf</vt:lpwstr>
      </vt:variant>
      <vt:variant>
        <vt:lpwstr/>
      </vt:variant>
      <vt:variant>
        <vt:i4>1310758</vt:i4>
      </vt:variant>
      <vt:variant>
        <vt:i4>153</vt:i4>
      </vt:variant>
      <vt:variant>
        <vt:i4>0</vt:i4>
      </vt:variant>
      <vt:variant>
        <vt:i4>5</vt:i4>
      </vt:variant>
      <vt:variant>
        <vt:lpwstr>http://urban-intergroup.eu/wp-content/files_mf/es2010itoledodeclaration.pdf</vt:lpwstr>
      </vt:variant>
      <vt:variant>
        <vt:lpwstr/>
      </vt:variant>
      <vt:variant>
        <vt:i4>5177415</vt:i4>
      </vt:variant>
      <vt:variant>
        <vt:i4>150</vt:i4>
      </vt:variant>
      <vt:variant>
        <vt:i4>0</vt:i4>
      </vt:variant>
      <vt:variant>
        <vt:i4>5</vt:i4>
      </vt:variant>
      <vt:variant>
        <vt:lpwstr>https://wcd.coe.int/ViewDoc.jsp?p=&amp;id=1302971&amp;direct=true</vt:lpwstr>
      </vt:variant>
      <vt:variant>
        <vt:lpwstr/>
      </vt:variant>
      <vt:variant>
        <vt:i4>4194324</vt:i4>
      </vt:variant>
      <vt:variant>
        <vt:i4>147</vt:i4>
      </vt:variant>
      <vt:variant>
        <vt:i4>0</vt:i4>
      </vt:variant>
      <vt:variant>
        <vt:i4>5</vt:i4>
      </vt:variant>
      <vt:variant>
        <vt:lpwstr>https://wcd.coe.int/ViewDoc.jsp?p=&amp;id=887405&amp;direct=true</vt:lpwstr>
      </vt:variant>
      <vt:variant>
        <vt:lpwstr/>
      </vt:variant>
      <vt:variant>
        <vt:i4>196675</vt:i4>
      </vt:variant>
      <vt:variant>
        <vt:i4>144</vt:i4>
      </vt:variant>
      <vt:variant>
        <vt:i4>0</vt:i4>
      </vt:variant>
      <vt:variant>
        <vt:i4>5</vt:i4>
      </vt:variant>
      <vt:variant>
        <vt:lpwstr>https://ec.europa.eu/futurium/en/urban-agenda</vt:lpwstr>
      </vt:variant>
      <vt:variant>
        <vt:lpwstr/>
      </vt:variant>
      <vt:variant>
        <vt:i4>6619258</vt:i4>
      </vt:variant>
      <vt:variant>
        <vt:i4>141</vt:i4>
      </vt:variant>
      <vt:variant>
        <vt:i4>0</vt:i4>
      </vt:variant>
      <vt:variant>
        <vt:i4>5</vt:i4>
      </vt:variant>
      <vt:variant>
        <vt:lpwstr>http://www.oerok.gv.at/english-summary/</vt:lpwstr>
      </vt:variant>
      <vt:variant>
        <vt:lpwstr/>
      </vt:variant>
      <vt:variant>
        <vt:i4>5374077</vt:i4>
      </vt:variant>
      <vt:variant>
        <vt:i4>138</vt:i4>
      </vt:variant>
      <vt:variant>
        <vt:i4>0</vt:i4>
      </vt:variant>
      <vt:variant>
        <vt:i4>5</vt:i4>
      </vt:variant>
      <vt:variant>
        <vt:lpwstr>http://www.umweltbundesamt.at/en/services/services_climate/services_climate_references/climateregulatory/</vt:lpwstr>
      </vt:variant>
      <vt:variant>
        <vt:lpwstr/>
      </vt:variant>
      <vt:variant>
        <vt:i4>720996</vt:i4>
      </vt:variant>
      <vt:variant>
        <vt:i4>135</vt:i4>
      </vt:variant>
      <vt:variant>
        <vt:i4>0</vt:i4>
      </vt:variant>
      <vt:variant>
        <vt:i4>5</vt:i4>
      </vt:variant>
      <vt:variant>
        <vt:lpwstr>https://www.icpdr.org/main/sites/default/files/nodes/documents/icpdr_climate-adaptation-strategy.pdf</vt:lpwstr>
      </vt:variant>
      <vt:variant>
        <vt:lpwstr/>
      </vt:variant>
      <vt:variant>
        <vt:i4>5242884</vt:i4>
      </vt:variant>
      <vt:variant>
        <vt:i4>132</vt:i4>
      </vt:variant>
      <vt:variant>
        <vt:i4>0</vt:i4>
      </vt:variant>
      <vt:variant>
        <vt:i4>5</vt:i4>
      </vt:variant>
      <vt:variant>
        <vt:lpwstr>https://www.icpdr.org/main/activities-projects/climate-change-adaptation</vt:lpwstr>
      </vt:variant>
      <vt:variant>
        <vt:lpwstr/>
      </vt:variant>
      <vt:variant>
        <vt:i4>393239</vt:i4>
      </vt:variant>
      <vt:variant>
        <vt:i4>129</vt:i4>
      </vt:variant>
      <vt:variant>
        <vt:i4>0</vt:i4>
      </vt:variant>
      <vt:variant>
        <vt:i4>5</vt:i4>
      </vt:variant>
      <vt:variant>
        <vt:lpwstr>http://media.nationalarchives.gov.uk/index.php/climate-change-tomorrows-climate-todays-challenge/</vt:lpwstr>
      </vt:variant>
      <vt:variant>
        <vt:lpwstr/>
      </vt:variant>
      <vt:variant>
        <vt:i4>6488118</vt:i4>
      </vt:variant>
      <vt:variant>
        <vt:i4>126</vt:i4>
      </vt:variant>
      <vt:variant>
        <vt:i4>0</vt:i4>
      </vt:variant>
      <vt:variant>
        <vt:i4>5</vt:i4>
      </vt:variant>
      <vt:variant>
        <vt:lpwstr>https://www.tcpa.org.uk/pages/category/green-infrastructure-partnership</vt:lpwstr>
      </vt:variant>
      <vt:variant>
        <vt:lpwstr/>
      </vt:variant>
      <vt:variant>
        <vt:i4>786434</vt:i4>
      </vt:variant>
      <vt:variant>
        <vt:i4>123</vt:i4>
      </vt:variant>
      <vt:variant>
        <vt:i4>0</vt:i4>
      </vt:variant>
      <vt:variant>
        <vt:i4>5</vt:i4>
      </vt:variant>
      <vt:variant>
        <vt:lpwstr>http://www.local.gov.uk/topics/environment-and-waste</vt:lpwstr>
      </vt:variant>
      <vt:variant>
        <vt:lpwstr/>
      </vt:variant>
      <vt:variant>
        <vt:i4>6094926</vt:i4>
      </vt:variant>
      <vt:variant>
        <vt:i4>120</vt:i4>
      </vt:variant>
      <vt:variant>
        <vt:i4>0</vt:i4>
      </vt:variant>
      <vt:variant>
        <vt:i4>5</vt:i4>
      </vt:variant>
      <vt:variant>
        <vt:lpwstr>https://www.gov.uk/government/publications/national-planning-policy-framework--2</vt:lpwstr>
      </vt:variant>
      <vt:variant>
        <vt:lpwstr/>
      </vt:variant>
      <vt:variant>
        <vt:i4>2752624</vt:i4>
      </vt:variant>
      <vt:variant>
        <vt:i4>117</vt:i4>
      </vt:variant>
      <vt:variant>
        <vt:i4>0</vt:i4>
      </vt:variant>
      <vt:variant>
        <vt:i4>5</vt:i4>
      </vt:variant>
      <vt:variant>
        <vt:lpwstr>https://www.gov.uk/government/publications/national-flood-and-coastal-erosion-risk-management-strategy-for-england</vt:lpwstr>
      </vt:variant>
      <vt:variant>
        <vt:lpwstr/>
      </vt:variant>
      <vt:variant>
        <vt:i4>1572936</vt:i4>
      </vt:variant>
      <vt:variant>
        <vt:i4>114</vt:i4>
      </vt:variant>
      <vt:variant>
        <vt:i4>0</vt:i4>
      </vt:variant>
      <vt:variant>
        <vt:i4>5</vt:i4>
      </vt:variant>
      <vt:variant>
        <vt:lpwstr>http://climate-adapt.eea.europa.eu/countries-regions/</vt:lpwstr>
      </vt:variant>
      <vt:variant>
        <vt:lpwstr/>
      </vt:variant>
      <vt:variant>
        <vt:i4>3342463</vt:i4>
      </vt:variant>
      <vt:variant>
        <vt:i4>111</vt:i4>
      </vt:variant>
      <vt:variant>
        <vt:i4>0</vt:i4>
      </vt:variant>
      <vt:variant>
        <vt:i4>5</vt:i4>
      </vt:variant>
      <vt:variant>
        <vt:lpwstr>http://www.nweurope.eu/media/1216/territorial_agenda_2020.pdf</vt:lpwstr>
      </vt:variant>
      <vt:variant>
        <vt:lpwstr/>
      </vt:variant>
      <vt:variant>
        <vt:i4>7667824</vt:i4>
      </vt:variant>
      <vt:variant>
        <vt:i4>108</vt:i4>
      </vt:variant>
      <vt:variant>
        <vt:i4>0</vt:i4>
      </vt:variant>
      <vt:variant>
        <vt:i4>5</vt:i4>
      </vt:variant>
      <vt:variant>
        <vt:lpwstr>http://www.coe.int/t/dgap/localdemocracy/cemat/VersionPrincipes/Anglais.pdf</vt:lpwstr>
      </vt:variant>
      <vt:variant>
        <vt:lpwstr/>
      </vt:variant>
      <vt:variant>
        <vt:i4>1900549</vt:i4>
      </vt:variant>
      <vt:variant>
        <vt:i4>105</vt:i4>
      </vt:variant>
      <vt:variant>
        <vt:i4>0</vt:i4>
      </vt:variant>
      <vt:variant>
        <vt:i4>5</vt:i4>
      </vt:variant>
      <vt:variant>
        <vt:lpwstr>https://www.eea.europa.eu/publications/urban-adaptation-2016</vt:lpwstr>
      </vt:variant>
      <vt:variant>
        <vt:lpwstr/>
      </vt:variant>
      <vt:variant>
        <vt:i4>2359319</vt:i4>
      </vt:variant>
      <vt:variant>
        <vt:i4>102</vt:i4>
      </vt:variant>
      <vt:variant>
        <vt:i4>0</vt:i4>
      </vt:variant>
      <vt:variant>
        <vt:i4>5</vt:i4>
      </vt:variant>
      <vt:variant>
        <vt:lpwstr>https://ec.europa.eu/clima/policies/adaptation/what_en</vt:lpwstr>
      </vt:variant>
      <vt:variant>
        <vt:lpwstr>tab-0-1</vt:lpwstr>
      </vt:variant>
      <vt:variant>
        <vt:i4>6422648</vt:i4>
      </vt:variant>
      <vt:variant>
        <vt:i4>99</vt:i4>
      </vt:variant>
      <vt:variant>
        <vt:i4>0</vt:i4>
      </vt:variant>
      <vt:variant>
        <vt:i4>5</vt:i4>
      </vt:variant>
      <vt:variant>
        <vt:lpwstr>http://data.europa.eu/eli/dec/2013/1386/oj</vt:lpwstr>
      </vt:variant>
      <vt:variant>
        <vt:lpwstr/>
      </vt:variant>
      <vt:variant>
        <vt:i4>1769546</vt:i4>
      </vt:variant>
      <vt:variant>
        <vt:i4>96</vt:i4>
      </vt:variant>
      <vt:variant>
        <vt:i4>0</vt:i4>
      </vt:variant>
      <vt:variant>
        <vt:i4>5</vt:i4>
      </vt:variant>
      <vt:variant>
        <vt:lpwstr>https://www.nature.com/nclimate/journal/v5/n11/full/nclimate2728.html</vt:lpwstr>
      </vt:variant>
      <vt:variant>
        <vt:lpwstr/>
      </vt:variant>
      <vt:variant>
        <vt:i4>1966114</vt:i4>
      </vt:variant>
      <vt:variant>
        <vt:i4>93</vt:i4>
      </vt:variant>
      <vt:variant>
        <vt:i4>0</vt:i4>
      </vt:variant>
      <vt:variant>
        <vt:i4>5</vt:i4>
      </vt:variant>
      <vt:variant>
        <vt:lpwstr>http://osi.bg/downloads/File/swot_analisys.pdf</vt:lpwstr>
      </vt:variant>
      <vt:variant>
        <vt:lpwstr/>
      </vt:variant>
      <vt:variant>
        <vt:i4>4128868</vt:i4>
      </vt:variant>
      <vt:variant>
        <vt:i4>90</vt:i4>
      </vt:variant>
      <vt:variant>
        <vt:i4>0</vt:i4>
      </vt:variant>
      <vt:variant>
        <vt:i4>5</vt:i4>
      </vt:variant>
      <vt:variant>
        <vt:lpwstr>http://www.mon.bg/?go=page&amp;pageId=74&amp;subpageId=143</vt:lpwstr>
      </vt:variant>
      <vt:variant>
        <vt:lpwstr/>
      </vt:variant>
      <vt:variant>
        <vt:i4>7602220</vt:i4>
      </vt:variant>
      <vt:variant>
        <vt:i4>87</vt:i4>
      </vt:variant>
      <vt:variant>
        <vt:i4>0</vt:i4>
      </vt:variant>
      <vt:variant>
        <vt:i4>5</vt:i4>
      </vt:variant>
      <vt:variant>
        <vt:lpwstr>https://isocarp.org/news/ipcc-special-report-cities-climate-change/</vt:lpwstr>
      </vt:variant>
      <vt:variant>
        <vt:lpwstr/>
      </vt:variant>
      <vt:variant>
        <vt:i4>6553643</vt:i4>
      </vt:variant>
      <vt:variant>
        <vt:i4>84</vt:i4>
      </vt:variant>
      <vt:variant>
        <vt:i4>0</vt:i4>
      </vt:variant>
      <vt:variant>
        <vt:i4>5</vt:i4>
      </vt:variant>
      <vt:variant>
        <vt:lpwstr>http://www.eukn.eu/e-library/project/bericht/detail/european-cities-and-climate-change/</vt:lpwstr>
      </vt:variant>
      <vt:variant>
        <vt:lpwstr/>
      </vt:variant>
      <vt:variant>
        <vt:i4>3276832</vt:i4>
      </vt:variant>
      <vt:variant>
        <vt:i4>81</vt:i4>
      </vt:variant>
      <vt:variant>
        <vt:i4>0</vt:i4>
      </vt:variant>
      <vt:variant>
        <vt:i4>5</vt:i4>
      </vt:variant>
      <vt:variant>
        <vt:lpwstr>http://www.rtpi.org.uk/knowledge/topics/climate-change/our-seven-commitments-on-climate-change</vt:lpwstr>
      </vt:variant>
      <vt:variant>
        <vt:lpwstr/>
      </vt:variant>
      <vt:variant>
        <vt:i4>4784243</vt:i4>
      </vt:variant>
      <vt:variant>
        <vt:i4>78</vt:i4>
      </vt:variant>
      <vt:variant>
        <vt:i4>0</vt:i4>
      </vt:variant>
      <vt:variant>
        <vt:i4>5</vt:i4>
      </vt:variant>
      <vt:variant>
        <vt:lpwstr>http://earbd.org/indexdetails.php?menu_id=399</vt:lpwstr>
      </vt:variant>
      <vt:variant>
        <vt:lpwstr/>
      </vt:variant>
      <vt:variant>
        <vt:i4>4456512</vt:i4>
      </vt:variant>
      <vt:variant>
        <vt:i4>75</vt:i4>
      </vt:variant>
      <vt:variant>
        <vt:i4>0</vt:i4>
      </vt:variant>
      <vt:variant>
        <vt:i4>5</vt:i4>
      </vt:variant>
      <vt:variant>
        <vt:lpwstr>http://siteresources.worldbank.org/INTURBANDEVELOPMENT/Resources/336387-1296405826983/Dickson.pdf</vt:lpwstr>
      </vt:variant>
      <vt:variant>
        <vt:lpwstr/>
      </vt:variant>
      <vt:variant>
        <vt:i4>8323122</vt:i4>
      </vt:variant>
      <vt:variant>
        <vt:i4>72</vt:i4>
      </vt:variant>
      <vt:variant>
        <vt:i4>0</vt:i4>
      </vt:variant>
      <vt:variant>
        <vt:i4>5</vt:i4>
      </vt:variant>
      <vt:variant>
        <vt:lpwstr>http://resilient-cities.iclei.org/fileadmin/sites/resilient-cities/files/docs/B1-Bonn2010-Hoornweg.pdf</vt:lpwstr>
      </vt:variant>
      <vt:variant>
        <vt:lpwstr/>
      </vt:variant>
      <vt:variant>
        <vt:i4>5570580</vt:i4>
      </vt:variant>
      <vt:variant>
        <vt:i4>69</vt:i4>
      </vt:variant>
      <vt:variant>
        <vt:i4>0</vt:i4>
      </vt:variant>
      <vt:variant>
        <vt:i4>5</vt:i4>
      </vt:variant>
      <vt:variant>
        <vt:lpwstr>http://eea.government.bg/bg/soer/2015</vt:lpwstr>
      </vt:variant>
      <vt:variant>
        <vt:lpwstr/>
      </vt:variant>
      <vt:variant>
        <vt:i4>5374072</vt:i4>
      </vt:variant>
      <vt:variant>
        <vt:i4>66</vt:i4>
      </vt:variant>
      <vt:variant>
        <vt:i4>0</vt:i4>
      </vt:variant>
      <vt:variant>
        <vt:i4>5</vt:i4>
      </vt:variant>
      <vt:variant>
        <vt:lpwstr>http://www5.moew.government.bg/?page_id=51489</vt:lpwstr>
      </vt:variant>
      <vt:variant>
        <vt:lpwstr/>
      </vt:variant>
      <vt:variant>
        <vt:i4>5570580</vt:i4>
      </vt:variant>
      <vt:variant>
        <vt:i4>63</vt:i4>
      </vt:variant>
      <vt:variant>
        <vt:i4>0</vt:i4>
      </vt:variant>
      <vt:variant>
        <vt:i4>5</vt:i4>
      </vt:variant>
      <vt:variant>
        <vt:lpwstr>http://eea.government.bg/bg/soer/2014</vt:lpwstr>
      </vt:variant>
      <vt:variant>
        <vt:lpwstr/>
      </vt:variant>
      <vt:variant>
        <vt:i4>5898331</vt:i4>
      </vt:variant>
      <vt:variant>
        <vt:i4>60</vt:i4>
      </vt:variant>
      <vt:variant>
        <vt:i4>0</vt:i4>
      </vt:variant>
      <vt:variant>
        <vt:i4>5</vt:i4>
      </vt:variant>
      <vt:variant>
        <vt:lpwstr>http://eea.government.bg/bg/soer/2013/water/index</vt:lpwstr>
      </vt:variant>
      <vt:variant>
        <vt:lpwstr/>
      </vt:variant>
      <vt:variant>
        <vt:i4>5832826</vt:i4>
      </vt:variant>
      <vt:variant>
        <vt:i4>57</vt:i4>
      </vt:variant>
      <vt:variant>
        <vt:i4>0</vt:i4>
      </vt:variant>
      <vt:variant>
        <vt:i4>5</vt:i4>
      </vt:variant>
      <vt:variant>
        <vt:lpwstr>http://www5.moew.government.bg/?page_id=54663</vt:lpwstr>
      </vt:variant>
      <vt:variant>
        <vt:lpwstr/>
      </vt:variant>
      <vt:variant>
        <vt:i4>5177426</vt:i4>
      </vt:variant>
      <vt:variant>
        <vt:i4>54</vt:i4>
      </vt:variant>
      <vt:variant>
        <vt:i4>0</vt:i4>
      </vt:variant>
      <vt:variant>
        <vt:i4>5</vt:i4>
      </vt:variant>
      <vt:variant>
        <vt:lpwstr>http://www.nsi.bg/en/content/13272/floods</vt:lpwstr>
      </vt:variant>
      <vt:variant>
        <vt:lpwstr/>
      </vt:variant>
      <vt:variant>
        <vt:i4>3014665</vt:i4>
      </vt:variant>
      <vt:variant>
        <vt:i4>51</vt:i4>
      </vt:variant>
      <vt:variant>
        <vt:i4>0</vt:i4>
      </vt:variant>
      <vt:variant>
        <vt:i4>5</vt:i4>
      </vt:variant>
      <vt:variant>
        <vt:lpwstr>http://meteorology.meteo.bg/poster_AG_KM_LB-f.pdf</vt:lpwstr>
      </vt:variant>
      <vt:variant>
        <vt:lpwstr/>
      </vt:variant>
      <vt:variant>
        <vt:i4>5963800</vt:i4>
      </vt:variant>
      <vt:variant>
        <vt:i4>48</vt:i4>
      </vt:variant>
      <vt:variant>
        <vt:i4>0</vt:i4>
      </vt:variant>
      <vt:variant>
        <vt:i4>5</vt:i4>
      </vt:variant>
      <vt:variant>
        <vt:lpwstr>http://uccrn.org/arc3-2/</vt:lpwstr>
      </vt:variant>
      <vt:variant>
        <vt:lpwstr/>
      </vt:variant>
      <vt:variant>
        <vt:i4>4718617</vt:i4>
      </vt:variant>
      <vt:variant>
        <vt:i4>45</vt:i4>
      </vt:variant>
      <vt:variant>
        <vt:i4>0</vt:i4>
      </vt:variant>
      <vt:variant>
        <vt:i4>5</vt:i4>
      </vt:variant>
      <vt:variant>
        <vt:lpwstr>https://www.eea.europa.eu/publications/climate-change-impacts-and-vulnerability-2016</vt:lpwstr>
      </vt:variant>
      <vt:variant>
        <vt:lpwstr/>
      </vt:variant>
      <vt:variant>
        <vt:i4>3801204</vt:i4>
      </vt:variant>
      <vt:variant>
        <vt:i4>42</vt:i4>
      </vt:variant>
      <vt:variant>
        <vt:i4>0</vt:i4>
      </vt:variant>
      <vt:variant>
        <vt:i4>5</vt:i4>
      </vt:variant>
      <vt:variant>
        <vt:lpwstr>http://sedac.ipcc-data.org/ddc/ar5_scenario_process/RCPs.html</vt:lpwstr>
      </vt:variant>
      <vt:variant>
        <vt:lpwstr/>
      </vt:variant>
      <vt:variant>
        <vt:i4>7667728</vt:i4>
      </vt:variant>
      <vt:variant>
        <vt:i4>39</vt:i4>
      </vt:variant>
      <vt:variant>
        <vt:i4>0</vt:i4>
      </vt:variant>
      <vt:variant>
        <vt:i4>5</vt:i4>
      </vt:variant>
      <vt:variant>
        <vt:lpwstr>http://www.covenantofmayors.eu/actions/sustainable-energy-action-plans_bg.html</vt:lpwstr>
      </vt:variant>
      <vt:variant>
        <vt:lpwstr/>
      </vt:variant>
      <vt:variant>
        <vt:i4>6357010</vt:i4>
      </vt:variant>
      <vt:variant>
        <vt:i4>36</vt:i4>
      </vt:variant>
      <vt:variant>
        <vt:i4>0</vt:i4>
      </vt:variant>
      <vt:variant>
        <vt:i4>5</vt:i4>
      </vt:variant>
      <vt:variant>
        <vt:lpwstr>https://www.researchgate.net/publication/305990956_Towards_Liveable_Cities_and_Towns_-_Guidance_for_Sustainable_Urban_Management</vt:lpwstr>
      </vt:variant>
      <vt:variant>
        <vt:lpwstr/>
      </vt:variant>
      <vt:variant>
        <vt:i4>1245246</vt:i4>
      </vt:variant>
      <vt:variant>
        <vt:i4>33</vt:i4>
      </vt:variant>
      <vt:variant>
        <vt:i4>0</vt:i4>
      </vt:variant>
      <vt:variant>
        <vt:i4>5</vt:i4>
      </vt:variant>
      <vt:variant>
        <vt:lpwstr>http://www.covenantofmayors.eu/about/covenant-of-mayors_bg.html</vt:lpwstr>
      </vt:variant>
      <vt:variant>
        <vt:lpwstr/>
      </vt:variant>
      <vt:variant>
        <vt:i4>393304</vt:i4>
      </vt:variant>
      <vt:variant>
        <vt:i4>30</vt:i4>
      </vt:variant>
      <vt:variant>
        <vt:i4>0</vt:i4>
      </vt:variant>
      <vt:variant>
        <vt:i4>5</vt:i4>
      </vt:variant>
      <vt:variant>
        <vt:lpwstr>http://www.nsi.bg/en/content/8294/poverty-and-social-inclusion-indicators-national-level</vt:lpwstr>
      </vt:variant>
      <vt:variant>
        <vt:lpwstr/>
      </vt:variant>
      <vt:variant>
        <vt:i4>3080271</vt:i4>
      </vt:variant>
      <vt:variant>
        <vt:i4>27</vt:i4>
      </vt:variant>
      <vt:variant>
        <vt:i4>0</vt:i4>
      </vt:variant>
      <vt:variant>
        <vt:i4>5</vt:i4>
      </vt:variant>
      <vt:variant>
        <vt:lpwstr>https://www.ipcc.ch/pdf/assessment-report/ar5/wg3/ipcc_wg3_ar5_chapter9.pdf</vt:lpwstr>
      </vt:variant>
      <vt:variant>
        <vt:lpwstr/>
      </vt:variant>
      <vt:variant>
        <vt:i4>4259929</vt:i4>
      </vt:variant>
      <vt:variant>
        <vt:i4>24</vt:i4>
      </vt:variant>
      <vt:variant>
        <vt:i4>0</vt:i4>
      </vt:variant>
      <vt:variant>
        <vt:i4>5</vt:i4>
      </vt:variant>
      <vt:variant>
        <vt:lpwstr>http://www.mrrb.government.bg/static/media/ups/articles/attachments/24e7666f6785ee40bfb094bec3ad5f45.pdf</vt:lpwstr>
      </vt:variant>
      <vt:variant>
        <vt:lpwstr/>
      </vt:variant>
      <vt:variant>
        <vt:i4>6946871</vt:i4>
      </vt:variant>
      <vt:variant>
        <vt:i4>21</vt:i4>
      </vt:variant>
      <vt:variant>
        <vt:i4>0</vt:i4>
      </vt:variant>
      <vt:variant>
        <vt:i4>5</vt:i4>
      </vt:variant>
      <vt:variant>
        <vt:lpwstr>https://www.eufunds.bg/archive/documents/1434963441.pdf</vt:lpwstr>
      </vt:variant>
      <vt:variant>
        <vt:lpwstr/>
      </vt:variant>
      <vt:variant>
        <vt:i4>3145798</vt:i4>
      </vt:variant>
      <vt:variant>
        <vt:i4>18</vt:i4>
      </vt:variant>
      <vt:variant>
        <vt:i4>0</vt:i4>
      </vt:variant>
      <vt:variant>
        <vt:i4>5</vt:i4>
      </vt:variant>
      <vt:variant>
        <vt:lpwstr>http://www.bgregio.eu/media/Programirane/NKPR_28012013_Last_en.pdf</vt:lpwstr>
      </vt:variant>
      <vt:variant>
        <vt:lpwstr/>
      </vt:variant>
      <vt:variant>
        <vt:i4>3145798</vt:i4>
      </vt:variant>
      <vt:variant>
        <vt:i4>15</vt:i4>
      </vt:variant>
      <vt:variant>
        <vt:i4>0</vt:i4>
      </vt:variant>
      <vt:variant>
        <vt:i4>5</vt:i4>
      </vt:variant>
      <vt:variant>
        <vt:lpwstr>http://www.bgregio.eu/media/Programirane/NKPR_28012013_Last_en.pdf</vt:lpwstr>
      </vt:variant>
      <vt:variant>
        <vt:lpwstr/>
      </vt:variant>
      <vt:variant>
        <vt:i4>7733320</vt:i4>
      </vt:variant>
      <vt:variant>
        <vt:i4>12</vt:i4>
      </vt:variant>
      <vt:variant>
        <vt:i4>0</vt:i4>
      </vt:variant>
      <vt:variant>
        <vt:i4>5</vt:i4>
      </vt:variant>
      <vt:variant>
        <vt:lpwstr>http://www.nsi.bg/sites/default/files/files/publications/Poverty_regio.pdf</vt:lpwstr>
      </vt:variant>
      <vt:variant>
        <vt:lpwstr/>
      </vt:variant>
      <vt:variant>
        <vt:i4>1114188</vt:i4>
      </vt:variant>
      <vt:variant>
        <vt:i4>9</vt:i4>
      </vt:variant>
      <vt:variant>
        <vt:i4>0</vt:i4>
      </vt:variant>
      <vt:variant>
        <vt:i4>5</vt:i4>
      </vt:variant>
      <vt:variant>
        <vt:lpwstr>http://ec.europa.eu/eurostat/statistics-explained/index.php/Income_distribution_statistics</vt:lpwstr>
      </vt:variant>
      <vt:variant>
        <vt:lpwstr/>
      </vt:variant>
      <vt:variant>
        <vt:i4>1704018</vt:i4>
      </vt:variant>
      <vt:variant>
        <vt:i4>6</vt:i4>
      </vt:variant>
      <vt:variant>
        <vt:i4>0</vt:i4>
      </vt:variant>
      <vt:variant>
        <vt:i4>5</vt:i4>
      </vt:variant>
      <vt:variant>
        <vt:lpwstr>http://www.nsi.bg/bg/content/</vt:lpwstr>
      </vt:variant>
      <vt:variant>
        <vt:lpwstr/>
      </vt:variant>
      <vt:variant>
        <vt:i4>6029341</vt:i4>
      </vt:variant>
      <vt:variant>
        <vt:i4>3</vt:i4>
      </vt:variant>
      <vt:variant>
        <vt:i4>0</vt:i4>
      </vt:variant>
      <vt:variant>
        <vt:i4>5</vt:i4>
      </vt:variant>
      <vt:variant>
        <vt:lpwstr>http://www.nsi.bg/en/content/6727/population-projections-sex-and-age</vt:lpwstr>
      </vt:variant>
      <vt:variant>
        <vt:lpwstr/>
      </vt:variant>
      <vt:variant>
        <vt:i4>4587529</vt:i4>
      </vt:variant>
      <vt:variant>
        <vt:i4>0</vt:i4>
      </vt:variant>
      <vt:variant>
        <vt:i4>0</vt:i4>
      </vt:variant>
      <vt:variant>
        <vt:i4>5</vt:i4>
      </vt:variant>
      <vt:variant>
        <vt:lpwstr>http://www.nsi.bg/en/content/6703/population</vt:lpwstr>
      </vt:variant>
      <vt:variant>
        <vt:lpwstr/>
      </vt:variant>
      <vt:variant>
        <vt:i4>7864445</vt:i4>
      </vt:variant>
      <vt:variant>
        <vt:i4>9</vt:i4>
      </vt:variant>
      <vt:variant>
        <vt:i4>0</vt:i4>
      </vt:variant>
      <vt:variant>
        <vt:i4>5</vt:i4>
      </vt:variant>
      <vt:variant>
        <vt:lpwstr>http://www.eufunds.bg/</vt:lpwstr>
      </vt:variant>
      <vt:variant>
        <vt:lpwstr/>
      </vt:variant>
      <vt:variant>
        <vt:i4>7864445</vt:i4>
      </vt:variant>
      <vt:variant>
        <vt:i4>3</vt:i4>
      </vt:variant>
      <vt:variant>
        <vt:i4>0</vt:i4>
      </vt:variant>
      <vt:variant>
        <vt:i4>5</vt:i4>
      </vt:variant>
      <vt:variant>
        <vt:lpwstr>http://www.eufunds.bg/</vt:lpwstr>
      </vt:variant>
      <vt:variant>
        <vt:lpwstr/>
      </vt:variant>
      <vt:variant>
        <vt:i4>7864445</vt:i4>
      </vt:variant>
      <vt:variant>
        <vt:i4>0</vt:i4>
      </vt:variant>
      <vt:variant>
        <vt:i4>0</vt:i4>
      </vt:variant>
      <vt:variant>
        <vt:i4>5</vt:i4>
      </vt:variant>
      <vt:variant>
        <vt:lpwstr>http://www.eufunds.bg/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Република България</dc:title>
  <dc:creator>Interpretorium</dc:creator>
  <cp:lastModifiedBy>Stanimira Misheva</cp:lastModifiedBy>
  <cp:revision>6</cp:revision>
  <cp:lastPrinted>2018-08-14T13:36:00Z</cp:lastPrinted>
  <dcterms:created xsi:type="dcterms:W3CDTF">2019-07-03T10:47:00Z</dcterms:created>
  <dcterms:modified xsi:type="dcterms:W3CDTF">2019-10-18T08:38:00Z</dcterms:modified>
</cp:coreProperties>
</file>